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432C35" w14:textId="0702B1F8" w:rsidR="00BB4C71" w:rsidRPr="00B137D9" w:rsidRDefault="00BB4C71" w:rsidP="00BB4C71">
      <w:pPr>
        <w:rPr>
          <w:rFonts w:ascii="Arial" w:hAnsi="Arial" w:cs="Arial"/>
          <w:b/>
        </w:rPr>
      </w:pPr>
      <w:r>
        <w:rPr>
          <w:noProof/>
          <w:lang w:eastAsia="sl-SI"/>
        </w:rPr>
        <w:drawing>
          <wp:anchor distT="0" distB="0" distL="114300" distR="114300" simplePos="0" relativeHeight="251658240" behindDoc="0" locked="0" layoutInCell="1" allowOverlap="1" wp14:anchorId="6BE694D1" wp14:editId="660581F9">
            <wp:simplePos x="0" y="0"/>
            <wp:positionH relativeFrom="column">
              <wp:posOffset>5339080</wp:posOffset>
            </wp:positionH>
            <wp:positionV relativeFrom="paragraph">
              <wp:posOffset>0</wp:posOffset>
            </wp:positionV>
            <wp:extent cx="800100" cy="866775"/>
            <wp:effectExtent l="0" t="0" r="0" b="9525"/>
            <wp:wrapSquare wrapText="bothSides"/>
            <wp:docPr id="1" name="Slika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</w:rPr>
        <w:t xml:space="preserve">OBRAZEC ŠT. </w:t>
      </w:r>
      <w:r w:rsidR="00BC5E3C">
        <w:rPr>
          <w:rFonts w:ascii="Arial" w:hAnsi="Arial" w:cs="Arial"/>
          <w:b/>
        </w:rPr>
        <w:t>2a</w:t>
      </w:r>
    </w:p>
    <w:p w14:paraId="4DF44717" w14:textId="77777777" w:rsidR="00BB4C71" w:rsidRDefault="00BB4C71" w:rsidP="00BB4C71">
      <w:pPr>
        <w:spacing w:after="0"/>
        <w:jc w:val="center"/>
        <w:rPr>
          <w:rFonts w:ascii="Arial" w:hAnsi="Arial" w:cs="Arial"/>
          <w:b/>
        </w:rPr>
      </w:pPr>
    </w:p>
    <w:p w14:paraId="3603B376" w14:textId="07F14517" w:rsidR="00BB4C71" w:rsidRDefault="00BB4C71" w:rsidP="00BB4C71">
      <w:pPr>
        <w:spacing w:after="0"/>
        <w:jc w:val="center"/>
        <w:rPr>
          <w:rFonts w:ascii="Arial" w:hAnsi="Arial" w:cs="Arial"/>
          <w:b/>
        </w:rPr>
      </w:pPr>
      <w:r w:rsidRPr="00B137D9">
        <w:rPr>
          <w:rFonts w:ascii="Arial" w:hAnsi="Arial" w:cs="Arial"/>
          <w:b/>
        </w:rPr>
        <w:t>PREDRAČUN</w:t>
      </w:r>
      <w:r>
        <w:rPr>
          <w:rStyle w:val="Sprotnaopomba-sklic"/>
          <w:rFonts w:ascii="Arial" w:hAnsi="Arial" w:cs="Arial"/>
          <w:b/>
        </w:rPr>
        <w:footnoteReference w:id="1"/>
      </w:r>
    </w:p>
    <w:p w14:paraId="47089746" w14:textId="77777777" w:rsidR="00BB4C71" w:rsidRDefault="00BB4C71" w:rsidP="00BB4C71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(fizične osebe)</w:t>
      </w:r>
    </w:p>
    <w:p w14:paraId="2FA0375D" w14:textId="77777777" w:rsidR="00BB4C71" w:rsidRDefault="00BB4C71" w:rsidP="00BB4C71">
      <w:pPr>
        <w:spacing w:after="0"/>
        <w:jc w:val="center"/>
        <w:rPr>
          <w:rFonts w:ascii="Arial" w:hAnsi="Arial" w:cs="Arial"/>
          <w:b/>
        </w:rPr>
      </w:pPr>
    </w:p>
    <w:p w14:paraId="24E8169E" w14:textId="55E785EA" w:rsidR="00BB4C71" w:rsidRPr="004D2385" w:rsidRDefault="00BB4C71" w:rsidP="004D2385">
      <w:pPr>
        <w:spacing w:line="280" w:lineRule="exact"/>
        <w:jc w:val="both"/>
        <w:rPr>
          <w:rFonts w:ascii="Arial" w:hAnsi="Arial" w:cs="Arial"/>
          <w:sz w:val="20"/>
          <w:szCs w:val="20"/>
        </w:rPr>
      </w:pPr>
      <w:r w:rsidRPr="00FF7635">
        <w:rPr>
          <w:rFonts w:ascii="Arial" w:hAnsi="Arial" w:cs="Arial"/>
          <w:sz w:val="20"/>
          <w:szCs w:val="20"/>
        </w:rPr>
        <w:t>Na podlagi razpisanega javnega naročila št. 430-</w:t>
      </w:r>
      <w:r>
        <w:rPr>
          <w:rFonts w:ascii="Arial" w:hAnsi="Arial" w:cs="Arial"/>
          <w:sz w:val="20"/>
          <w:szCs w:val="20"/>
        </w:rPr>
        <w:t>91</w:t>
      </w:r>
      <w:r w:rsidRPr="00FF7635">
        <w:rPr>
          <w:rFonts w:ascii="Arial" w:hAnsi="Arial" w:cs="Arial"/>
          <w:sz w:val="20"/>
          <w:szCs w:val="20"/>
        </w:rPr>
        <w:t xml:space="preserve">/2021 za </w:t>
      </w:r>
      <w:r>
        <w:rPr>
          <w:rFonts w:ascii="Arial" w:hAnsi="Arial" w:cs="Arial"/>
          <w:sz w:val="20"/>
          <w:szCs w:val="20"/>
        </w:rPr>
        <w:t xml:space="preserve">zagotavljanje </w:t>
      </w:r>
      <w:r w:rsidRPr="00FF7635">
        <w:rPr>
          <w:rFonts w:ascii="Arial" w:hAnsi="Arial" w:cs="Arial"/>
          <w:sz w:val="20"/>
          <w:szCs w:val="20"/>
        </w:rPr>
        <w:t xml:space="preserve">»opravljanje storitev tolmačenja in prevajanja ter prevajanja s sodno overitvijo iz </w:t>
      </w:r>
      <w:r w:rsidRPr="00FF7635">
        <w:rPr>
          <w:rFonts w:ascii="Arial" w:hAnsi="Arial" w:cs="Arial"/>
          <w:sz w:val="20"/>
        </w:rPr>
        <w:t>_________</w:t>
      </w:r>
      <w:r>
        <w:rPr>
          <w:rFonts w:ascii="Arial" w:hAnsi="Arial" w:cs="Arial"/>
          <w:sz w:val="20"/>
        </w:rPr>
        <w:t>______</w:t>
      </w:r>
      <w:r w:rsidRPr="00FF7635">
        <w:rPr>
          <w:rFonts w:ascii="Arial" w:hAnsi="Arial" w:cs="Arial"/>
          <w:sz w:val="20"/>
        </w:rPr>
        <w:t xml:space="preserve"> v slovenski jezik </w:t>
      </w:r>
      <w:r w:rsidRPr="00FF7635">
        <w:rPr>
          <w:rFonts w:ascii="Arial" w:hAnsi="Arial" w:cs="Arial"/>
          <w:sz w:val="20"/>
          <w:szCs w:val="20"/>
        </w:rPr>
        <w:t>in obratno«,  _____________________________ (</w:t>
      </w:r>
      <w:r w:rsidRPr="00FF7635">
        <w:rPr>
          <w:rFonts w:ascii="Arial" w:hAnsi="Arial" w:cs="Arial"/>
          <w:i/>
          <w:iCs/>
          <w:sz w:val="20"/>
          <w:szCs w:val="20"/>
        </w:rPr>
        <w:t>ime in priimek oz. naziv</w:t>
      </w:r>
      <w:r w:rsidRPr="00FF7635">
        <w:rPr>
          <w:rFonts w:ascii="Arial" w:hAnsi="Arial" w:cs="Arial"/>
          <w:sz w:val="20"/>
          <w:szCs w:val="20"/>
        </w:rPr>
        <w:t>) dajem naslednji predračun št. ________ z dne _____________ za SKLOP ŠT.: ________.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"/>
        <w:gridCol w:w="1886"/>
        <w:gridCol w:w="1276"/>
        <w:gridCol w:w="2864"/>
      </w:tblGrid>
      <w:tr w:rsidR="00BB4C71" w:rsidRPr="00EA2C1F" w14:paraId="5D2AF446" w14:textId="77777777" w:rsidTr="004D2385">
        <w:trPr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76B86CBC" w14:textId="77777777" w:rsidR="00BB4C71" w:rsidRPr="008E2A6E" w:rsidRDefault="00BB4C71" w:rsidP="00DE795E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proofErr w:type="spellStart"/>
            <w:r w:rsidRPr="008E2A6E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Zap</w:t>
            </w:r>
            <w:proofErr w:type="spellEnd"/>
            <w:r w:rsidRPr="008E2A6E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. št.</w:t>
            </w:r>
          </w:p>
        </w:tc>
        <w:tc>
          <w:tcPr>
            <w:tcW w:w="1886" w:type="dxa"/>
            <w:shd w:val="clear" w:color="auto" w:fill="auto"/>
            <w:vAlign w:val="center"/>
          </w:tcPr>
          <w:p w14:paraId="1C305120" w14:textId="77777777" w:rsidR="00BB4C71" w:rsidRPr="008E2A6E" w:rsidRDefault="00BB4C71" w:rsidP="00DE795E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8E2A6E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Storitev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4A4F09A" w14:textId="77777777" w:rsidR="00BB4C71" w:rsidRPr="008E2A6E" w:rsidRDefault="00BB4C71" w:rsidP="00DE795E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8E2A6E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Enota mere</w:t>
            </w:r>
          </w:p>
          <w:p w14:paraId="46AEEB5C" w14:textId="77777777" w:rsidR="00BB4C71" w:rsidRPr="008E2A6E" w:rsidRDefault="00BB4C71" w:rsidP="00DE795E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(E</w:t>
            </w:r>
            <w:r w:rsidRPr="008E2A6E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M)</w:t>
            </w:r>
          </w:p>
        </w:tc>
        <w:tc>
          <w:tcPr>
            <w:tcW w:w="2864" w:type="dxa"/>
            <w:shd w:val="clear" w:color="auto" w:fill="auto"/>
            <w:vAlign w:val="center"/>
          </w:tcPr>
          <w:p w14:paraId="3F87F0BA" w14:textId="24F23FB3" w:rsidR="00BB4C71" w:rsidRPr="008E2A6E" w:rsidRDefault="00BB4C71" w:rsidP="00DE795E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Cena v EUR (bruto)</w:t>
            </w:r>
          </w:p>
        </w:tc>
      </w:tr>
      <w:tr w:rsidR="00BB4C71" w:rsidRPr="004D2385" w14:paraId="5EFD2FF9" w14:textId="77777777" w:rsidTr="004D2385">
        <w:trPr>
          <w:jc w:val="center"/>
        </w:trPr>
        <w:tc>
          <w:tcPr>
            <w:tcW w:w="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EA0010" w14:textId="77777777" w:rsidR="00BB4C71" w:rsidRPr="00EA2C1F" w:rsidRDefault="00BB4C71" w:rsidP="00DE795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1</w:t>
            </w:r>
          </w:p>
        </w:tc>
        <w:tc>
          <w:tcPr>
            <w:tcW w:w="18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114F76" w14:textId="77777777" w:rsidR="00BB4C71" w:rsidRDefault="00BB4C71" w:rsidP="00DE795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5A22400D" w14:textId="77777777" w:rsidR="00BB4C71" w:rsidRDefault="00BB4C71" w:rsidP="00DE795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Tolmačenje</w:t>
            </w:r>
          </w:p>
          <w:p w14:paraId="6F0018EC" w14:textId="77777777" w:rsidR="00BB4C71" w:rsidRPr="00EA2C1F" w:rsidRDefault="00BB4C71" w:rsidP="00DE795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276" w:type="dxa"/>
            <w:vAlign w:val="center"/>
          </w:tcPr>
          <w:p w14:paraId="71C90CA5" w14:textId="77777777" w:rsidR="00BB4C71" w:rsidRPr="00EA2C1F" w:rsidRDefault="00BB4C71" w:rsidP="00DE795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ura tolmačenja</w:t>
            </w:r>
          </w:p>
        </w:tc>
        <w:tc>
          <w:tcPr>
            <w:tcW w:w="2864" w:type="dxa"/>
            <w:shd w:val="clear" w:color="auto" w:fill="auto"/>
            <w:vAlign w:val="center"/>
          </w:tcPr>
          <w:p w14:paraId="48F6F9F8" w14:textId="77777777" w:rsidR="00BB4C71" w:rsidRDefault="00BB4C71" w:rsidP="00DE795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45E08BD1" w14:textId="77777777" w:rsidR="00BB4C71" w:rsidRDefault="00BB4C71" w:rsidP="00DE795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526099E8" w14:textId="77777777" w:rsidR="00BB4C71" w:rsidRPr="00EA2C1F" w:rsidRDefault="00BB4C71" w:rsidP="00DE795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BB4C71" w:rsidRPr="00EA2C1F" w14:paraId="1CA09F9D" w14:textId="77777777" w:rsidTr="004D2385">
        <w:trPr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3226435E" w14:textId="77777777" w:rsidR="00BB4C71" w:rsidRPr="00EA2C1F" w:rsidRDefault="00BB4C71" w:rsidP="00DE795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2</w:t>
            </w:r>
          </w:p>
        </w:tc>
        <w:tc>
          <w:tcPr>
            <w:tcW w:w="1886" w:type="dxa"/>
            <w:shd w:val="clear" w:color="auto" w:fill="auto"/>
            <w:vAlign w:val="center"/>
          </w:tcPr>
          <w:p w14:paraId="00F333CF" w14:textId="77777777" w:rsidR="00BB4C71" w:rsidRPr="00EA2C1F" w:rsidRDefault="00BB4C71" w:rsidP="00DE795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Prevajanje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D174AB1" w14:textId="77777777" w:rsidR="00BB4C71" w:rsidRPr="00EA2C1F" w:rsidRDefault="00BB4C71" w:rsidP="00DE795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prevajalska stran</w:t>
            </w:r>
          </w:p>
        </w:tc>
        <w:tc>
          <w:tcPr>
            <w:tcW w:w="2864" w:type="dxa"/>
            <w:shd w:val="clear" w:color="auto" w:fill="auto"/>
            <w:vAlign w:val="center"/>
          </w:tcPr>
          <w:p w14:paraId="51992E82" w14:textId="77777777" w:rsidR="00BB4C71" w:rsidRDefault="00BB4C71" w:rsidP="00DE795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7C9A1E22" w14:textId="77777777" w:rsidR="00BB4C71" w:rsidRDefault="00BB4C71" w:rsidP="00DE795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3F82EBE6" w14:textId="77777777" w:rsidR="00BB4C71" w:rsidRPr="00EA2C1F" w:rsidRDefault="00BB4C71" w:rsidP="00DE795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BB4C71" w:rsidRPr="00EA2C1F" w14:paraId="7B5681EA" w14:textId="77777777" w:rsidTr="004D2385">
        <w:trPr>
          <w:jc w:val="center"/>
        </w:trPr>
        <w:tc>
          <w:tcPr>
            <w:tcW w:w="632" w:type="dxa"/>
            <w:shd w:val="clear" w:color="auto" w:fill="auto"/>
            <w:vAlign w:val="center"/>
          </w:tcPr>
          <w:p w14:paraId="59180155" w14:textId="77777777" w:rsidR="00BB4C71" w:rsidRDefault="00BB4C71" w:rsidP="00DE795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08F7F5AB" w14:textId="77777777" w:rsidR="00BB4C71" w:rsidRDefault="00BB4C71" w:rsidP="00DE795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3</w:t>
            </w:r>
          </w:p>
          <w:p w14:paraId="2B986828" w14:textId="77777777" w:rsidR="00BB4C71" w:rsidRPr="00EA2C1F" w:rsidRDefault="00BB4C71" w:rsidP="00DE795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886" w:type="dxa"/>
            <w:shd w:val="clear" w:color="auto" w:fill="auto"/>
            <w:vAlign w:val="center"/>
          </w:tcPr>
          <w:p w14:paraId="10E08181" w14:textId="77777777" w:rsidR="00BB4C71" w:rsidRDefault="00BB4C71" w:rsidP="00DE795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Prevajanje s sodno overitvijo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FD4E378" w14:textId="77777777" w:rsidR="00BB4C71" w:rsidRDefault="00BB4C71" w:rsidP="00DE795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prevajalska stran</w:t>
            </w:r>
          </w:p>
        </w:tc>
        <w:tc>
          <w:tcPr>
            <w:tcW w:w="2864" w:type="dxa"/>
            <w:shd w:val="clear" w:color="auto" w:fill="auto"/>
            <w:vAlign w:val="center"/>
          </w:tcPr>
          <w:p w14:paraId="75272F82" w14:textId="77777777" w:rsidR="00BB4C71" w:rsidRDefault="00BB4C71" w:rsidP="00DE795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</w:tbl>
    <w:p w14:paraId="40C2D93B" w14:textId="77777777" w:rsidR="00BB4C71" w:rsidRPr="00F45190" w:rsidRDefault="00BB4C71" w:rsidP="00BB4C71">
      <w:pPr>
        <w:pStyle w:val="Odstavekseznama"/>
        <w:spacing w:after="0"/>
        <w:ind w:left="360"/>
        <w:jc w:val="both"/>
        <w:rPr>
          <w:rFonts w:ascii="Arial" w:eastAsia="Times New Roman" w:hAnsi="Arial" w:cs="Arial"/>
          <w:sz w:val="20"/>
          <w:szCs w:val="24"/>
        </w:rPr>
      </w:pPr>
    </w:p>
    <w:p w14:paraId="440881C2" w14:textId="0BCC8AB5" w:rsidR="00BB4C71" w:rsidRPr="005A421E" w:rsidRDefault="00BB4C71" w:rsidP="005A421E">
      <w:pPr>
        <w:pStyle w:val="Odstavekseznama"/>
        <w:numPr>
          <w:ilvl w:val="0"/>
          <w:numId w:val="1"/>
        </w:numPr>
        <w:rPr>
          <w:rFonts w:ascii="Arial" w:eastAsia="Times New Roman" w:hAnsi="Arial" w:cs="Arial"/>
          <w:sz w:val="20"/>
          <w:szCs w:val="24"/>
        </w:rPr>
      </w:pPr>
      <w:r w:rsidRPr="00F45190">
        <w:rPr>
          <w:rFonts w:ascii="Arial" w:eastAsia="Times New Roman" w:hAnsi="Arial" w:cs="Arial"/>
          <w:sz w:val="20"/>
          <w:szCs w:val="24"/>
        </w:rPr>
        <w:t>Ponudnik izpolni predračun za sklop, na katerega se prijavlja.</w:t>
      </w:r>
    </w:p>
    <w:p w14:paraId="227143AB" w14:textId="5EFB980E" w:rsidR="00BB4C71" w:rsidRPr="005A421E" w:rsidRDefault="00BB4C71" w:rsidP="005A421E">
      <w:pPr>
        <w:pStyle w:val="Odstavekseznama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20"/>
          <w:szCs w:val="24"/>
        </w:rPr>
      </w:pPr>
      <w:r w:rsidRPr="00F45190">
        <w:rPr>
          <w:rFonts w:ascii="Arial" w:eastAsia="Times New Roman" w:hAnsi="Arial" w:cs="Arial"/>
          <w:sz w:val="20"/>
          <w:szCs w:val="24"/>
        </w:rPr>
        <w:t xml:space="preserve">Ponudnik mora za prevajanje </w:t>
      </w:r>
      <w:r w:rsidRPr="00F45190">
        <w:rPr>
          <w:rFonts w:ascii="Arial" w:eastAsia="Times New Roman" w:hAnsi="Arial" w:cs="Arial"/>
          <w:sz w:val="20"/>
        </w:rPr>
        <w:t>iz tujega jezika v slovenski jezik ali obratno</w:t>
      </w:r>
      <w:r w:rsidRPr="00F45190">
        <w:rPr>
          <w:rFonts w:ascii="Arial" w:eastAsia="Times New Roman" w:hAnsi="Arial" w:cs="Arial"/>
          <w:sz w:val="20"/>
          <w:szCs w:val="24"/>
        </w:rPr>
        <w:t xml:space="preserve"> podati enako ceno.</w:t>
      </w:r>
    </w:p>
    <w:p w14:paraId="57A207CC" w14:textId="77777777" w:rsidR="00523233" w:rsidRDefault="00BB4C71" w:rsidP="00523233">
      <w:pPr>
        <w:pStyle w:val="Odstavekseznama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E5780D">
        <w:rPr>
          <w:rFonts w:ascii="Arial" w:eastAsia="Times New Roman" w:hAnsi="Arial" w:cs="Arial"/>
          <w:sz w:val="20"/>
          <w:szCs w:val="24"/>
        </w:rPr>
        <w:t xml:space="preserve">Cene storitev vključujejo vse elemente, iz katerih so sestavljene in pokrivajo vse stroške, ki jih bo imel izvajalec v zvezi z realizacijo naročila (cena prevajanja, tolmačenja, režijski stroški, potni stroški, materialni stroški, drugi morebitni stroški, davek na dodano vrednost, vsi davki in prispevki </w:t>
      </w:r>
      <w:r w:rsidRPr="005A421E">
        <w:rPr>
          <w:rFonts w:ascii="Arial" w:eastAsia="Times New Roman" w:hAnsi="Arial" w:cs="Arial"/>
          <w:sz w:val="20"/>
          <w:szCs w:val="20"/>
        </w:rPr>
        <w:t>ter ostali nepredvideni stroški).</w:t>
      </w:r>
    </w:p>
    <w:p w14:paraId="0C70F6AD" w14:textId="260E4A33" w:rsidR="005A421E" w:rsidRPr="00523233" w:rsidRDefault="005A421E" w:rsidP="00523233">
      <w:pPr>
        <w:pStyle w:val="Odstavekseznama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20"/>
          <w:szCs w:val="20"/>
          <w:u w:val="single"/>
        </w:rPr>
      </w:pPr>
      <w:r w:rsidRPr="00523233">
        <w:rPr>
          <w:rFonts w:ascii="Arial" w:hAnsi="Arial" w:cs="Arial"/>
          <w:i/>
          <w:iCs/>
          <w:sz w:val="20"/>
          <w:szCs w:val="20"/>
          <w:u w:val="single"/>
        </w:rPr>
        <w:t xml:space="preserve">Naročnik bo pri končni ponudbeni ceni </w:t>
      </w:r>
      <w:r w:rsidR="00523233" w:rsidRPr="00523233">
        <w:rPr>
          <w:rFonts w:ascii="Arial" w:hAnsi="Arial" w:cs="Arial"/>
          <w:sz w:val="20"/>
          <w:szCs w:val="20"/>
          <w:u w:val="single"/>
        </w:rPr>
        <w:t xml:space="preserve">upošteval znesek bruto </w:t>
      </w:r>
      <w:proofErr w:type="spellStart"/>
      <w:r w:rsidR="00523233" w:rsidRPr="00523233">
        <w:rPr>
          <w:rFonts w:ascii="Arial" w:hAnsi="Arial" w:cs="Arial"/>
          <w:sz w:val="20"/>
          <w:szCs w:val="20"/>
          <w:u w:val="single"/>
        </w:rPr>
        <w:t>bruto</w:t>
      </w:r>
      <w:proofErr w:type="spellEnd"/>
      <w:r w:rsidR="00523233" w:rsidRPr="00523233">
        <w:rPr>
          <w:rFonts w:ascii="Arial" w:hAnsi="Arial" w:cs="Arial"/>
          <w:sz w:val="20"/>
          <w:szCs w:val="20"/>
          <w:u w:val="single"/>
        </w:rPr>
        <w:t xml:space="preserve"> pri uvrstitvi  na seznam po podanih merilih v nadaljevanju, kar pomeni za naročnika tudi končni strošek za posamezno storitev. Ponudnik lahko</w:t>
      </w:r>
      <w:r w:rsidR="00770F45">
        <w:rPr>
          <w:rFonts w:ascii="Arial" w:hAnsi="Arial" w:cs="Arial"/>
          <w:sz w:val="20"/>
          <w:szCs w:val="20"/>
          <w:u w:val="single"/>
        </w:rPr>
        <w:t xml:space="preserve"> informativno</w:t>
      </w:r>
      <w:r w:rsidR="00523233" w:rsidRPr="00523233">
        <w:rPr>
          <w:rFonts w:ascii="Arial" w:hAnsi="Arial" w:cs="Arial"/>
          <w:sz w:val="20"/>
          <w:szCs w:val="20"/>
          <w:u w:val="single"/>
        </w:rPr>
        <w:t xml:space="preserve"> preveri končen, bruto </w:t>
      </w:r>
      <w:proofErr w:type="spellStart"/>
      <w:r w:rsidR="00523233" w:rsidRPr="00523233">
        <w:rPr>
          <w:rFonts w:ascii="Arial" w:hAnsi="Arial" w:cs="Arial"/>
          <w:sz w:val="20"/>
          <w:szCs w:val="20"/>
          <w:u w:val="single"/>
        </w:rPr>
        <w:t>bruto</w:t>
      </w:r>
      <w:proofErr w:type="spellEnd"/>
      <w:r w:rsidR="00523233" w:rsidRPr="00523233">
        <w:rPr>
          <w:rFonts w:ascii="Arial" w:hAnsi="Arial" w:cs="Arial"/>
          <w:sz w:val="20"/>
          <w:szCs w:val="20"/>
          <w:u w:val="single"/>
        </w:rPr>
        <w:t xml:space="preserve"> znesek, ki ga bo naročnik upošteval glede na podan znesek ponudnika preko spletne povezave: https://www.zvezarfr.si/pripomocki/izracuni/avtorski-honorar.</w:t>
      </w:r>
    </w:p>
    <w:p w14:paraId="2A0ABAF9" w14:textId="77777777" w:rsidR="005A421E" w:rsidRPr="005A421E" w:rsidRDefault="00BB4C71" w:rsidP="005A421E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i/>
          <w:iCs/>
          <w:sz w:val="20"/>
          <w:szCs w:val="20"/>
        </w:rPr>
      </w:pPr>
      <w:r w:rsidRPr="005A421E">
        <w:rPr>
          <w:rFonts w:ascii="Arial" w:eastAsia="Times New Roman" w:hAnsi="Arial" w:cs="Arial"/>
          <w:sz w:val="20"/>
          <w:szCs w:val="24"/>
        </w:rPr>
        <w:t>Cene morajo biti zaokrožene na dve decimalni mesti.</w:t>
      </w:r>
      <w:r w:rsidR="00C15402" w:rsidRPr="005A421E">
        <w:rPr>
          <w:rFonts w:ascii="Arial" w:eastAsia="Times New Roman" w:hAnsi="Arial" w:cs="Arial"/>
          <w:sz w:val="20"/>
          <w:szCs w:val="24"/>
        </w:rPr>
        <w:tab/>
      </w:r>
    </w:p>
    <w:p w14:paraId="1E23F122" w14:textId="4388329E" w:rsidR="005A421E" w:rsidRPr="005A421E" w:rsidRDefault="00BB4C71" w:rsidP="005A421E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i/>
          <w:iCs/>
          <w:sz w:val="20"/>
          <w:szCs w:val="20"/>
        </w:rPr>
      </w:pPr>
      <w:r w:rsidRPr="005A421E">
        <w:rPr>
          <w:rFonts w:ascii="Arial" w:eastAsia="Times New Roman" w:hAnsi="Arial" w:cs="Arial"/>
          <w:sz w:val="20"/>
          <w:szCs w:val="24"/>
        </w:rPr>
        <w:t>Cena za prevajanje s sodno overitvijo ne sme biti višja kot je določeno s Pravilnikom o sodnih izvedencih, sodnih cenilcih in sodnih tolmačih (Uradni list RS, št. 84/18</w:t>
      </w:r>
      <w:r w:rsidR="00C80220" w:rsidRPr="005A421E">
        <w:rPr>
          <w:rFonts w:ascii="Arial" w:eastAsia="Times New Roman" w:hAnsi="Arial" w:cs="Arial"/>
          <w:sz w:val="20"/>
          <w:szCs w:val="24"/>
        </w:rPr>
        <w:t xml:space="preserve"> in 148/21</w:t>
      </w:r>
      <w:r w:rsidRPr="005A421E">
        <w:rPr>
          <w:rFonts w:ascii="Arial" w:eastAsia="Times New Roman" w:hAnsi="Arial" w:cs="Arial"/>
          <w:sz w:val="20"/>
          <w:szCs w:val="24"/>
        </w:rPr>
        <w:t>).</w:t>
      </w:r>
      <w:r w:rsidR="00C15402" w:rsidRPr="005A421E">
        <w:rPr>
          <w:rFonts w:ascii="Arial" w:eastAsia="Times New Roman" w:hAnsi="Arial" w:cs="Arial"/>
          <w:sz w:val="20"/>
          <w:szCs w:val="24"/>
        </w:rPr>
        <w:t xml:space="preserve"> </w:t>
      </w:r>
      <w:r w:rsidR="00872DCD" w:rsidRPr="005A421E">
        <w:rPr>
          <w:rFonts w:ascii="Arial" w:hAnsi="Arial" w:cs="Arial"/>
          <w:sz w:val="20"/>
          <w:szCs w:val="20"/>
        </w:rPr>
        <w:t>Ponudnik posreduje kopijo potrdila o imenovanju za sodnega tolmača, ki je bila izdana s strani ministrstva za pravosodje ali enakovrednega organa.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BB4C71" w:rsidRPr="00852158" w14:paraId="390DB18D" w14:textId="77777777" w:rsidTr="00DE795E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F34A7" w14:textId="77777777" w:rsidR="00BB4C71" w:rsidRPr="00852158" w:rsidRDefault="00BB4C71" w:rsidP="00DE795E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52158">
              <w:rPr>
                <w:rFonts w:ascii="Arial" w:eastAsia="Calibri" w:hAnsi="Arial" w:cs="Arial"/>
                <w:sz w:val="20"/>
                <w:szCs w:val="20"/>
              </w:rPr>
              <w:t>Kraj in datum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3BD3D" w14:textId="77777777" w:rsidR="00BB4C71" w:rsidRPr="00852158" w:rsidRDefault="00BB4C71" w:rsidP="00DE795E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52158">
              <w:rPr>
                <w:rFonts w:ascii="Arial" w:eastAsia="Calibri" w:hAnsi="Arial" w:cs="Arial"/>
                <w:sz w:val="20"/>
                <w:szCs w:val="20"/>
              </w:rPr>
              <w:t>Žig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FAD71" w14:textId="77777777" w:rsidR="00BB4C71" w:rsidRPr="00852158" w:rsidRDefault="00BB4C71" w:rsidP="00DE795E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52158">
              <w:rPr>
                <w:rFonts w:ascii="Arial" w:eastAsia="Calibri" w:hAnsi="Arial" w:cs="Arial"/>
                <w:sz w:val="20"/>
                <w:szCs w:val="20"/>
              </w:rPr>
              <w:t>Podpis pooblaščene osebe ponudnika</w:t>
            </w:r>
          </w:p>
        </w:tc>
      </w:tr>
      <w:tr w:rsidR="00BB4C71" w:rsidRPr="00852158" w14:paraId="075C61B0" w14:textId="77777777" w:rsidTr="00DE795E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3E78" w14:textId="77777777" w:rsidR="00BB4C71" w:rsidRPr="00852158" w:rsidRDefault="00BB4C71" w:rsidP="00DE795E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76A67009" w14:textId="77777777" w:rsidR="00BB4C71" w:rsidRPr="00852158" w:rsidRDefault="00BB4C71" w:rsidP="00DE795E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6A24FF6E" w14:textId="77777777" w:rsidR="00BB4C71" w:rsidRPr="00852158" w:rsidRDefault="00BB4C71" w:rsidP="00DE795E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80A09" w14:textId="77777777" w:rsidR="00BB4C71" w:rsidRPr="00852158" w:rsidRDefault="00BB4C71" w:rsidP="00DE795E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C466" w14:textId="77777777" w:rsidR="00BB4C71" w:rsidRPr="00852158" w:rsidRDefault="00BB4C71" w:rsidP="00DE795E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2447F459" w14:textId="77777777" w:rsidR="00D642AD" w:rsidRDefault="00D642AD"/>
    <w:sectPr w:rsidR="00D642A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7EBAA7" w14:textId="77777777" w:rsidR="00BB4C71" w:rsidRDefault="00BB4C71" w:rsidP="00BB4C71">
      <w:pPr>
        <w:spacing w:after="0" w:line="240" w:lineRule="auto"/>
      </w:pPr>
      <w:r>
        <w:separator/>
      </w:r>
    </w:p>
  </w:endnote>
  <w:endnote w:type="continuationSeparator" w:id="0">
    <w:p w14:paraId="1B318AC2" w14:textId="77777777" w:rsidR="00BB4C71" w:rsidRDefault="00BB4C71" w:rsidP="00BB4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A9F6D" w14:textId="62959837" w:rsidR="00D331D8" w:rsidRDefault="00BB4C71" w:rsidP="00D331D8">
    <w:pPr>
      <w:pStyle w:val="Noga"/>
      <w:jc w:val="center"/>
    </w:pPr>
    <w:r>
      <w:t>JN 430-91/2021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39DC1E" w14:textId="77777777" w:rsidR="00BB4C71" w:rsidRDefault="00BB4C71" w:rsidP="00BB4C71">
      <w:pPr>
        <w:spacing w:after="0" w:line="240" w:lineRule="auto"/>
      </w:pPr>
      <w:r>
        <w:separator/>
      </w:r>
    </w:p>
  </w:footnote>
  <w:footnote w:type="continuationSeparator" w:id="0">
    <w:p w14:paraId="60BF989F" w14:textId="77777777" w:rsidR="00BB4C71" w:rsidRDefault="00BB4C71" w:rsidP="00BB4C71">
      <w:pPr>
        <w:spacing w:after="0" w:line="240" w:lineRule="auto"/>
      </w:pPr>
      <w:r>
        <w:continuationSeparator/>
      </w:r>
    </w:p>
  </w:footnote>
  <w:footnote w:id="1">
    <w:p w14:paraId="1EF267EF" w14:textId="046966D4" w:rsidR="00BB4C71" w:rsidRPr="005A421E" w:rsidRDefault="00BB4C71" w:rsidP="00BB4C71">
      <w:pPr>
        <w:pStyle w:val="Sprotnaopomba-besedilo"/>
        <w:jc w:val="both"/>
        <w:rPr>
          <w:i/>
          <w:iCs/>
        </w:rPr>
      </w:pPr>
      <w:r>
        <w:rPr>
          <w:rStyle w:val="Sprotnaopomba-sklic"/>
        </w:rPr>
        <w:footnoteRef/>
      </w:r>
      <w:r>
        <w:t xml:space="preserve"> </w:t>
      </w:r>
      <w:r w:rsidRPr="005A421E">
        <w:rPr>
          <w:rFonts w:ascii="Arial" w:hAnsi="Arial" w:cs="Arial"/>
          <w:sz w:val="18"/>
          <w:szCs w:val="18"/>
        </w:rPr>
        <w:t xml:space="preserve">V primeru, da ponudnik ponuja prevajanje v več jezikov (različni sklopi), mora obrazec fotokopirati oz. izpolniti več ponudbenih predračunov, iz katerih so razvidne jezikovne kombinacije. Ostale obrazce, ki jih zahteva naročnik izpolni samo </w:t>
      </w:r>
      <w:r w:rsidRPr="005A421E">
        <w:rPr>
          <w:rFonts w:ascii="Arial" w:hAnsi="Arial" w:cs="Arial"/>
          <w:i/>
          <w:iCs/>
          <w:sz w:val="18"/>
          <w:szCs w:val="18"/>
        </w:rPr>
        <w:t>enkrat.</w:t>
      </w:r>
      <w:r w:rsidR="004D2385" w:rsidRPr="005A421E">
        <w:rPr>
          <w:rFonts w:ascii="Arial" w:hAnsi="Arial" w:cs="Arial"/>
          <w:i/>
          <w:iCs/>
          <w:sz w:val="18"/>
          <w:szCs w:val="18"/>
        </w:rPr>
        <w:t xml:space="preserve"> Ponudbeni predračun naloži v e-JN sistemu v zavihek »Predračun« v obliki </w:t>
      </w:r>
      <w:proofErr w:type="spellStart"/>
      <w:r w:rsidR="004D2385" w:rsidRPr="005A421E">
        <w:rPr>
          <w:rFonts w:ascii="Arial" w:hAnsi="Arial" w:cs="Arial"/>
          <w:i/>
          <w:iCs/>
          <w:sz w:val="18"/>
          <w:szCs w:val="18"/>
        </w:rPr>
        <w:t>pdf</w:t>
      </w:r>
      <w:proofErr w:type="spellEnd"/>
      <w:r w:rsidR="004D2385" w:rsidRPr="005A421E">
        <w:rPr>
          <w:rFonts w:ascii="Arial" w:hAnsi="Arial" w:cs="Arial"/>
          <w:i/>
          <w:iCs/>
          <w:sz w:val="18"/>
          <w:szCs w:val="18"/>
        </w:rPr>
        <w:t xml:space="preserve"> datoteke, v primeru več predračunov, mora vse naložiti v eni datoteki.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89F358" w14:textId="1734988C" w:rsidR="00FE3012" w:rsidRDefault="00770F45" w:rsidP="00FE3012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C83EA4"/>
    <w:multiLevelType w:val="hybridMultilevel"/>
    <w:tmpl w:val="83086B2E"/>
    <w:lvl w:ilvl="0" w:tplc="0B6C722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C71"/>
    <w:rsid w:val="00416CE5"/>
    <w:rsid w:val="004D2385"/>
    <w:rsid w:val="00523233"/>
    <w:rsid w:val="005A421E"/>
    <w:rsid w:val="00655741"/>
    <w:rsid w:val="00770F45"/>
    <w:rsid w:val="00872DCD"/>
    <w:rsid w:val="00BB4C71"/>
    <w:rsid w:val="00BC5E3C"/>
    <w:rsid w:val="00C15402"/>
    <w:rsid w:val="00C80220"/>
    <w:rsid w:val="00D64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45BF4"/>
  <w15:chartTrackingRefBased/>
  <w15:docId w15:val="{40B5F1A5-221A-48B6-8F01-7888ACB1E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B4C71"/>
    <w:pPr>
      <w:spacing w:after="200" w:line="276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BB4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BB4C71"/>
  </w:style>
  <w:style w:type="paragraph" w:styleId="Noga">
    <w:name w:val="footer"/>
    <w:basedOn w:val="Navaden"/>
    <w:link w:val="NogaZnak"/>
    <w:uiPriority w:val="99"/>
    <w:unhideWhenUsed/>
    <w:rsid w:val="00BB4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BB4C71"/>
  </w:style>
  <w:style w:type="paragraph" w:styleId="Odstavekseznama">
    <w:name w:val="List Paragraph"/>
    <w:basedOn w:val="Navaden"/>
    <w:uiPriority w:val="34"/>
    <w:qFormat/>
    <w:rsid w:val="00BB4C71"/>
    <w:pPr>
      <w:ind w:left="720"/>
      <w:contextualSpacing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BB4C71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BB4C71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BB4C71"/>
    <w:rPr>
      <w:vertAlign w:val="superscript"/>
    </w:rPr>
  </w:style>
  <w:style w:type="character" w:styleId="Pripombasklic">
    <w:name w:val="annotation reference"/>
    <w:basedOn w:val="Privzetapisavaodstavka"/>
    <w:uiPriority w:val="99"/>
    <w:semiHidden/>
    <w:unhideWhenUsed/>
    <w:rsid w:val="004D238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D2385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D238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D238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D2385"/>
    <w:rPr>
      <w:b/>
      <w:bCs/>
      <w:sz w:val="20"/>
      <w:szCs w:val="20"/>
    </w:rPr>
  </w:style>
  <w:style w:type="character" w:styleId="Hiperpovezava">
    <w:name w:val="Hyperlink"/>
    <w:basedOn w:val="Privzetapisavaodstavka"/>
    <w:uiPriority w:val="99"/>
    <w:unhideWhenUsed/>
    <w:rsid w:val="005A421E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5A42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64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8AC394F-F739-4D80-926C-44D97C79A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285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Papež</dc:creator>
  <cp:keywords/>
  <dc:description/>
  <cp:lastModifiedBy>Mirjana Papež</cp:lastModifiedBy>
  <cp:revision>11</cp:revision>
  <dcterms:created xsi:type="dcterms:W3CDTF">2021-11-15T12:02:00Z</dcterms:created>
  <dcterms:modified xsi:type="dcterms:W3CDTF">2021-12-20T07:52:00Z</dcterms:modified>
</cp:coreProperties>
</file>