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Zakona o javnih uslužbencih (Uradni list RS, 63/07 – UPB 3, 65/08, 69/08-ZTFI-A, 69/08-ZZavar-E, 40/12-ZUJF</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27763C">
        <w:rPr>
          <w:rFonts w:ascii="Arial" w:hAnsi="Arial" w:cs="Arial"/>
          <w:b/>
          <w:sz w:val="20"/>
          <w:szCs w:val="20"/>
        </w:rPr>
        <w:t xml:space="preserve">(šifra dm </w:t>
      </w:r>
      <w:r w:rsidR="009758AD">
        <w:rPr>
          <w:rFonts w:ascii="Arial" w:hAnsi="Arial" w:cs="Arial"/>
          <w:b/>
          <w:sz w:val="20"/>
          <w:szCs w:val="20"/>
        </w:rPr>
        <w:t>1265</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415D2">
        <w:rPr>
          <w:rFonts w:ascii="Arial" w:hAnsi="Arial" w:cs="Arial"/>
          <w:b/>
          <w:sz w:val="20"/>
          <w:szCs w:val="20"/>
        </w:rPr>
        <w:t>metodologijo in standarde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415D2">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C205E5" w:rsidRPr="00C205E5">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C205E5">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8B1879" w:rsidRPr="008B1879" w:rsidRDefault="008B1879" w:rsidP="008B1879">
      <w:pPr>
        <w:jc w:val="both"/>
        <w:rPr>
          <w:rFonts w:ascii="Arial" w:hAnsi="Arial" w:cs="Arial"/>
          <w:b/>
          <w:sz w:val="20"/>
          <w:szCs w:val="20"/>
        </w:rPr>
      </w:pPr>
      <w:r w:rsidRPr="008B1879">
        <w:rPr>
          <w:rFonts w:ascii="Arial" w:hAnsi="Arial" w:cs="Arial"/>
          <w:b/>
          <w:sz w:val="20"/>
          <w:szCs w:val="20"/>
        </w:rPr>
        <w:t xml:space="preserve">Delovne naloge povzete iz sistemizacije delovnega mesta: </w:t>
      </w:r>
    </w:p>
    <w:p w:rsidR="00037F5A" w:rsidRDefault="00037F5A" w:rsidP="0048741D">
      <w:pPr>
        <w:jc w:val="both"/>
        <w:rPr>
          <w:rFonts w:ascii="Arial" w:hAnsi="Arial" w:cs="Arial"/>
          <w:sz w:val="20"/>
          <w:szCs w:val="20"/>
        </w:rPr>
      </w:pPr>
      <w:r w:rsidRPr="00037F5A">
        <w:rPr>
          <w:rFonts w:ascii="Arial" w:hAnsi="Arial" w:cs="Arial"/>
          <w:sz w:val="20"/>
          <w:szCs w:val="20"/>
        </w:rPr>
        <w:t>- sodelovanje pri pripravi predpisov in drugih zahtevnejših gradiv</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usposabljanje za zbiranje, urejanje in pripravo podatkov za oblikovanje zahtevnejših gradiv</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usposabljanje za samostojno oblikovanje manj zahtevnih gradiv s predlogi ukrepov</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pomoč pri opravljanju drugih nalog podobne zahtevnosti</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usposabljanje za pripravo analiz, informacij, poročil in drugih gradiv</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spremljanje predpisov delovnega področja</w:t>
      </w:r>
      <w:r>
        <w:rPr>
          <w:rFonts w:ascii="Arial" w:hAnsi="Arial" w:cs="Arial"/>
          <w:sz w:val="20"/>
          <w:szCs w:val="20"/>
        </w:rPr>
        <w:t>,</w:t>
      </w:r>
    </w:p>
    <w:p w:rsidR="0070204B" w:rsidRDefault="00037F5A" w:rsidP="0048741D">
      <w:pPr>
        <w:jc w:val="both"/>
        <w:rPr>
          <w:rFonts w:ascii="Arial" w:hAnsi="Arial" w:cs="Arial"/>
          <w:sz w:val="20"/>
          <w:szCs w:val="20"/>
        </w:rPr>
      </w:pPr>
      <w:r w:rsidRPr="00037F5A">
        <w:rPr>
          <w:rFonts w:ascii="Arial" w:hAnsi="Arial" w:cs="Arial"/>
          <w:sz w:val="20"/>
          <w:szCs w:val="20"/>
        </w:rPr>
        <w:t>- sodelovanje z drugimi organi, institucijami in uporabniki</w:t>
      </w:r>
      <w:r>
        <w:rPr>
          <w:rFonts w:ascii="Arial" w:hAnsi="Arial" w:cs="Arial"/>
          <w:sz w:val="20"/>
          <w:szCs w:val="20"/>
        </w:rPr>
        <w:t>.</w:t>
      </w:r>
    </w:p>
    <w:p w:rsidR="00037F5A" w:rsidRPr="0070204B" w:rsidRDefault="00037F5A" w:rsidP="0048741D">
      <w:pPr>
        <w:jc w:val="both"/>
        <w:rPr>
          <w:rFonts w:ascii="Arial" w:hAnsi="Arial" w:cs="Arial"/>
          <w:sz w:val="20"/>
          <w:szCs w:val="20"/>
        </w:rPr>
      </w:pPr>
    </w:p>
    <w:p w:rsidR="00AC444E" w:rsidRDefault="00AC444E" w:rsidP="00AC444E">
      <w:pPr>
        <w:pStyle w:val="NormalWeb"/>
        <w:spacing w:after="0"/>
        <w:rPr>
          <w:sz w:val="22"/>
          <w:szCs w:val="22"/>
        </w:rPr>
      </w:pPr>
      <w:r w:rsidRPr="00AC444E">
        <w:rPr>
          <w:rFonts w:ascii="Arial" w:hAnsi="Arial" w:cs="Arial"/>
          <w:b/>
          <w:sz w:val="20"/>
          <w:szCs w:val="20"/>
        </w:rPr>
        <w:t>Izbrani kandidat se bo s pomočjo mentorja na delovnem mestu svetovalec – pripravnik</w:t>
      </w:r>
      <w:r w:rsidR="008B1879">
        <w:rPr>
          <w:rFonts w:ascii="Arial" w:hAnsi="Arial" w:cs="Arial"/>
          <w:b/>
          <w:sz w:val="20"/>
          <w:szCs w:val="20"/>
        </w:rPr>
        <w:t xml:space="preserve"> usposabljal za</w:t>
      </w:r>
      <w:r w:rsidRPr="00AC444E">
        <w:rPr>
          <w:rFonts w:ascii="Arial" w:hAnsi="Arial" w:cs="Arial"/>
          <w:b/>
          <w:sz w:val="20"/>
          <w:szCs w:val="20"/>
        </w:rPr>
        <w:t>:</w:t>
      </w:r>
      <w:r>
        <w:rPr>
          <w:sz w:val="22"/>
          <w:szCs w:val="22"/>
        </w:rPr>
        <w:t xml:space="preserve"> </w:t>
      </w:r>
    </w:p>
    <w:p w:rsidR="00AC444E" w:rsidRDefault="00AC444E" w:rsidP="00AC444E">
      <w:pPr>
        <w:pStyle w:val="NormalWeb"/>
        <w:spacing w:after="0"/>
        <w:rPr>
          <w:rFonts w:ascii="Arial" w:hAnsi="Arial" w:cs="Arial"/>
          <w:sz w:val="20"/>
          <w:szCs w:val="20"/>
        </w:rPr>
      </w:pPr>
      <w:r>
        <w:rPr>
          <w:rFonts w:ascii="Arial" w:hAnsi="Arial" w:cs="Arial"/>
          <w:sz w:val="20"/>
          <w:szCs w:val="20"/>
        </w:rPr>
        <w:t xml:space="preserve">- postavljanje metodologije </w:t>
      </w:r>
      <w:r w:rsidR="008B1879">
        <w:rPr>
          <w:rFonts w:ascii="Arial" w:hAnsi="Arial" w:cs="Arial"/>
          <w:sz w:val="20"/>
          <w:szCs w:val="20"/>
        </w:rPr>
        <w:t xml:space="preserve">statističnih </w:t>
      </w:r>
      <w:r>
        <w:rPr>
          <w:rFonts w:ascii="Arial" w:hAnsi="Arial" w:cs="Arial"/>
          <w:sz w:val="20"/>
          <w:szCs w:val="20"/>
        </w:rPr>
        <w:t xml:space="preserve">raziskovanj, s katerimi SURS zagotavlja </w:t>
      </w:r>
      <w:r w:rsidR="008B1879">
        <w:rPr>
          <w:rFonts w:ascii="Arial" w:hAnsi="Arial" w:cs="Arial"/>
          <w:sz w:val="20"/>
          <w:szCs w:val="20"/>
        </w:rPr>
        <w:t xml:space="preserve">svojim uporabnikom </w:t>
      </w:r>
      <w:r>
        <w:rPr>
          <w:rFonts w:ascii="Arial" w:hAnsi="Arial" w:cs="Arial"/>
          <w:sz w:val="20"/>
          <w:szCs w:val="20"/>
        </w:rPr>
        <w:t>kakovostne</w:t>
      </w:r>
      <w:r w:rsidR="008B1879">
        <w:rPr>
          <w:rFonts w:ascii="Arial" w:hAnsi="Arial" w:cs="Arial"/>
          <w:sz w:val="20"/>
          <w:szCs w:val="20"/>
        </w:rPr>
        <w:t xml:space="preserve"> statistične</w:t>
      </w:r>
      <w:r>
        <w:rPr>
          <w:rFonts w:ascii="Arial" w:hAnsi="Arial" w:cs="Arial"/>
          <w:sz w:val="20"/>
          <w:szCs w:val="20"/>
        </w:rPr>
        <w:t xml:space="preserve"> podatke,</w:t>
      </w:r>
    </w:p>
    <w:p w:rsidR="00AC444E" w:rsidRDefault="00AC444E" w:rsidP="00AC444E">
      <w:pPr>
        <w:pStyle w:val="NormalWeb"/>
        <w:spacing w:after="0"/>
        <w:rPr>
          <w:rFonts w:ascii="Arial" w:hAnsi="Arial" w:cs="Arial"/>
          <w:sz w:val="20"/>
          <w:szCs w:val="20"/>
        </w:rPr>
      </w:pPr>
      <w:r>
        <w:rPr>
          <w:rFonts w:ascii="Arial" w:hAnsi="Arial" w:cs="Arial"/>
          <w:sz w:val="20"/>
          <w:szCs w:val="20"/>
        </w:rPr>
        <w:lastRenderedPageBreak/>
        <w:t xml:space="preserve">- analizo </w:t>
      </w:r>
      <w:r w:rsidR="008B1879">
        <w:rPr>
          <w:rFonts w:ascii="Arial" w:hAnsi="Arial" w:cs="Arial"/>
          <w:sz w:val="20"/>
          <w:szCs w:val="20"/>
        </w:rPr>
        <w:t>različnih</w:t>
      </w:r>
      <w:r>
        <w:rPr>
          <w:rFonts w:ascii="Arial" w:hAnsi="Arial" w:cs="Arial"/>
          <w:sz w:val="20"/>
          <w:szCs w:val="20"/>
        </w:rPr>
        <w:t xml:space="preserve"> podatkov, ki jih SURS pridobi s strani </w:t>
      </w:r>
      <w:r w:rsidR="008B1879">
        <w:rPr>
          <w:rFonts w:ascii="Arial" w:hAnsi="Arial" w:cs="Arial"/>
          <w:sz w:val="20"/>
          <w:szCs w:val="20"/>
        </w:rPr>
        <w:t xml:space="preserve">dajalcev podatkov (poslovnih </w:t>
      </w:r>
      <w:r w:rsidR="008B1189">
        <w:rPr>
          <w:rFonts w:ascii="Arial" w:hAnsi="Arial" w:cs="Arial"/>
          <w:sz w:val="20"/>
          <w:szCs w:val="20"/>
        </w:rPr>
        <w:t xml:space="preserve">subjektov, oseb, </w:t>
      </w:r>
      <w:r>
        <w:rPr>
          <w:rFonts w:ascii="Arial" w:hAnsi="Arial" w:cs="Arial"/>
          <w:sz w:val="20"/>
          <w:szCs w:val="20"/>
        </w:rPr>
        <w:t>gospodinjstev</w:t>
      </w:r>
      <w:r w:rsidR="008B1189">
        <w:rPr>
          <w:rFonts w:ascii="Arial" w:hAnsi="Arial" w:cs="Arial"/>
          <w:sz w:val="20"/>
          <w:szCs w:val="20"/>
        </w:rPr>
        <w:t xml:space="preserve"> in kmetijskih gospodarstev),</w:t>
      </w:r>
    </w:p>
    <w:p w:rsidR="00AC444E" w:rsidRDefault="00AC444E" w:rsidP="00AC444E">
      <w:pPr>
        <w:pStyle w:val="NormalWeb"/>
        <w:spacing w:after="0"/>
        <w:rPr>
          <w:rFonts w:ascii="Arial" w:hAnsi="Arial" w:cs="Arial"/>
          <w:sz w:val="20"/>
          <w:szCs w:val="20"/>
        </w:rPr>
      </w:pPr>
      <w:r>
        <w:rPr>
          <w:rFonts w:ascii="Arial" w:hAnsi="Arial" w:cs="Arial"/>
          <w:sz w:val="20"/>
          <w:szCs w:val="20"/>
        </w:rPr>
        <w:t>- programiranj</w:t>
      </w:r>
      <w:r w:rsidR="008B1189">
        <w:rPr>
          <w:rFonts w:ascii="Arial" w:hAnsi="Arial" w:cs="Arial"/>
          <w:sz w:val="20"/>
          <w:szCs w:val="20"/>
        </w:rPr>
        <w:t>e</w:t>
      </w:r>
      <w:r>
        <w:rPr>
          <w:rFonts w:ascii="Arial" w:hAnsi="Arial" w:cs="Arial"/>
          <w:sz w:val="20"/>
          <w:szCs w:val="20"/>
        </w:rPr>
        <w:t xml:space="preserve"> v programskem orodju SAS</w:t>
      </w:r>
      <w:r w:rsidR="008B1189">
        <w:rPr>
          <w:rFonts w:ascii="Arial" w:hAnsi="Arial" w:cs="Arial"/>
          <w:sz w:val="20"/>
          <w:szCs w:val="20"/>
        </w:rPr>
        <w:t xml:space="preserve">, enem od glavnih orodij za </w:t>
      </w:r>
      <w:r>
        <w:rPr>
          <w:rFonts w:ascii="Arial" w:hAnsi="Arial" w:cs="Arial"/>
          <w:sz w:val="20"/>
          <w:szCs w:val="20"/>
        </w:rPr>
        <w:t>analizo podatkov</w:t>
      </w:r>
      <w:r w:rsidR="008B1189">
        <w:rPr>
          <w:rFonts w:ascii="Arial" w:hAnsi="Arial" w:cs="Arial"/>
          <w:sz w:val="20"/>
          <w:szCs w:val="20"/>
        </w:rPr>
        <w:t>, za statistično obdelavo podatkov</w:t>
      </w:r>
      <w:r>
        <w:rPr>
          <w:rFonts w:ascii="Arial" w:hAnsi="Arial" w:cs="Arial"/>
          <w:sz w:val="20"/>
          <w:szCs w:val="20"/>
        </w:rPr>
        <w:t>.</w:t>
      </w:r>
    </w:p>
    <w:p w:rsidR="00AC444E" w:rsidRDefault="00AC444E" w:rsidP="00AC444E">
      <w:pPr>
        <w:pStyle w:val="NormalWeb"/>
        <w:spacing w:after="0"/>
        <w:rPr>
          <w:rFonts w:ascii="Arial" w:hAnsi="Arial" w:cs="Arial"/>
          <w:sz w:val="20"/>
          <w:szCs w:val="20"/>
        </w:rPr>
      </w:pPr>
    </w:p>
    <w:p w:rsidR="00AC444E" w:rsidRDefault="00AC444E" w:rsidP="008B1189">
      <w:pPr>
        <w:pStyle w:val="NormalWeb"/>
        <w:spacing w:after="0"/>
        <w:jc w:val="both"/>
        <w:rPr>
          <w:rFonts w:ascii="Arial" w:hAnsi="Arial" w:cs="Arial"/>
          <w:sz w:val="20"/>
          <w:szCs w:val="20"/>
        </w:rPr>
      </w:pPr>
      <w:r w:rsidRPr="009A45B8">
        <w:rPr>
          <w:rFonts w:ascii="Arial" w:hAnsi="Arial" w:cs="Arial"/>
          <w:sz w:val="20"/>
          <w:szCs w:val="20"/>
        </w:rPr>
        <w:t>Poleg tega bo sodeloval pri vzpostavljanju podatkovnih baz</w:t>
      </w:r>
      <w:r w:rsidR="008B1189" w:rsidRPr="009A45B8">
        <w:rPr>
          <w:rFonts w:ascii="Arial" w:hAnsi="Arial" w:cs="Arial"/>
          <w:sz w:val="20"/>
          <w:szCs w:val="20"/>
        </w:rPr>
        <w:t>, sodeloval s strokovnjaki s posameznih vsebinskih področij na SURS</w:t>
      </w:r>
      <w:r w:rsidRPr="009A45B8">
        <w:rPr>
          <w:rFonts w:ascii="Arial" w:hAnsi="Arial" w:cs="Arial"/>
          <w:sz w:val="20"/>
          <w:szCs w:val="20"/>
        </w:rPr>
        <w:t xml:space="preserve"> in se udelež</w:t>
      </w:r>
      <w:r w:rsidR="008B1189" w:rsidRPr="009A45B8">
        <w:rPr>
          <w:rFonts w:ascii="Arial" w:hAnsi="Arial" w:cs="Arial"/>
          <w:sz w:val="20"/>
          <w:szCs w:val="20"/>
        </w:rPr>
        <w:t>eval</w:t>
      </w:r>
      <w:r w:rsidRPr="009A45B8">
        <w:rPr>
          <w:rFonts w:ascii="Arial" w:hAnsi="Arial" w:cs="Arial"/>
          <w:sz w:val="20"/>
          <w:szCs w:val="20"/>
        </w:rPr>
        <w:t xml:space="preserve"> različnih tečajev in konferenc, kjer bo pridobival znanje z delovnega področja, ki ga </w:t>
      </w:r>
      <w:r w:rsidR="00C205E5" w:rsidRPr="009A45B8">
        <w:rPr>
          <w:rFonts w:ascii="Arial" w:hAnsi="Arial" w:cs="Arial"/>
          <w:sz w:val="20"/>
          <w:szCs w:val="20"/>
        </w:rPr>
        <w:t xml:space="preserve">bo </w:t>
      </w:r>
      <w:r w:rsidRPr="009A45B8">
        <w:rPr>
          <w:rFonts w:ascii="Arial" w:hAnsi="Arial" w:cs="Arial"/>
          <w:sz w:val="20"/>
          <w:szCs w:val="20"/>
        </w:rPr>
        <w:t>opravlja</w:t>
      </w:r>
      <w:r w:rsidR="00C205E5" w:rsidRPr="009A45B8">
        <w:rPr>
          <w:rFonts w:ascii="Arial" w:hAnsi="Arial" w:cs="Arial"/>
          <w:sz w:val="20"/>
          <w:szCs w:val="20"/>
        </w:rPr>
        <w:t>l</w:t>
      </w:r>
      <w:r w:rsidRPr="009A45B8">
        <w:rPr>
          <w:rFonts w:ascii="Arial" w:hAnsi="Arial" w:cs="Arial"/>
          <w:sz w:val="20"/>
          <w:szCs w:val="20"/>
        </w:rPr>
        <w:t>.</w:t>
      </w:r>
    </w:p>
    <w:p w:rsidR="00AF5340" w:rsidRPr="00637C52" w:rsidRDefault="00AF534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iz 2. točke</w:t>
      </w:r>
      <w:r w:rsidRPr="0083597F">
        <w:rPr>
          <w:rFonts w:ascii="Arial" w:hAnsi="Arial" w:cs="Arial"/>
          <w:sz w:val="20"/>
          <w:szCs w:val="20"/>
        </w:rPr>
        <w:t xml:space="preserv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9A45B8" w:rsidRDefault="00DC3119" w:rsidP="00103EC7">
      <w:pPr>
        <w:rPr>
          <w:rFonts w:ascii="Arial" w:hAnsi="Arial" w:cs="Arial"/>
          <w:b/>
          <w:sz w:val="20"/>
          <w:szCs w:val="20"/>
        </w:rPr>
      </w:pPr>
      <w:r w:rsidRPr="009A45B8">
        <w:rPr>
          <w:rFonts w:ascii="Arial" w:hAnsi="Arial" w:cs="Arial"/>
          <w:b/>
          <w:sz w:val="20"/>
          <w:szCs w:val="20"/>
        </w:rPr>
        <w:t>Od kandidata pričakujemo</w:t>
      </w:r>
      <w:r w:rsidR="00103EC7" w:rsidRPr="009A45B8">
        <w:rPr>
          <w:rFonts w:ascii="Arial" w:hAnsi="Arial" w:cs="Arial"/>
          <w:b/>
          <w:sz w:val="20"/>
          <w:szCs w:val="20"/>
        </w:rPr>
        <w:t>:</w:t>
      </w:r>
    </w:p>
    <w:p w:rsidR="00AF5340" w:rsidRDefault="00AC444E" w:rsidP="00AF5340">
      <w:pPr>
        <w:numPr>
          <w:ilvl w:val="0"/>
          <w:numId w:val="8"/>
        </w:numPr>
        <w:jc w:val="both"/>
        <w:rPr>
          <w:rFonts w:ascii="Arial" w:hAnsi="Arial" w:cs="Arial"/>
          <w:sz w:val="20"/>
          <w:szCs w:val="20"/>
        </w:rPr>
      </w:pPr>
      <w:r>
        <w:rPr>
          <w:rFonts w:ascii="Arial" w:hAnsi="Arial" w:cs="Arial"/>
          <w:sz w:val="20"/>
          <w:szCs w:val="20"/>
        </w:rPr>
        <w:t xml:space="preserve">znanje osnov </w:t>
      </w:r>
      <w:r w:rsidR="008B1189">
        <w:rPr>
          <w:rFonts w:ascii="Arial" w:hAnsi="Arial" w:cs="Arial"/>
          <w:sz w:val="20"/>
          <w:szCs w:val="20"/>
        </w:rPr>
        <w:t>programiranja</w:t>
      </w:r>
      <w:r w:rsidR="00AF5340">
        <w:rPr>
          <w:rFonts w:ascii="Arial" w:hAnsi="Arial" w:cs="Arial"/>
          <w:sz w:val="20"/>
          <w:szCs w:val="20"/>
        </w:rPr>
        <w:t xml:space="preserve"> (SAS, R, </w:t>
      </w:r>
      <w:proofErr w:type="spellStart"/>
      <w:r w:rsidR="00AF5340">
        <w:rPr>
          <w:rFonts w:ascii="Arial" w:hAnsi="Arial" w:cs="Arial"/>
          <w:sz w:val="20"/>
          <w:szCs w:val="20"/>
        </w:rPr>
        <w:t>Stata</w:t>
      </w:r>
      <w:proofErr w:type="spellEnd"/>
      <w:r w:rsidR="00AF5340">
        <w:rPr>
          <w:rFonts w:ascii="Arial" w:hAnsi="Arial" w:cs="Arial"/>
          <w:sz w:val="20"/>
          <w:szCs w:val="20"/>
        </w:rPr>
        <w:t xml:space="preserve">, </w:t>
      </w:r>
      <w:proofErr w:type="spellStart"/>
      <w:r w:rsidR="00AF5340">
        <w:rPr>
          <w:rFonts w:ascii="Arial" w:hAnsi="Arial" w:cs="Arial"/>
          <w:sz w:val="20"/>
          <w:szCs w:val="20"/>
        </w:rPr>
        <w:t>Python</w:t>
      </w:r>
      <w:proofErr w:type="spellEnd"/>
      <w:r w:rsidR="00AF5340">
        <w:rPr>
          <w:rFonts w:ascii="Arial" w:hAnsi="Arial" w:cs="Arial"/>
          <w:sz w:val="20"/>
          <w:szCs w:val="20"/>
        </w:rPr>
        <w:t xml:space="preserve">, </w:t>
      </w:r>
      <w:r w:rsidR="008B1189">
        <w:rPr>
          <w:rFonts w:ascii="Arial" w:hAnsi="Arial" w:cs="Arial"/>
          <w:sz w:val="20"/>
          <w:szCs w:val="20"/>
        </w:rPr>
        <w:t xml:space="preserve">SQL, </w:t>
      </w:r>
      <w:r w:rsidR="00AF5340">
        <w:rPr>
          <w:rFonts w:ascii="Arial" w:hAnsi="Arial" w:cs="Arial"/>
          <w:sz w:val="20"/>
          <w:szCs w:val="20"/>
        </w:rPr>
        <w:t>…)</w:t>
      </w:r>
      <w:r w:rsidR="008B1189">
        <w:rPr>
          <w:rFonts w:ascii="Arial" w:hAnsi="Arial" w:cs="Arial"/>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uporabe računalniških programov: MS Word, MS Excel, MS Access,</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poznavanje področij verjetnosti in statistike,</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poznavanje statističnih postopkov in metod,</w:t>
      </w:r>
    </w:p>
    <w:p w:rsidR="008B1189" w:rsidRDefault="00AF5340" w:rsidP="00AF5340">
      <w:pPr>
        <w:numPr>
          <w:ilvl w:val="0"/>
          <w:numId w:val="9"/>
        </w:numPr>
        <w:jc w:val="both"/>
        <w:rPr>
          <w:rFonts w:ascii="Arial" w:hAnsi="Arial" w:cs="Arial"/>
          <w:sz w:val="20"/>
          <w:szCs w:val="20"/>
        </w:rPr>
      </w:pPr>
      <w:r>
        <w:rPr>
          <w:rFonts w:ascii="Arial" w:hAnsi="Arial" w:cs="Arial"/>
          <w:sz w:val="20"/>
          <w:szCs w:val="20"/>
        </w:rPr>
        <w:t>sposobnost analitičnega razmišljanja</w:t>
      </w:r>
      <w:r w:rsidR="008B1189">
        <w:rPr>
          <w:rFonts w:ascii="Arial" w:hAnsi="Arial" w:cs="Arial"/>
          <w:sz w:val="20"/>
          <w:szCs w:val="20"/>
        </w:rPr>
        <w:t>,</w:t>
      </w:r>
    </w:p>
    <w:p w:rsidR="00AF5340" w:rsidRPr="008B1189" w:rsidRDefault="008B1189" w:rsidP="008B1189">
      <w:pPr>
        <w:numPr>
          <w:ilvl w:val="0"/>
          <w:numId w:val="9"/>
        </w:numPr>
        <w:jc w:val="both"/>
        <w:rPr>
          <w:rFonts w:ascii="Arial" w:hAnsi="Arial" w:cs="Arial"/>
          <w:sz w:val="20"/>
          <w:szCs w:val="20"/>
        </w:rPr>
      </w:pPr>
      <w:r>
        <w:rPr>
          <w:rFonts w:ascii="Arial" w:hAnsi="Arial" w:cs="Arial"/>
          <w:sz w:val="20"/>
          <w:szCs w:val="20"/>
        </w:rPr>
        <w:t>sposobnost dobrega pisnega in ustnega izražanja</w:t>
      </w:r>
      <w:r w:rsidR="00AF5340" w:rsidRPr="008B1189">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24 oziroma 1085,43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1C1DCE">
        <w:rPr>
          <w:rFonts w:ascii="Arial" w:hAnsi="Arial" w:cs="Arial"/>
          <w:sz w:val="20"/>
          <w:szCs w:val="20"/>
        </w:rPr>
        <w:t xml:space="preserve">šifra </w:t>
      </w:r>
      <w:r w:rsidR="00F84C98">
        <w:rPr>
          <w:rFonts w:ascii="Arial" w:hAnsi="Arial" w:cs="Arial"/>
          <w:sz w:val="20"/>
          <w:szCs w:val="20"/>
        </w:rPr>
        <w:t>1265</w:t>
      </w:r>
      <w:r w:rsidRPr="0083597F">
        <w:rPr>
          <w:rFonts w:ascii="Arial" w:hAnsi="Arial" w:cs="Arial"/>
          <w:sz w:val="20"/>
          <w:szCs w:val="20"/>
        </w:rPr>
        <w:t>, številka 1102-</w:t>
      </w:r>
      <w:r w:rsidR="00F84C98">
        <w:rPr>
          <w:rFonts w:ascii="Arial" w:hAnsi="Arial" w:cs="Arial"/>
          <w:sz w:val="20"/>
          <w:szCs w:val="20"/>
        </w:rPr>
        <w:t>47</w:t>
      </w:r>
      <w:r w:rsidRPr="0083597F">
        <w:rPr>
          <w:rFonts w:ascii="Arial" w:hAnsi="Arial" w:cs="Arial"/>
          <w:sz w:val="20"/>
          <w:szCs w:val="20"/>
        </w:rPr>
        <w:t>/20</w:t>
      </w:r>
      <w:r w:rsidR="0021675C">
        <w:rPr>
          <w:rFonts w:ascii="Arial" w:hAnsi="Arial" w:cs="Arial"/>
          <w:sz w:val="20"/>
          <w:szCs w:val="20"/>
        </w:rPr>
        <w:t>2</w:t>
      </w:r>
      <w:r w:rsidR="00441E5C">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lastRenderedPageBreak/>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F84C98">
        <w:rPr>
          <w:rFonts w:ascii="Arial" w:hAnsi="Arial" w:cs="Arial"/>
          <w:sz w:val="20"/>
          <w:szCs w:val="20"/>
        </w:rPr>
        <w:t>mag. Maja Sever</w:t>
      </w:r>
      <w:r w:rsidR="00D53A2A" w:rsidRPr="000A5665">
        <w:rPr>
          <w:rFonts w:ascii="Arial" w:hAnsi="Arial" w:cs="Arial"/>
          <w:sz w:val="20"/>
          <w:szCs w:val="20"/>
        </w:rPr>
        <w:t xml:space="preserve">, telefon: </w:t>
      </w:r>
      <w:r w:rsidR="007E409E" w:rsidRPr="000A5665">
        <w:rPr>
          <w:rFonts w:ascii="Arial" w:hAnsi="Arial" w:cs="Arial"/>
          <w:sz w:val="20"/>
          <w:szCs w:val="20"/>
        </w:rPr>
        <w:t xml:space="preserve">01 </w:t>
      </w:r>
      <w:r w:rsidR="00F84C98">
        <w:rPr>
          <w:rFonts w:ascii="Arial" w:hAnsi="Arial" w:cs="Arial"/>
          <w:sz w:val="20"/>
          <w:szCs w:val="20"/>
        </w:rPr>
        <w:t>2340 816</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C6E8C">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C6E8C">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C6E8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C6E8C">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3890"/>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5294"/>
    <w:rsid w:val="003401D6"/>
    <w:rsid w:val="003446DC"/>
    <w:rsid w:val="00352541"/>
    <w:rsid w:val="0035351B"/>
    <w:rsid w:val="003573ED"/>
    <w:rsid w:val="00362BAA"/>
    <w:rsid w:val="00370112"/>
    <w:rsid w:val="00374ED0"/>
    <w:rsid w:val="00380FD8"/>
    <w:rsid w:val="0038129D"/>
    <w:rsid w:val="0038140F"/>
    <w:rsid w:val="00385F7D"/>
    <w:rsid w:val="003865F3"/>
    <w:rsid w:val="003A1F4D"/>
    <w:rsid w:val="003A5A5B"/>
    <w:rsid w:val="003A6671"/>
    <w:rsid w:val="003A7EAE"/>
    <w:rsid w:val="003B246C"/>
    <w:rsid w:val="003B41E6"/>
    <w:rsid w:val="003C59B3"/>
    <w:rsid w:val="003D1574"/>
    <w:rsid w:val="003D2C71"/>
    <w:rsid w:val="003D43C5"/>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1C29"/>
    <w:rsid w:val="0053385A"/>
    <w:rsid w:val="00533A93"/>
    <w:rsid w:val="00536EBB"/>
    <w:rsid w:val="00543E76"/>
    <w:rsid w:val="005452FA"/>
    <w:rsid w:val="00556C59"/>
    <w:rsid w:val="00580592"/>
    <w:rsid w:val="005821D8"/>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C6E8C"/>
    <w:rsid w:val="006D61CF"/>
    <w:rsid w:val="006D6CF4"/>
    <w:rsid w:val="006E2931"/>
    <w:rsid w:val="006E7796"/>
    <w:rsid w:val="006F65FD"/>
    <w:rsid w:val="0070204B"/>
    <w:rsid w:val="007063E0"/>
    <w:rsid w:val="00710401"/>
    <w:rsid w:val="0071518C"/>
    <w:rsid w:val="00724729"/>
    <w:rsid w:val="00742AF5"/>
    <w:rsid w:val="007438DF"/>
    <w:rsid w:val="0074426B"/>
    <w:rsid w:val="0074483E"/>
    <w:rsid w:val="00744AB7"/>
    <w:rsid w:val="00745A4C"/>
    <w:rsid w:val="00762C1C"/>
    <w:rsid w:val="00767231"/>
    <w:rsid w:val="007770C8"/>
    <w:rsid w:val="00785B7C"/>
    <w:rsid w:val="00794003"/>
    <w:rsid w:val="00794037"/>
    <w:rsid w:val="007B608F"/>
    <w:rsid w:val="007C4683"/>
    <w:rsid w:val="007C6046"/>
    <w:rsid w:val="007E0D26"/>
    <w:rsid w:val="007E296B"/>
    <w:rsid w:val="007E409E"/>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82FD6"/>
    <w:rsid w:val="009850EC"/>
    <w:rsid w:val="00994F93"/>
    <w:rsid w:val="009A45B8"/>
    <w:rsid w:val="009B75C5"/>
    <w:rsid w:val="009D55EC"/>
    <w:rsid w:val="009E2470"/>
    <w:rsid w:val="009E7BE8"/>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46A6"/>
    <w:rsid w:val="00B12497"/>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79AC"/>
    <w:rsid w:val="00C5065C"/>
    <w:rsid w:val="00C527E7"/>
    <w:rsid w:val="00C61EA4"/>
    <w:rsid w:val="00C63D31"/>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CCA7-DD52-4C1C-BD06-786B128C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1034</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2022-10-11T08:44:00Z</dcterms:created>
  <dcterms:modified xsi:type="dcterms:W3CDTF">2022-10-11T08:44:00Z</dcterms:modified>
</cp:coreProperties>
</file>