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578DB6A5"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5333ED">
        <w:rPr>
          <w:iCs/>
        </w:rPr>
        <w:t>Letuš 175</w:t>
      </w:r>
      <w:r w:rsidRPr="002A72E3">
        <w:rPr>
          <w:iCs/>
        </w:rPr>
        <w:t>, O</w:t>
      </w:r>
      <w:r w:rsidR="00EB673F">
        <w:rPr>
          <w:iCs/>
        </w:rPr>
        <w:t>bčina Braslovče, št. stav</w:t>
      </w:r>
      <w:r w:rsidR="005333ED">
        <w:rPr>
          <w:iCs/>
        </w:rPr>
        <w:t xml:space="preserve">be: 628, </w:t>
      </w:r>
      <w:proofErr w:type="spellStart"/>
      <w:r w:rsidR="005333ED">
        <w:rPr>
          <w:iCs/>
        </w:rPr>
        <w:t>parc</w:t>
      </w:r>
      <w:proofErr w:type="spellEnd"/>
      <w:r w:rsidR="005333ED">
        <w:rPr>
          <w:iCs/>
        </w:rPr>
        <w:t>. št. 470/171</w:t>
      </w:r>
      <w:r w:rsidRPr="002A72E3">
        <w:rPr>
          <w:iCs/>
        </w:rPr>
        <w:t>, k. o. 984 Letuš (št. strokov</w:t>
      </w:r>
      <w:r w:rsidR="005333ED">
        <w:rPr>
          <w:iCs/>
        </w:rPr>
        <w:t>nega mnenja SM-BRSLTŠ175</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1F13883E"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232194">
        <w:t>denega člena zakona. V navedenem mnenju</w:t>
      </w:r>
      <w:r w:rsidR="00E73A7B" w:rsidRPr="00E73A7B">
        <w:t xml:space="preserve"> je bilo ugotovljeno, da na podlagi celovite presoje </w:t>
      </w:r>
      <w:r>
        <w:t>predmetni objekt na naslovu</w:t>
      </w:r>
      <w:r w:rsidR="00E73A7B" w:rsidRPr="00E73A7B">
        <w:t xml:space="preserve"> </w:t>
      </w:r>
      <w:r w:rsidR="005333ED">
        <w:rPr>
          <w:iCs/>
        </w:rPr>
        <w:t>Letuš 175</w:t>
      </w:r>
      <w:r w:rsidR="005333ED" w:rsidRPr="002A72E3">
        <w:rPr>
          <w:iCs/>
        </w:rPr>
        <w:t>, O</w:t>
      </w:r>
      <w:r w:rsidR="005333ED">
        <w:rPr>
          <w:iCs/>
        </w:rPr>
        <w:t xml:space="preserve">bčina Braslovče, št. stavbe: 628, </w:t>
      </w:r>
      <w:proofErr w:type="spellStart"/>
      <w:r w:rsidR="005333ED">
        <w:rPr>
          <w:iCs/>
        </w:rPr>
        <w:t>parc</w:t>
      </w:r>
      <w:proofErr w:type="spellEnd"/>
      <w:r w:rsidR="005333ED">
        <w:rPr>
          <w:iCs/>
        </w:rPr>
        <w:t>. št. 470/171</w:t>
      </w:r>
      <w:r w:rsidR="005333ED" w:rsidRPr="002A72E3">
        <w:rPr>
          <w:iCs/>
        </w:rPr>
        <w:t>, k. o. 984 Letuš (št. strokov</w:t>
      </w:r>
      <w:r w:rsidR="005333ED">
        <w:rPr>
          <w:iCs/>
        </w:rPr>
        <w:t>nega mnenja SM-BRSLTŠ175</w:t>
      </w:r>
      <w:r w:rsidR="005333ED" w:rsidRPr="002A72E3">
        <w:rPr>
          <w:iCs/>
        </w:rPr>
        <w:t>_S)</w:t>
      </w:r>
      <w:r w:rsidR="00EB67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75C6BE2C" w:rsidR="00E73A7B" w:rsidRPr="00A848FA" w:rsidRDefault="00A848FA" w:rsidP="003E7274">
      <w:pPr>
        <w:jc w:val="both"/>
      </w:pPr>
      <w:r w:rsidRPr="00A848FA">
        <w:t xml:space="preserve">Iz strokovnega mnenja izhaja, da se obravnavani objekt nahaja na območju </w:t>
      </w:r>
      <w:r w:rsidR="001B7966">
        <w:rPr>
          <w:rStyle w:val="Krepko"/>
          <w:b w:val="0"/>
        </w:rPr>
        <w:t>srednje</w:t>
      </w:r>
      <w:r w:rsidRPr="00A848FA">
        <w:rPr>
          <w:rStyle w:val="Krepko"/>
          <w:b w:val="0"/>
        </w:rPr>
        <w:t xml:space="preserve"> poplavne nevarnosti</w:t>
      </w:r>
      <w:r w:rsidRPr="00A848FA">
        <w:t xml:space="preserve">, vendar se zaradi stopnje ranljivosti pri določanju razreda ogroženosti uvršča v </w:t>
      </w:r>
      <w:r w:rsidR="00EB673F">
        <w:rPr>
          <w:rStyle w:val="Krepko"/>
          <w:b w:val="0"/>
        </w:rPr>
        <w:t xml:space="preserve">razred </w:t>
      </w:r>
      <w:r w:rsidR="001B7966">
        <w:rPr>
          <w:rStyle w:val="Krepko"/>
          <w:b w:val="0"/>
        </w:rPr>
        <w:t>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283B8E9D" w:rsidR="0070629D" w:rsidRPr="00232194" w:rsidRDefault="0070629D" w:rsidP="00232194">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232194">
        <w:rPr>
          <w:rFonts w:eastAsiaTheme="minorHAnsi" w:cs="Arial"/>
          <w:color w:val="000000"/>
          <w:szCs w:val="20"/>
        </w:rPr>
        <w:t xml:space="preserve"> </w:t>
      </w:r>
      <w:bookmarkStart w:id="0" w:name="_GoBack"/>
      <w:bookmarkEnd w:id="0"/>
      <w:r w:rsidRPr="00232194">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4AE3397F"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1B7966">
        <w:rPr>
          <w:rFonts w:eastAsiaTheme="minorHAnsi" w:cs="Arial"/>
          <w:color w:val="000000"/>
          <w:szCs w:val="20"/>
        </w:rPr>
        <w:t>o mnenje SM-BRSLTŠ172a</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232194"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232194">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1B7966"/>
    <w:rsid w:val="00204177"/>
    <w:rsid w:val="00205196"/>
    <w:rsid w:val="00215878"/>
    <w:rsid w:val="00232194"/>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33ED"/>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B673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2026-03-09T16:23:00Z</dcterms:created>
  <dcterms:modified xsi:type="dcterms:W3CDTF">2026-03-10T13:19:00Z</dcterms:modified>
</cp:coreProperties>
</file>