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59348A52"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9A7DF1">
        <w:rPr>
          <w:iCs/>
        </w:rPr>
        <w:t>Letuš 113</w:t>
      </w:r>
      <w:r w:rsidRPr="002A72E3">
        <w:rPr>
          <w:iCs/>
        </w:rPr>
        <w:t>, O</w:t>
      </w:r>
      <w:r w:rsidR="009A7DF1">
        <w:rPr>
          <w:iCs/>
        </w:rPr>
        <w:t xml:space="preserve">bčina Braslovče, št. stavbe: 638, </w:t>
      </w:r>
      <w:proofErr w:type="spellStart"/>
      <w:r w:rsidR="009A7DF1">
        <w:rPr>
          <w:iCs/>
        </w:rPr>
        <w:t>parc</w:t>
      </w:r>
      <w:proofErr w:type="spellEnd"/>
      <w:r w:rsidR="009A7DF1">
        <w:rPr>
          <w:iCs/>
        </w:rPr>
        <w:t>. št. 470/255</w:t>
      </w:r>
      <w:r w:rsidRPr="002A72E3">
        <w:rPr>
          <w:iCs/>
        </w:rPr>
        <w:t>, k. o. 984 Letuš (št. strokov</w:t>
      </w:r>
      <w:r w:rsidR="009A7DF1">
        <w:rPr>
          <w:iCs/>
        </w:rPr>
        <w:t>nega mnenja SM-BRSLTŠ113a</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1BB8CC80" w:rsidR="00E73A7B" w:rsidRDefault="00E73A7B" w:rsidP="003E7274">
      <w:pPr>
        <w:jc w:val="both"/>
      </w:pPr>
      <w:r w:rsidRPr="00E73A7B">
        <w:t>V skladu z drugim odstavkom 151.c člena ZIUO</w:t>
      </w:r>
      <w:r w:rsidR="007C79FB">
        <w:t>PZP je bil osnutek sklepa</w:t>
      </w:r>
      <w:r w:rsidR="00C0421E">
        <w:t xml:space="preserve"> razgrnjen</w:t>
      </w:r>
      <w:bookmarkStart w:id="0" w:name="_GoBack"/>
      <w:bookmarkEnd w:id="0"/>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206BDEC1"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 sodeloval pri oblikovanju besedila nave</w:t>
      </w:r>
      <w:r w:rsidR="002B6578">
        <w:t>denega člena zakona. V navedenem mnenju</w:t>
      </w:r>
      <w:r w:rsidR="00E73A7B" w:rsidRPr="00E73A7B">
        <w:t xml:space="preserve"> je bilo ugotovljeno, da na podlagi celovite presoje </w:t>
      </w:r>
      <w:r>
        <w:t>predmetni objekt na naslovu</w:t>
      </w:r>
      <w:r w:rsidR="00E73A7B" w:rsidRPr="00E73A7B">
        <w:t xml:space="preserve"> </w:t>
      </w:r>
      <w:r w:rsidR="009A7DF1">
        <w:rPr>
          <w:iCs/>
        </w:rPr>
        <w:t>Letuš 113a</w:t>
      </w:r>
      <w:r w:rsidRPr="00EF5CF3">
        <w:rPr>
          <w:iCs/>
        </w:rPr>
        <w:t>, Občina Braslovče, št</w:t>
      </w:r>
      <w:r w:rsidR="009A7DF1">
        <w:rPr>
          <w:iCs/>
        </w:rPr>
        <w:t xml:space="preserve">. stavbe: 638, </w:t>
      </w:r>
      <w:proofErr w:type="spellStart"/>
      <w:r w:rsidR="009A7DF1">
        <w:rPr>
          <w:iCs/>
        </w:rPr>
        <w:t>parc</w:t>
      </w:r>
      <w:proofErr w:type="spellEnd"/>
      <w:r w:rsidR="009A7DF1">
        <w:rPr>
          <w:iCs/>
        </w:rPr>
        <w:t>. št. 470/255</w:t>
      </w:r>
      <w:r w:rsidRPr="00EF5CF3">
        <w:rPr>
          <w:iCs/>
        </w:rPr>
        <w:t>, k. o. 984 Letuš (št. strokov</w:t>
      </w:r>
      <w:r>
        <w:rPr>
          <w:iCs/>
        </w:rPr>
        <w:t xml:space="preserve">nega mnenja </w:t>
      </w:r>
      <w:r w:rsidR="00A26348">
        <w:rPr>
          <w:iCs/>
        </w:rPr>
        <w:t>SM-BRSLTŠ113a</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6489D473" w:rsidR="00E73A7B" w:rsidRPr="00A848FA" w:rsidRDefault="00A848FA" w:rsidP="003E7274">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2B6578">
        <w:rPr>
          <w:rStyle w:val="Krepko"/>
          <w:b w:val="0"/>
        </w:rPr>
        <w:t>razred velike</w:t>
      </w:r>
      <w:r w:rsidRPr="00A848FA">
        <w:rPr>
          <w:rStyle w:val="Krepko"/>
          <w:b w:val="0"/>
        </w:rPr>
        <w:t xml:space="preserve"> poplavne ogroženosti</w:t>
      </w:r>
      <w:r w:rsidRPr="00A848FA">
        <w:t xml:space="preserve">. Z vidika erozijske nevarnosti pa objekt sodi v </w:t>
      </w:r>
      <w:r w:rsidRPr="00A848FA">
        <w:rPr>
          <w:rStyle w:val="Krepko"/>
          <w:b w:val="0"/>
        </w:rPr>
        <w:t>razred srednje 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2F545D61" w:rsidR="0070629D" w:rsidRPr="002B6578" w:rsidRDefault="0070629D" w:rsidP="002B6578">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2B6578">
        <w:rPr>
          <w:rFonts w:eastAsiaTheme="minorHAnsi" w:cs="Arial"/>
          <w:color w:val="000000"/>
          <w:szCs w:val="20"/>
        </w:rPr>
        <w:t xml:space="preserve"> </w:t>
      </w:r>
      <w:r w:rsidRPr="002B6578">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5AF75AB7"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A26348">
        <w:rPr>
          <w:rFonts w:eastAsiaTheme="minorHAnsi" w:cs="Arial"/>
          <w:color w:val="000000"/>
          <w:szCs w:val="20"/>
        </w:rPr>
        <w:t>o mnenje SM-BRSLTŠ113a</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C0421E"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C0421E">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862D9"/>
    <w:rsid w:val="002A2655"/>
    <w:rsid w:val="002A3A93"/>
    <w:rsid w:val="002A72E3"/>
    <w:rsid w:val="002B6578"/>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0421E"/>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2026-03-05T12:56:00Z</dcterms:created>
  <dcterms:modified xsi:type="dcterms:W3CDTF">2026-03-10T12:23:00Z</dcterms:modified>
</cp:coreProperties>
</file>