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09D53880"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070330">
        <w:rPr>
          <w:iCs/>
        </w:rPr>
        <w:t>Letuš 109e</w:t>
      </w:r>
      <w:r w:rsidRPr="002A72E3">
        <w:rPr>
          <w:iCs/>
        </w:rPr>
        <w:t>, O</w:t>
      </w:r>
      <w:r w:rsidR="00EB673F">
        <w:rPr>
          <w:iCs/>
        </w:rPr>
        <w:t>bčina Braslovče, št. stav</w:t>
      </w:r>
      <w:r w:rsidR="00070330">
        <w:rPr>
          <w:iCs/>
        </w:rPr>
        <w:t xml:space="preserve">be: 946, </w:t>
      </w:r>
      <w:proofErr w:type="spellStart"/>
      <w:r w:rsidR="00070330">
        <w:rPr>
          <w:iCs/>
        </w:rPr>
        <w:t>parc</w:t>
      </w:r>
      <w:proofErr w:type="spellEnd"/>
      <w:r w:rsidR="00070330">
        <w:rPr>
          <w:iCs/>
        </w:rPr>
        <w:t>. št. 469/187</w:t>
      </w:r>
      <w:r w:rsidRPr="002A72E3">
        <w:rPr>
          <w:iCs/>
        </w:rPr>
        <w:t>, k. o. 984 Letuš (št. strokov</w:t>
      </w:r>
      <w:r w:rsidR="00070330">
        <w:rPr>
          <w:iCs/>
        </w:rPr>
        <w:t>nega mnenja SM-BRSLTŠ109e</w:t>
      </w:r>
      <w:r w:rsidR="00A320FF" w:rsidRPr="002A72E3">
        <w:rPr>
          <w:iCs/>
        </w:rPr>
        <w:t>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4DD90CC9" w:rsidR="00E73A7B" w:rsidRDefault="00E73A7B" w:rsidP="003E7274">
      <w:pPr>
        <w:jc w:val="both"/>
      </w:pPr>
      <w:r w:rsidRPr="00E73A7B">
        <w:t>V skladu z drugim odstavkom 151.c člena ZIUO</w:t>
      </w:r>
      <w:r w:rsidR="007C79FB">
        <w:t>PZP je bil osnutek sklepa</w:t>
      </w:r>
      <w:r w:rsidR="002C2FA5">
        <w:t xml:space="preserve"> razgrnjen</w:t>
      </w:r>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31955DFF" w:rsidR="003E7274" w:rsidRDefault="00E73A7B" w:rsidP="003E7274">
      <w:pPr>
        <w:jc w:val="both"/>
      </w:pPr>
      <w:r w:rsidRPr="00E73A7B">
        <w:t xml:space="preserve">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w:t>
      </w:r>
      <w:r w:rsidR="00070330" w:rsidRPr="00E73A7B">
        <w:t xml:space="preserve">navedenih v </w:t>
      </w:r>
      <w:r w:rsidR="00070330" w:rsidRPr="00533229">
        <w:t>Strokovnem poročilu Ogroženost od poplav in z njo povezane erozije na območju Letuške gmajne na desnem bregu Savinje v občini Braslovče (v nadaljevanju: Strokovno poročilo – desni breg)</w:t>
      </w:r>
      <w:r w:rsidR="00070330">
        <w:t>,</w:t>
      </w:r>
      <w:r w:rsidR="004374AE">
        <w:t xml:space="preserve">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xml:space="preserve">, ki se nahajajo v naselju </w:t>
      </w:r>
      <w:r w:rsidR="00070330">
        <w:t>Gmajna</w:t>
      </w:r>
      <w:r w:rsidRPr="00E73A7B">
        <w:t>. Zaradi odsotnosti ustreznih poplavnih kart, ki bi izkazovale posamezne r</w:t>
      </w:r>
      <w:r w:rsidR="00070330">
        <w:t>azrede poplavne nevarnosti v tem naselju</w:t>
      </w:r>
      <w:r w:rsidRPr="00E73A7B">
        <w:t>, ter ob upoštevanju dejstva, da tudi ob prisotnosti ustreznih poplavnih kart te ne bi izkazovale natančnih podatkov o nevarnosti za posamezne mikrolokacije, ki zadevajo posamezne objekte, je bil v Strokovnem poročilu</w:t>
      </w:r>
      <w:r w:rsidR="00070330">
        <w:t xml:space="preserve"> – desni breg</w:t>
      </w:r>
      <w:r w:rsidR="00621611">
        <w:t>,</w:t>
      </w:r>
      <w:r w:rsidRPr="00E73A7B">
        <w:t xml:space="preserve"> d</w:t>
      </w:r>
      <w:r w:rsidR="00070330">
        <w:t xml:space="preserve">oločen razred ogroženosti za tri </w:t>
      </w:r>
      <w:r w:rsidRPr="00E73A7B">
        <w:t>o</w:t>
      </w:r>
      <w:r w:rsidR="00070330">
        <w:t>bjekte</w:t>
      </w:r>
      <w:r w:rsidR="00621611">
        <w:t xml:space="preserve"> v naselju </w:t>
      </w:r>
      <w:r w:rsidR="00070330">
        <w:t>Gmajna</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w:t>
      </w:r>
      <w:r w:rsidRPr="00E73A7B">
        <w:lastRenderedPageBreak/>
        <w:t xml:space="preserve">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3616DEF5" w:rsidR="002D4E43" w:rsidRDefault="00E73A7B" w:rsidP="003E7274">
      <w:pPr>
        <w:jc w:val="both"/>
      </w:pPr>
      <w:r w:rsidRPr="00E73A7B">
        <w:t xml:space="preserve">Skladno z določili Pravilnika se je v </w:t>
      </w:r>
      <w:r>
        <w:t>S</w:t>
      </w:r>
      <w:r w:rsidRPr="00E73A7B">
        <w:t>trokovnem poročilu</w:t>
      </w:r>
      <w:r w:rsidR="00070330">
        <w:t xml:space="preserve"> – desni breg</w:t>
      </w:r>
      <w:r w:rsidRPr="00E73A7B">
        <w:t xml:space="preserve">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6A94D4AE" w:rsidR="00F07649" w:rsidRPr="00070330" w:rsidRDefault="002A3A93" w:rsidP="006828C4">
      <w:pPr>
        <w:jc w:val="both"/>
        <w:rPr>
          <w:iCs/>
        </w:rPr>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w:t>
      </w:r>
      <w:r w:rsidR="00070330">
        <w:t xml:space="preserve"> – desni breg</w:t>
      </w:r>
      <w:r w:rsidR="00E73A7B" w:rsidRPr="00E73A7B">
        <w:t xml:space="preserve">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 xml:space="preserve">Zakon o spremembah in dopolnitvah Zakona o interventnih ukrepih za odpravo posledic poplav in zemeljskih plazov iz avgusta 2023 – ZIUOPZP-A (Uradni list RS, št. 117/23 z dne 20. 11. 2023) sodeloval pri oblikovanju besedila navedenega člena zakona. </w:t>
      </w:r>
      <w:r w:rsidR="00871BB9">
        <w:t>V navedenem mnenju</w:t>
      </w:r>
      <w:bookmarkStart w:id="0" w:name="_GoBack"/>
      <w:bookmarkEnd w:id="0"/>
      <w:r w:rsidR="00E73A7B" w:rsidRPr="00E73A7B">
        <w:t xml:space="preserve"> je bilo ugotovljeno, da na podlagi celovite presoje </w:t>
      </w:r>
      <w:r>
        <w:t xml:space="preserve">predmetni objekt na </w:t>
      </w:r>
      <w:r w:rsidR="00070330">
        <w:rPr>
          <w:iCs/>
        </w:rPr>
        <w:t>naslovu Letuš 109e</w:t>
      </w:r>
      <w:r w:rsidR="00070330" w:rsidRPr="002A72E3">
        <w:rPr>
          <w:iCs/>
        </w:rPr>
        <w:t>, O</w:t>
      </w:r>
      <w:r w:rsidR="00070330">
        <w:rPr>
          <w:iCs/>
        </w:rPr>
        <w:t xml:space="preserve">bčina Braslovče, št. stavbe: 946, </w:t>
      </w:r>
      <w:proofErr w:type="spellStart"/>
      <w:r w:rsidR="00070330">
        <w:rPr>
          <w:iCs/>
        </w:rPr>
        <w:t>parc</w:t>
      </w:r>
      <w:proofErr w:type="spellEnd"/>
      <w:r w:rsidR="00070330">
        <w:rPr>
          <w:iCs/>
        </w:rPr>
        <w:t>. št. 469/187</w:t>
      </w:r>
      <w:r w:rsidR="00070330" w:rsidRPr="002A72E3">
        <w:rPr>
          <w:iCs/>
        </w:rPr>
        <w:t>, k. o. 984 Letuš (št. strokov</w:t>
      </w:r>
      <w:r w:rsidR="00070330">
        <w:rPr>
          <w:iCs/>
        </w:rPr>
        <w:t>nega mnenja SM-BRSLTŠ109e</w:t>
      </w:r>
      <w:r w:rsidR="00070330" w:rsidRPr="002A72E3">
        <w:rPr>
          <w:iCs/>
        </w:rPr>
        <w:t>S)</w:t>
      </w:r>
      <w:r w:rsidR="00070330">
        <w:rPr>
          <w:iCs/>
        </w:rPr>
        <w:t xml:space="preserve"> </w:t>
      </w:r>
      <w:r>
        <w:t>izpolnjuje</w:t>
      </w:r>
      <w:r w:rsidR="00E73A7B" w:rsidRPr="00E73A7B">
        <w:t xml:space="preserve"> pogoj visoke ogroženosti v skladu s prvim odstavkom 151.a člena ZIUOPZ</w:t>
      </w:r>
      <w:r>
        <w:t>P, zato je odstranitev navedenega objekta nujno potrebna.</w:t>
      </w:r>
    </w:p>
    <w:p w14:paraId="73E2E955" w14:textId="77777777" w:rsidR="002D4E43" w:rsidRPr="00A848FA" w:rsidRDefault="002D4E43" w:rsidP="003E7274">
      <w:pPr>
        <w:jc w:val="both"/>
      </w:pPr>
    </w:p>
    <w:p w14:paraId="7297B8BE" w14:textId="26576E65" w:rsidR="00E73A7B" w:rsidRPr="00A848FA" w:rsidRDefault="00A848FA" w:rsidP="003E7274">
      <w:pPr>
        <w:jc w:val="both"/>
      </w:pPr>
      <w:r w:rsidRPr="00A848FA">
        <w:t xml:space="preserve">Iz strokovnega mnenja izhaja, da se obravnavani objekt nahaja na območju </w:t>
      </w:r>
      <w:r w:rsidR="001B7966">
        <w:rPr>
          <w:rStyle w:val="Krepko"/>
          <w:b w:val="0"/>
        </w:rPr>
        <w:t>srednje</w:t>
      </w:r>
      <w:r w:rsidRPr="00A848FA">
        <w:rPr>
          <w:rStyle w:val="Krepko"/>
          <w:b w:val="0"/>
        </w:rPr>
        <w:t xml:space="preserve"> poplavne nevarnosti</w:t>
      </w:r>
      <w:r w:rsidRPr="00A848FA">
        <w:t xml:space="preserve">, vendar se zaradi stopnje ranljivosti pri določanju razreda ogroženosti uvršča v </w:t>
      </w:r>
      <w:r w:rsidR="00EB673F">
        <w:rPr>
          <w:rStyle w:val="Krepko"/>
          <w:b w:val="0"/>
        </w:rPr>
        <w:t xml:space="preserve">razred </w:t>
      </w:r>
      <w:r w:rsidR="001B7966">
        <w:rPr>
          <w:rStyle w:val="Krepko"/>
          <w:b w:val="0"/>
        </w:rPr>
        <w:t>velike</w:t>
      </w:r>
      <w:r w:rsidRPr="00A848FA">
        <w:rPr>
          <w:rStyle w:val="Krepko"/>
          <w:b w:val="0"/>
        </w:rPr>
        <w:t xml:space="preserve"> poplavne ogroženosti</w:t>
      </w:r>
      <w:r w:rsidRPr="00A848FA">
        <w:t xml:space="preserve">. Z vidika erozijske nevarnosti pa objekt sodi v </w:t>
      </w:r>
      <w:r w:rsidRPr="00A848FA">
        <w:rPr>
          <w:rStyle w:val="Krepko"/>
          <w:b w:val="0"/>
        </w:rPr>
        <w:t xml:space="preserve">razred </w:t>
      </w:r>
      <w:r w:rsidR="00070330">
        <w:rPr>
          <w:rStyle w:val="Krepko"/>
          <w:b w:val="0"/>
        </w:rPr>
        <w:t>srednje</w:t>
      </w:r>
      <w:r w:rsidR="00573F3F">
        <w:rPr>
          <w:rStyle w:val="Krepko"/>
          <w:b w:val="0"/>
        </w:rPr>
        <w:t xml:space="preserve"> </w:t>
      </w:r>
      <w:r w:rsidRPr="00A848FA">
        <w:rPr>
          <w:rStyle w:val="Krepko"/>
          <w:b w:val="0"/>
        </w:rPr>
        <w:t>erozijske ogroženosti</w:t>
      </w:r>
      <w:r w:rsidRPr="00A848FA">
        <w:t>.</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724FA0BB" w:rsidR="0070629D" w:rsidRPr="00070330" w:rsidRDefault="0070629D" w:rsidP="00070330">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070330">
        <w:rPr>
          <w:rFonts w:eastAsiaTheme="minorHAnsi" w:cs="Arial"/>
          <w:color w:val="000000"/>
          <w:szCs w:val="20"/>
        </w:rPr>
        <w:t xml:space="preserve"> </w:t>
      </w:r>
      <w:r w:rsidRPr="00070330">
        <w:rPr>
          <w:rFonts w:eastAsiaTheme="minorHAnsi" w:cs="Arial"/>
          <w:color w:val="000000"/>
          <w:szCs w:val="20"/>
        </w:rPr>
        <w:t>ukrepih za odpravo posledic poplav in zemeljskih plazov iz avgusta 2023 (ZIUOPZP), št. 010-36/2025-2560-16 z dne 4. 2. 2026,</w:t>
      </w:r>
    </w:p>
    <w:p w14:paraId="50BDC90C" w14:textId="77777777" w:rsidR="00070330" w:rsidRPr="0070629D" w:rsidRDefault="00070330" w:rsidP="00070330">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533229">
        <w:t>Ogroženost od poplav in z njo povezane erozije na območju Letuške gmajne na desnem bregu Savinje v občini Braslovče</w:t>
      </w:r>
      <w:r w:rsidRPr="0070629D">
        <w:rPr>
          <w:rFonts w:eastAsiaTheme="minorHAnsi" w:cs="Arial"/>
          <w:color w:val="000000"/>
          <w:szCs w:val="20"/>
        </w:rPr>
        <w:t>,</w:t>
      </w:r>
      <w:r>
        <w:rPr>
          <w:rFonts w:eastAsiaTheme="minorHAnsi" w:cs="Arial"/>
          <w:color w:val="000000"/>
          <w:szCs w:val="20"/>
        </w:rPr>
        <w:t xml:space="preserve"> Ministrstvo za naravne vire in prostor, 9. 2. 2026,</w:t>
      </w:r>
    </w:p>
    <w:p w14:paraId="5B0F37E6" w14:textId="3F9C37D0"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205196">
        <w:rPr>
          <w:rFonts w:eastAsiaTheme="minorHAnsi" w:cs="Arial"/>
          <w:color w:val="000000"/>
          <w:szCs w:val="20"/>
        </w:rPr>
        <w:t>trokovn</w:t>
      </w:r>
      <w:r w:rsidR="00070330">
        <w:rPr>
          <w:rFonts w:eastAsiaTheme="minorHAnsi" w:cs="Arial"/>
          <w:color w:val="000000"/>
          <w:szCs w:val="20"/>
        </w:rPr>
        <w:t>o mnenje SM-BRSLTŠ109eS</w:t>
      </w:r>
      <w:r w:rsidR="00205196">
        <w:rPr>
          <w:rFonts w:eastAsiaTheme="minorHAnsi" w:cs="Arial"/>
          <w:color w:val="000000"/>
          <w:szCs w:val="20"/>
        </w:rPr>
        <w:t>.</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871BB9"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871BB9">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70330"/>
    <w:rsid w:val="0008146B"/>
    <w:rsid w:val="000B2D23"/>
    <w:rsid w:val="000B3FE6"/>
    <w:rsid w:val="000B77AF"/>
    <w:rsid w:val="000D5EE8"/>
    <w:rsid w:val="000E21B2"/>
    <w:rsid w:val="00176C3F"/>
    <w:rsid w:val="001A25B2"/>
    <w:rsid w:val="001B7966"/>
    <w:rsid w:val="00204177"/>
    <w:rsid w:val="00205196"/>
    <w:rsid w:val="00215878"/>
    <w:rsid w:val="002862D9"/>
    <w:rsid w:val="002A2655"/>
    <w:rsid w:val="002A3A93"/>
    <w:rsid w:val="002A72E3"/>
    <w:rsid w:val="002C2FA5"/>
    <w:rsid w:val="002C5846"/>
    <w:rsid w:val="002D4E43"/>
    <w:rsid w:val="002F7959"/>
    <w:rsid w:val="0030788E"/>
    <w:rsid w:val="003226EB"/>
    <w:rsid w:val="00325926"/>
    <w:rsid w:val="00366636"/>
    <w:rsid w:val="00367DE6"/>
    <w:rsid w:val="003B3E19"/>
    <w:rsid w:val="003C4A5F"/>
    <w:rsid w:val="003D36C3"/>
    <w:rsid w:val="003E7274"/>
    <w:rsid w:val="003F1F70"/>
    <w:rsid w:val="004076C6"/>
    <w:rsid w:val="004374AE"/>
    <w:rsid w:val="00442E1B"/>
    <w:rsid w:val="004B773D"/>
    <w:rsid w:val="004B7F76"/>
    <w:rsid w:val="004C5C46"/>
    <w:rsid w:val="004D6EE9"/>
    <w:rsid w:val="004E1BCE"/>
    <w:rsid w:val="00536AA0"/>
    <w:rsid w:val="00541832"/>
    <w:rsid w:val="005524F5"/>
    <w:rsid w:val="00555A1E"/>
    <w:rsid w:val="005640D1"/>
    <w:rsid w:val="0056541B"/>
    <w:rsid w:val="00573F3F"/>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6176B"/>
    <w:rsid w:val="00767987"/>
    <w:rsid w:val="00782FD4"/>
    <w:rsid w:val="007A6624"/>
    <w:rsid w:val="007C5129"/>
    <w:rsid w:val="007C79FB"/>
    <w:rsid w:val="007E5FF2"/>
    <w:rsid w:val="007F172E"/>
    <w:rsid w:val="00811140"/>
    <w:rsid w:val="0086714A"/>
    <w:rsid w:val="00871BB9"/>
    <w:rsid w:val="00874C72"/>
    <w:rsid w:val="008A1722"/>
    <w:rsid w:val="008A2B50"/>
    <w:rsid w:val="008A3F94"/>
    <w:rsid w:val="00904A48"/>
    <w:rsid w:val="009351FE"/>
    <w:rsid w:val="009456A9"/>
    <w:rsid w:val="0094609C"/>
    <w:rsid w:val="00947FA7"/>
    <w:rsid w:val="00952076"/>
    <w:rsid w:val="009557C5"/>
    <w:rsid w:val="00980294"/>
    <w:rsid w:val="00990F9F"/>
    <w:rsid w:val="009A09CE"/>
    <w:rsid w:val="009A7DF1"/>
    <w:rsid w:val="009B5C78"/>
    <w:rsid w:val="009C5392"/>
    <w:rsid w:val="009E07E1"/>
    <w:rsid w:val="00A26348"/>
    <w:rsid w:val="00A320FF"/>
    <w:rsid w:val="00A50E4B"/>
    <w:rsid w:val="00A565BD"/>
    <w:rsid w:val="00A848FA"/>
    <w:rsid w:val="00A9231D"/>
    <w:rsid w:val="00A9729B"/>
    <w:rsid w:val="00B320E9"/>
    <w:rsid w:val="00B40041"/>
    <w:rsid w:val="00B40287"/>
    <w:rsid w:val="00B5035F"/>
    <w:rsid w:val="00B509B6"/>
    <w:rsid w:val="00B8105A"/>
    <w:rsid w:val="00B86CB4"/>
    <w:rsid w:val="00B9006D"/>
    <w:rsid w:val="00BD71DC"/>
    <w:rsid w:val="00C0216A"/>
    <w:rsid w:val="00C10D86"/>
    <w:rsid w:val="00C11E4F"/>
    <w:rsid w:val="00C32AA5"/>
    <w:rsid w:val="00CB58FB"/>
    <w:rsid w:val="00CD49DD"/>
    <w:rsid w:val="00CD6077"/>
    <w:rsid w:val="00CE234E"/>
    <w:rsid w:val="00D02973"/>
    <w:rsid w:val="00D332F1"/>
    <w:rsid w:val="00D632CC"/>
    <w:rsid w:val="00D802CA"/>
    <w:rsid w:val="00D92799"/>
    <w:rsid w:val="00D929FB"/>
    <w:rsid w:val="00DA09BE"/>
    <w:rsid w:val="00DC306E"/>
    <w:rsid w:val="00DE3027"/>
    <w:rsid w:val="00E26710"/>
    <w:rsid w:val="00E278C9"/>
    <w:rsid w:val="00E30579"/>
    <w:rsid w:val="00E73A7B"/>
    <w:rsid w:val="00E7474F"/>
    <w:rsid w:val="00EB673F"/>
    <w:rsid w:val="00EC13B0"/>
    <w:rsid w:val="00EE30B8"/>
    <w:rsid w:val="00EE36ED"/>
    <w:rsid w:val="00EF5CF3"/>
    <w:rsid w:val="00F07649"/>
    <w:rsid w:val="00F43347"/>
    <w:rsid w:val="00FB00DD"/>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12098</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2026-03-10T09:40:00Z</dcterms:created>
  <dcterms:modified xsi:type="dcterms:W3CDTF">2026-03-10T12:14:00Z</dcterms:modified>
</cp:coreProperties>
</file>