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BE01FA" w:rsidP="00BE01FA">
      <w:pPr>
        <w:tabs>
          <w:tab w:val="left" w:pos="1134"/>
        </w:tabs>
        <w:spacing w:line="240" w:lineRule="auto"/>
        <w:ind w:left="-23"/>
        <w:jc w:val="center"/>
        <w:rPr>
          <w:rFonts w:eastAsia="Arial" w:cs="Arial"/>
          <w:b/>
          <w:color w:val="000000" w:themeColor="text1"/>
        </w:rPr>
      </w:pPr>
      <w:r w:rsidRPr="009C0677">
        <w:rPr>
          <w:rFonts w:eastAsia="Arial" w:cs="Arial"/>
          <w:b/>
          <w:color w:val="000000" w:themeColor="text1"/>
        </w:rPr>
        <w:t>o določitvi objektov, katerih odstranitev je nujno potrebna in v javno korist</w:t>
      </w:r>
      <w:r>
        <w:rPr>
          <w:rFonts w:eastAsia="Arial" w:cs="Arial"/>
          <w:b/>
          <w:color w:val="000000" w:themeColor="text1"/>
        </w:rPr>
        <w:t>,</w:t>
      </w:r>
      <w:r w:rsidRPr="009C0677">
        <w:rPr>
          <w:rFonts w:eastAsia="Arial" w:cs="Arial"/>
          <w:b/>
          <w:color w:val="000000" w:themeColor="text1"/>
        </w:rPr>
        <w:t xml:space="preserve"> na območju</w:t>
      </w:r>
      <w:r w:rsidR="0017467A">
        <w:rPr>
          <w:rFonts w:eastAsia="Arial" w:cs="Arial"/>
          <w:b/>
          <w:color w:val="000000" w:themeColor="text1"/>
        </w:rPr>
        <w:t xml:space="preserve"> Občine </w:t>
      </w:r>
      <w:r w:rsidR="00EB2F69">
        <w:rPr>
          <w:rFonts w:eastAsia="Arial" w:cs="Arial"/>
          <w:b/>
          <w:color w:val="000000" w:themeColor="text1"/>
        </w:rPr>
        <w:t>Prevalje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javno korist odstranitev naslednjih objektov (nepremičnine z objekti za odstranitev):</w:t>
      </w:r>
    </w:p>
    <w:p w:rsidR="00093100" w:rsidRDefault="00093100" w:rsidP="00093100">
      <w:pPr>
        <w:pStyle w:val="Odstavekseznama"/>
        <w:numPr>
          <w:ilvl w:val="0"/>
          <w:numId w:val="3"/>
        </w:numPr>
        <w:tabs>
          <w:tab w:val="left" w:pos="1134"/>
        </w:tabs>
        <w:jc w:val="both"/>
      </w:pPr>
      <w:r>
        <w:t>Poljana 2, O</w:t>
      </w:r>
      <w:r w:rsidRPr="00100AF3">
        <w:t xml:space="preserve">bčina </w:t>
      </w:r>
      <w:r>
        <w:t>Prevalje</w:t>
      </w:r>
      <w:r w:rsidRPr="00100AF3">
        <w:t xml:space="preserve">, št. stavbe: </w:t>
      </w:r>
      <w:r>
        <w:t>54</w:t>
      </w:r>
      <w:r w:rsidRPr="00100AF3">
        <w:t xml:space="preserve">, </w:t>
      </w:r>
      <w:proofErr w:type="spellStart"/>
      <w:r w:rsidRPr="00100AF3">
        <w:t>parc</w:t>
      </w:r>
      <w:proofErr w:type="spellEnd"/>
      <w:r w:rsidRPr="00100AF3">
        <w:t xml:space="preserve">. št. </w:t>
      </w:r>
      <w:r>
        <w:t>*20/2</w:t>
      </w:r>
      <w:r w:rsidRPr="00100AF3">
        <w:t>, k.</w:t>
      </w:r>
      <w:r>
        <w:t xml:space="preserve"> o. 885 Poljana</w:t>
      </w:r>
      <w:r w:rsidRPr="00100AF3">
        <w:t xml:space="preserve"> </w:t>
      </w:r>
      <w:r>
        <w:t>(</w:t>
      </w:r>
      <w:r w:rsidRPr="00100AF3">
        <w:t>št. strokovnega mnenja SM-</w:t>
      </w:r>
      <w:r>
        <w:t>PREPOL2S);</w:t>
      </w:r>
    </w:p>
    <w:p w:rsidR="00093100" w:rsidRDefault="00093100" w:rsidP="0038385A">
      <w:pPr>
        <w:pStyle w:val="Odstavekseznama"/>
        <w:numPr>
          <w:ilvl w:val="0"/>
          <w:numId w:val="3"/>
        </w:numPr>
        <w:tabs>
          <w:tab w:val="left" w:pos="1134"/>
        </w:tabs>
        <w:jc w:val="both"/>
      </w:pPr>
      <w:r>
        <w:t>Poljana 4, O</w:t>
      </w:r>
      <w:r w:rsidRPr="00100AF3">
        <w:t xml:space="preserve">bčina </w:t>
      </w:r>
      <w:r>
        <w:t>Prevalje</w:t>
      </w:r>
      <w:r w:rsidRPr="00100AF3">
        <w:t xml:space="preserve">, št. stavbe: </w:t>
      </w:r>
      <w:r>
        <w:t>66</w:t>
      </w:r>
      <w:r w:rsidRPr="00100AF3">
        <w:t xml:space="preserve">, </w:t>
      </w:r>
      <w:proofErr w:type="spellStart"/>
      <w:r w:rsidRPr="00100AF3">
        <w:t>parc</w:t>
      </w:r>
      <w:proofErr w:type="spellEnd"/>
      <w:r w:rsidRPr="00100AF3">
        <w:t xml:space="preserve">. št. </w:t>
      </w:r>
      <w:r>
        <w:t>192/3 (del)</w:t>
      </w:r>
      <w:r w:rsidRPr="00100AF3">
        <w:t>, k.</w:t>
      </w:r>
      <w:r>
        <w:t xml:space="preserve"> o. 885 Poljana</w:t>
      </w:r>
      <w:r w:rsidRPr="00100AF3">
        <w:t xml:space="preserve"> </w:t>
      </w:r>
      <w:r>
        <w:t>(</w:t>
      </w:r>
      <w:r w:rsidRPr="00100AF3">
        <w:t>št. strokovnega mnenja SM-</w:t>
      </w:r>
      <w:r w:rsidR="009C7416">
        <w:t>PREPOL4</w:t>
      </w:r>
      <w:r>
        <w:t>S</w:t>
      </w:r>
      <w:r w:rsidR="00AD7A25">
        <w:t>).</w:t>
      </w:r>
    </w:p>
    <w:p w:rsidR="00BE01FA" w:rsidRDefault="00BE01FA" w:rsidP="00032F4E">
      <w:pPr>
        <w:tabs>
          <w:tab w:val="left" w:pos="1134"/>
        </w:tabs>
        <w:spacing w:line="240" w:lineRule="auto"/>
        <w:rPr>
          <w:rFonts w:cs="Arial"/>
          <w:color w:val="000000" w:themeColor="text1"/>
        </w:rPr>
      </w:pP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093100" w:rsidRDefault="00093100"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p>
    <w:p w:rsidR="00525442" w:rsidRDefault="00525442" w:rsidP="00093100">
      <w:pPr>
        <w:rPr>
          <w:b/>
        </w:rPr>
      </w:pPr>
      <w:r>
        <w:rPr>
          <w:b/>
        </w:rPr>
        <w:lastRenderedPageBreak/>
        <w:t>Utemeljitev</w:t>
      </w:r>
      <w:bookmarkStart w:id="0" w:name="_GoBack"/>
      <w:bookmarkEnd w:id="0"/>
      <w:r>
        <w:rPr>
          <w:b/>
        </w:rPr>
        <w:t>:</w:t>
      </w:r>
    </w:p>
    <w:p w:rsidR="00525442" w:rsidRPr="00EC4110" w:rsidRDefault="00525442" w:rsidP="00093100">
      <w:pPr>
        <w:rPr>
          <w:b/>
        </w:rPr>
      </w:pPr>
    </w:p>
    <w:p w:rsidR="00093100" w:rsidRPr="0007346D" w:rsidRDefault="00093100" w:rsidP="00093100">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093100" w:rsidRDefault="00093100" w:rsidP="00093100">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93100" w:rsidRDefault="00093100" w:rsidP="00093100">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Pr>
          <w:rFonts w:cs="Arial"/>
          <w:szCs w:val="20"/>
        </w:rPr>
        <w:t>.</w:t>
      </w:r>
    </w:p>
    <w:p w:rsidR="00093100" w:rsidRPr="003C3F63" w:rsidRDefault="00093100" w:rsidP="00093100">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r w:rsidRPr="003C3F63">
        <w:rPr>
          <w:rFonts w:cs="Arial"/>
          <w:color w:val="000000"/>
          <w:szCs w:val="20"/>
          <w:lang w:eastAsia="sl-SI"/>
        </w:rPr>
        <w:t>p</w:t>
      </w:r>
      <w:r w:rsidR="009C7416">
        <w:rPr>
          <w:rFonts w:cs="Arial"/>
          <w:color w:val="000000"/>
          <w:szCs w:val="20"/>
          <w:lang w:eastAsia="sl-SI"/>
        </w:rPr>
        <w:t>oslana dne 10</w:t>
      </w:r>
      <w:r w:rsidRPr="003C3F63">
        <w:rPr>
          <w:rFonts w:cs="Arial"/>
          <w:color w:val="000000"/>
          <w:szCs w:val="20"/>
          <w:lang w:eastAsia="sl-SI"/>
        </w:rPr>
        <w:t xml:space="preserve">. </w:t>
      </w:r>
      <w:r w:rsidR="009C7416">
        <w:rPr>
          <w:rFonts w:cs="Arial"/>
          <w:color w:val="000000"/>
          <w:szCs w:val="20"/>
          <w:lang w:eastAsia="sl-SI"/>
        </w:rPr>
        <w:t>junija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sidR="009C7416">
        <w:rPr>
          <w:rFonts w:cs="Arial"/>
          <w:color w:val="000000"/>
          <w:szCs w:val="20"/>
          <w:lang w:eastAsia="sl-SI"/>
        </w:rPr>
        <w:t>dne 19</w:t>
      </w:r>
      <w:r w:rsidRPr="003C3F63">
        <w:rPr>
          <w:rFonts w:cs="Arial"/>
          <w:color w:val="000000"/>
          <w:szCs w:val="20"/>
          <w:lang w:eastAsia="sl-SI"/>
        </w:rPr>
        <w:t xml:space="preserve">. </w:t>
      </w:r>
      <w:r w:rsidR="009C7416">
        <w:rPr>
          <w:rFonts w:cs="Arial"/>
          <w:color w:val="000000"/>
          <w:szCs w:val="20"/>
          <w:lang w:eastAsia="sl-SI"/>
        </w:rPr>
        <w:t>junija</w:t>
      </w:r>
      <w:r w:rsidRPr="003C3F63">
        <w:rPr>
          <w:rFonts w:cs="Arial"/>
          <w:color w:val="000000"/>
          <w:szCs w:val="20"/>
          <w:lang w:eastAsia="sl-SI"/>
        </w:rPr>
        <w:t xml:space="preserve"> 2024. </w:t>
      </w:r>
    </w:p>
    <w:p w:rsidR="00093100" w:rsidRPr="00231BFF" w:rsidRDefault="00093100" w:rsidP="00AD7A25">
      <w:pPr>
        <w:spacing w:after="120" w:line="276" w:lineRule="auto"/>
        <w:ind w:left="426"/>
        <w:jc w:val="both"/>
        <w:rPr>
          <w:rFonts w:cs="Arial"/>
          <w:color w:val="000000"/>
          <w:szCs w:val="20"/>
          <w:lang w:eastAsia="sl-SI"/>
        </w:rPr>
      </w:pPr>
      <w:r w:rsidRPr="003C3F63">
        <w:rPr>
          <w:rFonts w:cs="Arial"/>
        </w:rPr>
        <w:t>Državna tehnična pisarna je v skladu s 151.b členom ZIUOPZP podala strokovno mnenje za spodaj navedene objekte, za katere strokovno ocenjuje, da obstaja visoka ogroženost zaradi zemeljskega</w:t>
      </w:r>
      <w:r w:rsidRPr="00EA64DE">
        <w:rPr>
          <w:rFonts w:cs="Arial"/>
        </w:rPr>
        <w:t xml:space="preserve"> ali hribinskega plazu kot posledice poplav in plazov ter gre za znatno poškodovan objekt, katerega obnova ni mogoča ali ekonomsko smiselna in s čimer bi lahko nastale škodljive posledice za življenje in zdravje ljudi:</w:t>
      </w:r>
    </w:p>
    <w:p w:rsidR="00AD7A25" w:rsidRDefault="00AD7A25" w:rsidP="00AD7A25">
      <w:pPr>
        <w:pStyle w:val="Odstavekseznama"/>
        <w:numPr>
          <w:ilvl w:val="0"/>
          <w:numId w:val="3"/>
        </w:numPr>
        <w:tabs>
          <w:tab w:val="left" w:pos="1134"/>
        </w:tabs>
        <w:jc w:val="both"/>
      </w:pPr>
      <w:r>
        <w:t>Poljana 2, O</w:t>
      </w:r>
      <w:r w:rsidRPr="00100AF3">
        <w:t xml:space="preserve">bčina </w:t>
      </w:r>
      <w:r>
        <w:t>Prevalje</w:t>
      </w:r>
      <w:r w:rsidRPr="00100AF3">
        <w:t xml:space="preserve">, št. stavbe: </w:t>
      </w:r>
      <w:r>
        <w:t>54</w:t>
      </w:r>
      <w:r w:rsidRPr="00100AF3">
        <w:t xml:space="preserve">, </w:t>
      </w:r>
      <w:proofErr w:type="spellStart"/>
      <w:r w:rsidRPr="00100AF3">
        <w:t>parc</w:t>
      </w:r>
      <w:proofErr w:type="spellEnd"/>
      <w:r w:rsidRPr="00100AF3">
        <w:t xml:space="preserve">. št. </w:t>
      </w:r>
      <w:r>
        <w:t>*20/2</w:t>
      </w:r>
      <w:r w:rsidRPr="00100AF3">
        <w:t>, k.</w:t>
      </w:r>
      <w:r>
        <w:t xml:space="preserve"> o. 885 Poljana</w:t>
      </w:r>
      <w:r w:rsidRPr="00100AF3">
        <w:t xml:space="preserve"> </w:t>
      </w:r>
      <w:r>
        <w:t>(</w:t>
      </w:r>
      <w:r w:rsidRPr="00100AF3">
        <w:t>št. strokovnega mnenja SM-</w:t>
      </w:r>
      <w:r>
        <w:t>PREPOL2S);</w:t>
      </w:r>
    </w:p>
    <w:p w:rsidR="00093100" w:rsidRPr="00061666" w:rsidRDefault="00AD7A25" w:rsidP="00061666">
      <w:pPr>
        <w:pStyle w:val="Odstavekseznama"/>
        <w:numPr>
          <w:ilvl w:val="0"/>
          <w:numId w:val="3"/>
        </w:numPr>
        <w:tabs>
          <w:tab w:val="left" w:pos="1134"/>
        </w:tabs>
        <w:spacing w:after="120" w:line="276" w:lineRule="auto"/>
        <w:jc w:val="both"/>
      </w:pPr>
      <w:r w:rsidRPr="00061666">
        <w:t xml:space="preserve">Poljana 4, Občina Prevalje, št. stavbe: 66, </w:t>
      </w:r>
      <w:proofErr w:type="spellStart"/>
      <w:r w:rsidRPr="00061666">
        <w:t>parc</w:t>
      </w:r>
      <w:proofErr w:type="spellEnd"/>
      <w:r w:rsidRPr="00061666">
        <w:t>. št. 192/3 (del), k. o. 885 Poljana (št. strokovnega mnenja SM-</w:t>
      </w:r>
      <w:r w:rsidR="009C7416" w:rsidRPr="00061666">
        <w:t xml:space="preserve"> PREPOL4S</w:t>
      </w:r>
      <w:r w:rsidRPr="00061666">
        <w:t>).</w:t>
      </w:r>
    </w:p>
    <w:p w:rsidR="00647F26" w:rsidRPr="00061666" w:rsidRDefault="00093100" w:rsidP="00061666">
      <w:pPr>
        <w:pStyle w:val="Default"/>
        <w:spacing w:after="120" w:line="276" w:lineRule="auto"/>
        <w:ind w:left="425"/>
        <w:jc w:val="both"/>
        <w:rPr>
          <w:sz w:val="20"/>
          <w:szCs w:val="20"/>
        </w:rPr>
      </w:pPr>
      <w:r w:rsidRPr="00061666">
        <w:rPr>
          <w:sz w:val="20"/>
          <w:szCs w:val="20"/>
        </w:rPr>
        <w:t xml:space="preserve">Obravnavani objekt na naslovu </w:t>
      </w:r>
      <w:r w:rsidR="00647F26" w:rsidRPr="00061666">
        <w:rPr>
          <w:b/>
          <w:sz w:val="20"/>
          <w:szCs w:val="20"/>
        </w:rPr>
        <w:t>Poljana 2</w:t>
      </w:r>
      <w:r w:rsidR="00647F26" w:rsidRPr="00061666">
        <w:rPr>
          <w:sz w:val="20"/>
          <w:szCs w:val="20"/>
        </w:rPr>
        <w:t xml:space="preserve"> se nahaja v priobalnem pasu reke Meže</w:t>
      </w:r>
      <w:r w:rsidR="00883A9B" w:rsidRPr="00061666">
        <w:rPr>
          <w:sz w:val="20"/>
          <w:szCs w:val="20"/>
        </w:rPr>
        <w:t xml:space="preserve">. Na podlagi </w:t>
      </w:r>
      <w:r w:rsidR="00883A9B" w:rsidRPr="00061666">
        <w:rPr>
          <w:bCs/>
          <w:sz w:val="20"/>
          <w:szCs w:val="20"/>
        </w:rPr>
        <w:t xml:space="preserve">strokovnih izhodišč Direkcije Republike Slovenije za vode (št. </w:t>
      </w:r>
      <w:r w:rsidR="00883A9B" w:rsidRPr="00061666">
        <w:rPr>
          <w:sz w:val="20"/>
          <w:szCs w:val="20"/>
        </w:rPr>
        <w:t xml:space="preserve">45500-25/2022–189 z dne 17. 4. 2024) se objekt nahaja v razredu srednje poplavne nevarnosti </w:t>
      </w:r>
      <w:r w:rsidR="00647F26" w:rsidRPr="00061666">
        <w:rPr>
          <w:sz w:val="20"/>
          <w:szCs w:val="20"/>
        </w:rPr>
        <w:t xml:space="preserve">in je bil ob poplavi avgusta 2023 poplavljen z globino večjo od 1m. Ob objektu se ob visokih vodah pojavljajo večje globine in hitrosti vodnega toka, otežena ali onemogočena pa je tudi evakuacija. Kljub temu, da se objekt po veljavnih kartah ni na območju velike poplavne ogroženosti, predstavlja veliko nevarnost za življenja in zdravje ljudi. </w:t>
      </w:r>
      <w:r w:rsidR="00061666" w:rsidRPr="00061666">
        <w:rPr>
          <w:sz w:val="20"/>
          <w:szCs w:val="20"/>
          <w:shd w:val="clear" w:color="auto" w:fill="FFFFFF"/>
        </w:rPr>
        <w:t xml:space="preserve">Glede na navedeno je odstranitev v javno korist. </w:t>
      </w:r>
      <w:r w:rsidR="00061666" w:rsidRPr="00061666">
        <w:rPr>
          <w:sz w:val="20"/>
          <w:szCs w:val="20"/>
        </w:rPr>
        <w:t>Za navedeni objekt obstaja</w:t>
      </w:r>
      <w:r w:rsidR="00061666" w:rsidRPr="00061666">
        <w:rPr>
          <w:sz w:val="20"/>
          <w:szCs w:val="20"/>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00061666" w:rsidRPr="00061666">
        <w:rPr>
          <w:sz w:val="20"/>
          <w:szCs w:val="20"/>
        </w:rPr>
        <w:t xml:space="preserve"> Objekt se nahajajo na območju srednje poplavne nevarnosti, kjer ni mogoča izvedba protipoplavne zaščite in zaradi česar so ogrožena življenja ali zdravje ljudi. Ugotovitev in utemeljitev, na katerem so se izkazali razlogi za nujno odstranitev objektov na podlagi visoke poplavne nevarnosti in s tem ogroženost življenja ali zdravja ljudi temelji na strokovnem mnenju št. SM- PREPOL2S z dne 7. 6. 2024. </w:t>
      </w:r>
      <w:r w:rsidR="00061666" w:rsidRPr="00061666">
        <w:rPr>
          <w:sz w:val="20"/>
          <w:szCs w:val="20"/>
          <w:shd w:val="clear" w:color="auto" w:fill="FFFFFF"/>
        </w:rPr>
        <w:t>Glede na navedeno je odstranitev v javno korist.</w:t>
      </w:r>
    </w:p>
    <w:p w:rsidR="00061666" w:rsidRPr="00061666" w:rsidRDefault="00061666" w:rsidP="00061666">
      <w:pPr>
        <w:pStyle w:val="Default"/>
        <w:spacing w:after="120" w:line="276" w:lineRule="auto"/>
        <w:ind w:left="425"/>
        <w:jc w:val="both"/>
        <w:rPr>
          <w:sz w:val="20"/>
          <w:szCs w:val="20"/>
        </w:rPr>
      </w:pPr>
      <w:r w:rsidRPr="00061666">
        <w:rPr>
          <w:sz w:val="20"/>
          <w:szCs w:val="20"/>
        </w:rPr>
        <w:t xml:space="preserve">Obravnavani objekt na naslovu </w:t>
      </w:r>
      <w:r w:rsidRPr="00061666">
        <w:rPr>
          <w:b/>
          <w:sz w:val="20"/>
          <w:szCs w:val="20"/>
        </w:rPr>
        <w:t>Poljana 4</w:t>
      </w:r>
      <w:r w:rsidRPr="00061666">
        <w:rPr>
          <w:sz w:val="20"/>
          <w:szCs w:val="20"/>
        </w:rPr>
        <w:t xml:space="preserve"> je bil na podlagi </w:t>
      </w:r>
      <w:r w:rsidRPr="00061666">
        <w:rPr>
          <w:bCs/>
          <w:sz w:val="20"/>
          <w:szCs w:val="20"/>
        </w:rPr>
        <w:t xml:space="preserve">strokovnih izhodišč Direkcije Republike Slovenije za vode (št. </w:t>
      </w:r>
      <w:r w:rsidRPr="00061666">
        <w:rPr>
          <w:sz w:val="20"/>
          <w:szCs w:val="20"/>
        </w:rPr>
        <w:t xml:space="preserve">45500-25/2022–189 z dne 17. 4. 2024) poplavljen z globino večjo od 1m in se nahaja na območju srednje poplavne ogroženosti. Ob objektu se pojavljajo močni tokovi s hitrostjo poplavne vode več kot 1m/s. Izvedba lokalnih ukrepov je možna, vendar pa se oba objekta nahajata na območju, kjer se ob visokih vodah pojavljajo večje globine in hitrosti vodnega toka, </w:t>
      </w:r>
      <w:r w:rsidRPr="00061666">
        <w:rPr>
          <w:sz w:val="20"/>
          <w:szCs w:val="20"/>
        </w:rPr>
        <w:lastRenderedPageBreak/>
        <w:t>otežena ali onemogočena pa je tudi evakuacija. Za navedeni objekt obstaja</w:t>
      </w:r>
      <w:r w:rsidRPr="00061666">
        <w:rPr>
          <w:sz w:val="20"/>
          <w:szCs w:val="20"/>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Pr="00061666">
        <w:rPr>
          <w:sz w:val="20"/>
          <w:szCs w:val="20"/>
        </w:rPr>
        <w:t xml:space="preserve"> Objekt se nahajajo na območju srednje poplavne nevarnosti, kjer ni mogoča izvedba protipoplavne zaščite in zaradi česar so ogrožena življenja ali zdravje ljudi. Ugotovitev in utemeljitev, na katerem so se izkazali razlogi za nujno odstranitev objektov na podlagi visoke poplavne nevarnosti in s tem ogroženost življenja ali zdravja ljudi temelji na strokovnem mnenju št. SM- </w:t>
      </w:r>
      <w:r>
        <w:rPr>
          <w:sz w:val="20"/>
          <w:szCs w:val="20"/>
        </w:rPr>
        <w:t>PREPOL4</w:t>
      </w:r>
      <w:r w:rsidRPr="00061666">
        <w:rPr>
          <w:sz w:val="20"/>
          <w:szCs w:val="20"/>
        </w:rPr>
        <w:t xml:space="preserve">S z dne 7. 6. 2024. </w:t>
      </w:r>
      <w:r w:rsidRPr="00061666">
        <w:rPr>
          <w:sz w:val="20"/>
          <w:szCs w:val="20"/>
          <w:shd w:val="clear" w:color="auto" w:fill="FFFFFF"/>
        </w:rPr>
        <w:t>Glede na navedeno je odstranitev v javno korist</w:t>
      </w:r>
      <w:r w:rsidR="00183711">
        <w:rPr>
          <w:sz w:val="20"/>
          <w:szCs w:val="20"/>
          <w:shd w:val="clear" w:color="auto" w:fill="FFFFFF"/>
        </w:rPr>
        <w:t>.</w:t>
      </w:r>
      <w:r w:rsidRPr="00061666">
        <w:rPr>
          <w:sz w:val="20"/>
          <w:szCs w:val="20"/>
        </w:rPr>
        <w:t xml:space="preserve"> </w:t>
      </w:r>
    </w:p>
    <w:p w:rsidR="00647F26" w:rsidRDefault="00647F26" w:rsidP="00AD7A25">
      <w:pPr>
        <w:pStyle w:val="Odstavekseznama"/>
        <w:tabs>
          <w:tab w:val="left" w:pos="1134"/>
        </w:tabs>
        <w:spacing w:after="120" w:line="276" w:lineRule="auto"/>
        <w:ind w:left="426"/>
        <w:jc w:val="both"/>
        <w:rPr>
          <w:rFonts w:cs="Arial"/>
        </w:rPr>
      </w:pPr>
    </w:p>
    <w:p w:rsidR="00647F26" w:rsidRDefault="00647F26" w:rsidP="00AD7A25">
      <w:pPr>
        <w:pStyle w:val="Odstavekseznama"/>
        <w:tabs>
          <w:tab w:val="left" w:pos="1134"/>
        </w:tabs>
        <w:spacing w:after="120" w:line="276" w:lineRule="auto"/>
        <w:ind w:left="426"/>
        <w:jc w:val="both"/>
        <w:rPr>
          <w:rFonts w:cs="Arial"/>
        </w:rPr>
      </w:pPr>
    </w:p>
    <w:p w:rsidR="00647F26" w:rsidRDefault="00647F26" w:rsidP="00AD7A25">
      <w:pPr>
        <w:pStyle w:val="Odstavekseznama"/>
        <w:tabs>
          <w:tab w:val="left" w:pos="1134"/>
        </w:tabs>
        <w:spacing w:after="120" w:line="276" w:lineRule="auto"/>
        <w:ind w:left="426"/>
        <w:jc w:val="both"/>
        <w:rPr>
          <w:rFonts w:cs="Arial"/>
        </w:rPr>
      </w:pPr>
    </w:p>
    <w:p w:rsidR="00093100" w:rsidRDefault="00093100" w:rsidP="00093100">
      <w:pPr>
        <w:pStyle w:val="Odstavekseznama"/>
        <w:tabs>
          <w:tab w:val="left" w:pos="1134"/>
        </w:tabs>
        <w:spacing w:after="120" w:line="276" w:lineRule="auto"/>
        <w:ind w:left="-360"/>
        <w:jc w:val="both"/>
        <w:rPr>
          <w:rFonts w:cs="Arial"/>
          <w:color w:val="000000"/>
        </w:rPr>
      </w:pPr>
    </w:p>
    <w:p w:rsidR="0017467A" w:rsidRPr="00183BC3" w:rsidRDefault="00EB2F69" w:rsidP="00183BC3">
      <w:pPr>
        <w:autoSpaceDE w:val="0"/>
        <w:autoSpaceDN w:val="0"/>
        <w:adjustRightInd w:val="0"/>
        <w:spacing w:line="240" w:lineRule="auto"/>
        <w:rPr>
          <w:rFonts w:eastAsiaTheme="minorHAnsi" w:cs="Arial"/>
          <w:color w:val="000000"/>
          <w:sz w:val="24"/>
        </w:rPr>
      </w:pPr>
      <w:r w:rsidRPr="00EB2F69">
        <w:rPr>
          <w:rFonts w:eastAsiaTheme="minorHAnsi" w:cs="Arial"/>
          <w:color w:val="000000"/>
          <w:sz w:val="24"/>
        </w:rPr>
        <w:t xml:space="preserve"> </w:t>
      </w:r>
    </w:p>
    <w:sectPr w:rsidR="0017467A" w:rsidRPr="00183BC3"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525442">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525442"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525442"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61666"/>
    <w:rsid w:val="000830B2"/>
    <w:rsid w:val="00093100"/>
    <w:rsid w:val="0017467A"/>
    <w:rsid w:val="00183711"/>
    <w:rsid w:val="00183BC3"/>
    <w:rsid w:val="00201639"/>
    <w:rsid w:val="00206FDA"/>
    <w:rsid w:val="002B2739"/>
    <w:rsid w:val="0038385A"/>
    <w:rsid w:val="00525442"/>
    <w:rsid w:val="00647F26"/>
    <w:rsid w:val="00861717"/>
    <w:rsid w:val="00883A9B"/>
    <w:rsid w:val="00911B6F"/>
    <w:rsid w:val="00955A44"/>
    <w:rsid w:val="009C7416"/>
    <w:rsid w:val="00AD7A25"/>
    <w:rsid w:val="00BE01FA"/>
    <w:rsid w:val="00DA5F33"/>
    <w:rsid w:val="00DA764C"/>
    <w:rsid w:val="00E216C4"/>
    <w:rsid w:val="00EA2D6C"/>
    <w:rsid w:val="00EB2F69"/>
    <w:rsid w:val="00EC4110"/>
    <w:rsid w:val="00F07EF3"/>
    <w:rsid w:val="00F801FC"/>
    <w:rsid w:val="00F979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schemas.microsoft.com/office/2006/documentManagement/types"/>
    <ds:schemaRef ds:uri="3bd31b66-7cdd-4b22-9953-e59f45a0e259"/>
    <ds:schemaRef ds:uri="3f2c6261-3339-4dac-a32e-723af7836fc3"/>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15ECD39C-D36D-43E7-A298-1FE8A328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870</Words>
  <Characters>4962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13</cp:revision>
  <dcterms:created xsi:type="dcterms:W3CDTF">2024-03-05T12:19:00Z</dcterms:created>
  <dcterms:modified xsi:type="dcterms:W3CDTF">2024-06-19T09:13:00Z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