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C4110" w:rsidRDefault="00BE01FA" w:rsidP="00BE01FA">
      <w:pPr>
        <w:tabs>
          <w:tab w:val="left" w:pos="1134"/>
        </w:tabs>
        <w:autoSpaceDE w:val="0"/>
        <w:autoSpaceDN w:val="0"/>
        <w:adjustRightInd w:val="0"/>
        <w:spacing w:line="240" w:lineRule="auto"/>
        <w:ind w:left="-23"/>
        <w:rPr>
          <w:rFonts w:cs="Arial"/>
          <w:color w:val="000000"/>
          <w:highlight w:val="yellow"/>
        </w:rPr>
      </w:pPr>
      <w:r w:rsidRPr="00EC4110">
        <w:rPr>
          <w:rFonts w:cs="Arial"/>
          <w:color w:val="000000" w:themeColor="text1"/>
          <w:highlight w:val="yellow"/>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C4110">
        <w:rPr>
          <w:rFonts w:cs="Arial"/>
          <w:color w:val="000000" w:themeColor="text1"/>
          <w:highlight w:val="yellow"/>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BE01FA" w:rsidRDefault="00BE01FA" w:rsidP="00BE01FA">
      <w:pPr>
        <w:tabs>
          <w:tab w:val="left" w:pos="1134"/>
        </w:tabs>
        <w:spacing w:line="240" w:lineRule="auto"/>
        <w:ind w:left="-23"/>
        <w:jc w:val="center"/>
        <w:rPr>
          <w:rFonts w:eastAsia="Arial" w:cs="Arial"/>
          <w:b/>
          <w:color w:val="000000" w:themeColor="text1"/>
        </w:rPr>
      </w:pPr>
      <w:r w:rsidRPr="009C0677">
        <w:rPr>
          <w:rFonts w:eastAsia="Arial" w:cs="Arial"/>
          <w:b/>
          <w:color w:val="000000" w:themeColor="text1"/>
        </w:rPr>
        <w:t>o določitvi objektov, katerih odstranitev je nujno potrebna in v javno korist</w:t>
      </w:r>
      <w:r>
        <w:rPr>
          <w:rFonts w:eastAsia="Arial" w:cs="Arial"/>
          <w:b/>
          <w:color w:val="000000" w:themeColor="text1"/>
        </w:rPr>
        <w:t>,</w:t>
      </w:r>
      <w:r w:rsidRPr="009C0677">
        <w:rPr>
          <w:rFonts w:eastAsia="Arial" w:cs="Arial"/>
          <w:b/>
          <w:color w:val="000000" w:themeColor="text1"/>
        </w:rPr>
        <w:t xml:space="preserve"> na območju</w:t>
      </w:r>
      <w:r w:rsidR="0017467A">
        <w:rPr>
          <w:rFonts w:eastAsia="Arial" w:cs="Arial"/>
          <w:b/>
          <w:color w:val="000000" w:themeColor="text1"/>
        </w:rPr>
        <w:t xml:space="preserve"> Občine </w:t>
      </w:r>
      <w:r w:rsidR="00E642CE">
        <w:rPr>
          <w:rFonts w:eastAsia="Arial" w:cs="Arial"/>
          <w:b/>
          <w:color w:val="000000" w:themeColor="text1"/>
        </w:rPr>
        <w:t>Mežica</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17467A" w:rsidRDefault="00BE01FA" w:rsidP="0017467A">
      <w:pPr>
        <w:tabs>
          <w:tab w:val="left" w:pos="1134"/>
        </w:tabs>
        <w:spacing w:line="240" w:lineRule="auto"/>
        <w:ind w:left="-23"/>
        <w:rPr>
          <w:rFonts w:cs="Arial"/>
          <w:color w:val="000000" w:themeColor="text1"/>
        </w:rPr>
      </w:pPr>
      <w:r w:rsidRPr="009C0677">
        <w:rPr>
          <w:rFonts w:cs="Arial"/>
          <w:color w:val="000000" w:themeColor="text1"/>
        </w:rPr>
        <w:t>Zaradi zavarovanja</w:t>
      </w:r>
      <w:r>
        <w:rPr>
          <w:rFonts w:cs="Arial"/>
          <w:color w:val="000000" w:themeColor="text1"/>
        </w:rPr>
        <w:t xml:space="preserve"> življenja in zdravja ljudi je nujno potrebna in v javno korist odstranitev naslednjih objektov (nepremičnine z objekti za odstranitev):</w:t>
      </w:r>
    </w:p>
    <w:p w:rsidR="00093100" w:rsidRDefault="00E642CE" w:rsidP="00093100">
      <w:pPr>
        <w:pStyle w:val="Odstavekseznama"/>
        <w:numPr>
          <w:ilvl w:val="0"/>
          <w:numId w:val="3"/>
        </w:numPr>
        <w:tabs>
          <w:tab w:val="left" w:pos="1134"/>
        </w:tabs>
        <w:jc w:val="both"/>
      </w:pPr>
      <w:r>
        <w:t>Polena 19</w:t>
      </w:r>
      <w:r w:rsidR="00093100">
        <w:t>, O</w:t>
      </w:r>
      <w:r w:rsidR="00093100" w:rsidRPr="00100AF3">
        <w:t xml:space="preserve">bčina </w:t>
      </w:r>
      <w:r>
        <w:t>Mežica</w:t>
      </w:r>
      <w:r w:rsidR="00093100" w:rsidRPr="00100AF3">
        <w:t xml:space="preserve">, št. stavbe: </w:t>
      </w:r>
      <w:r>
        <w:t>1015</w:t>
      </w:r>
      <w:r w:rsidR="00093100" w:rsidRPr="00100AF3">
        <w:t xml:space="preserve">, parc. št. </w:t>
      </w:r>
      <w:r>
        <w:t>864 (del)</w:t>
      </w:r>
      <w:r w:rsidR="00093100" w:rsidRPr="00100AF3">
        <w:t>, k.</w:t>
      </w:r>
      <w:r>
        <w:t xml:space="preserve"> o. 889</w:t>
      </w:r>
      <w:r w:rsidR="00093100">
        <w:t xml:space="preserve"> </w:t>
      </w:r>
      <w:r>
        <w:t>Mežica</w:t>
      </w:r>
      <w:r w:rsidR="00093100" w:rsidRPr="00100AF3">
        <w:t xml:space="preserve"> </w:t>
      </w:r>
      <w:r w:rsidR="00093100">
        <w:t>(</w:t>
      </w:r>
      <w:r w:rsidR="00093100" w:rsidRPr="00100AF3">
        <w:t>št. strokovnega mnenja SM-</w:t>
      </w:r>
      <w:r w:rsidRPr="00E642CE">
        <w:t xml:space="preserve"> </w:t>
      </w:r>
      <w:r>
        <w:t>MEŽPOL19S</w:t>
      </w:r>
      <w:r w:rsidR="00093100">
        <w:t>);</w:t>
      </w:r>
    </w:p>
    <w:p w:rsidR="00093100" w:rsidRDefault="00E642CE" w:rsidP="0038385A">
      <w:pPr>
        <w:pStyle w:val="Odstavekseznama"/>
        <w:numPr>
          <w:ilvl w:val="0"/>
          <w:numId w:val="3"/>
        </w:numPr>
        <w:tabs>
          <w:tab w:val="left" w:pos="1134"/>
        </w:tabs>
        <w:jc w:val="both"/>
      </w:pPr>
      <w:r>
        <w:t>Onkraj Meže 15</w:t>
      </w:r>
      <w:r w:rsidR="00093100">
        <w:t>, O</w:t>
      </w:r>
      <w:r w:rsidR="00093100" w:rsidRPr="00100AF3">
        <w:t xml:space="preserve">bčina </w:t>
      </w:r>
      <w:r>
        <w:t>Mežica</w:t>
      </w:r>
      <w:r w:rsidR="00093100" w:rsidRPr="00100AF3">
        <w:t xml:space="preserve">, št. stavbe: </w:t>
      </w:r>
      <w:r>
        <w:t>115</w:t>
      </w:r>
      <w:r w:rsidR="00093100" w:rsidRPr="00100AF3">
        <w:t xml:space="preserve">, parc. št. </w:t>
      </w:r>
      <w:r>
        <w:t>289/7</w:t>
      </w:r>
      <w:r w:rsidR="00093100">
        <w:t xml:space="preserve"> (del)</w:t>
      </w:r>
      <w:r w:rsidR="00093100" w:rsidRPr="00100AF3">
        <w:t>, k.</w:t>
      </w:r>
      <w:r>
        <w:t xml:space="preserve"> o. 890</w:t>
      </w:r>
      <w:r w:rsidR="00093100">
        <w:t xml:space="preserve"> </w:t>
      </w:r>
      <w:r>
        <w:t>Meža Onkraj</w:t>
      </w:r>
      <w:r w:rsidR="00093100" w:rsidRPr="00100AF3">
        <w:t xml:space="preserve"> </w:t>
      </w:r>
      <w:r w:rsidR="00093100">
        <w:t>(</w:t>
      </w:r>
      <w:r w:rsidR="00093100" w:rsidRPr="00100AF3">
        <w:t>št. strokovnega mnenja SM-</w:t>
      </w:r>
      <w:r>
        <w:t>MEŽONM15S</w:t>
      </w:r>
      <w:r w:rsidR="00AD7A25">
        <w:t>).</w:t>
      </w:r>
    </w:p>
    <w:p w:rsidR="00BE01FA" w:rsidRDefault="00BE01FA" w:rsidP="00032F4E">
      <w:pPr>
        <w:tabs>
          <w:tab w:val="left" w:pos="1134"/>
        </w:tabs>
        <w:spacing w:line="240" w:lineRule="auto"/>
        <w:rPr>
          <w:rFonts w:cs="Arial"/>
          <w:color w:val="000000" w:themeColor="text1"/>
        </w:rPr>
      </w:pPr>
    </w:p>
    <w:p w:rsidR="00BE01FA" w:rsidRDefault="00BE01FA" w:rsidP="0017467A">
      <w:pPr>
        <w:tabs>
          <w:tab w:val="left" w:pos="1134"/>
        </w:tabs>
        <w:spacing w:line="240" w:lineRule="auto"/>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Št. …</w:t>
      </w:r>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Ljubljana, dne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Vlada Republike Slovenije</w:t>
      </w:r>
      <w:r w:rsidRPr="009C0677">
        <w:rPr>
          <w:rFonts w:ascii="Arial" w:hAnsi="Arial" w:cs="Arial"/>
          <w:color w:val="000000" w:themeColor="text1"/>
          <w:sz w:val="20"/>
          <w:lang w:val="en-US" w:eastAsia="en-US"/>
        </w:rPr>
        <w:br/>
        <w:t>…</w:t>
      </w:r>
      <w:r w:rsidRPr="009C0677">
        <w:rPr>
          <w:rFonts w:ascii="Arial" w:hAnsi="Arial" w:cs="Arial"/>
          <w:color w:val="000000" w:themeColor="text1"/>
          <w:sz w:val="20"/>
          <w:lang w:val="en-US" w:eastAsia="en-US"/>
        </w:rPr>
        <w:br/>
        <w:t>predsednik</w:t>
      </w:r>
    </w:p>
    <w:p w:rsidR="00955A44" w:rsidRDefault="00955A44"/>
    <w:p w:rsidR="002109A6" w:rsidRDefault="002109A6" w:rsidP="00AD7A25">
      <w:pPr>
        <w:spacing w:after="160" w:line="259" w:lineRule="auto"/>
        <w:rPr>
          <w:rFonts w:cs="Arial"/>
          <w:szCs w:val="20"/>
        </w:rPr>
      </w:pPr>
    </w:p>
    <w:p w:rsidR="002109A6" w:rsidRDefault="002109A6" w:rsidP="00AD7A25">
      <w:pPr>
        <w:spacing w:after="160" w:line="259" w:lineRule="auto"/>
        <w:rPr>
          <w:rFonts w:cs="Arial"/>
          <w:szCs w:val="20"/>
        </w:rPr>
      </w:pPr>
    </w:p>
    <w:p w:rsidR="002109A6" w:rsidRDefault="002109A6" w:rsidP="00AD7A25">
      <w:pPr>
        <w:spacing w:after="160" w:line="259" w:lineRule="auto"/>
        <w:rPr>
          <w:rFonts w:cs="Arial"/>
          <w:szCs w:val="20"/>
        </w:rPr>
      </w:pPr>
    </w:p>
    <w:p w:rsidR="002109A6" w:rsidRDefault="002109A6" w:rsidP="00AD7A25">
      <w:pPr>
        <w:spacing w:after="160" w:line="259" w:lineRule="auto"/>
        <w:rPr>
          <w:rFonts w:cs="Arial"/>
          <w:szCs w:val="20"/>
        </w:rPr>
      </w:pPr>
    </w:p>
    <w:p w:rsidR="002109A6" w:rsidRDefault="002109A6" w:rsidP="00AD7A25">
      <w:pPr>
        <w:spacing w:after="160" w:line="259" w:lineRule="auto"/>
        <w:rPr>
          <w:rFonts w:cs="Arial"/>
          <w:szCs w:val="20"/>
        </w:rPr>
      </w:pPr>
    </w:p>
    <w:p w:rsidR="002109A6" w:rsidRDefault="002109A6" w:rsidP="00AD7A25">
      <w:pPr>
        <w:spacing w:after="160" w:line="259" w:lineRule="auto"/>
        <w:rPr>
          <w:rFonts w:cs="Arial"/>
          <w:szCs w:val="20"/>
        </w:rPr>
      </w:pPr>
    </w:p>
    <w:p w:rsidR="002109A6" w:rsidRDefault="002109A6" w:rsidP="00AD7A25">
      <w:pPr>
        <w:spacing w:after="160" w:line="259" w:lineRule="auto"/>
        <w:rPr>
          <w:rFonts w:cs="Arial"/>
          <w:szCs w:val="20"/>
        </w:rPr>
      </w:pPr>
    </w:p>
    <w:p w:rsidR="002109A6" w:rsidRDefault="002109A6" w:rsidP="00AD7A25">
      <w:pPr>
        <w:spacing w:after="160" w:line="259" w:lineRule="auto"/>
        <w:rPr>
          <w:rFonts w:cs="Arial"/>
          <w:szCs w:val="20"/>
        </w:rPr>
      </w:pPr>
    </w:p>
    <w:p w:rsidR="002109A6" w:rsidRDefault="002109A6" w:rsidP="00AD7A25">
      <w:pPr>
        <w:spacing w:after="160" w:line="259" w:lineRule="auto"/>
        <w:rPr>
          <w:rFonts w:cs="Arial"/>
          <w:szCs w:val="20"/>
        </w:rPr>
      </w:pPr>
    </w:p>
    <w:p w:rsidR="00093100" w:rsidRPr="00AD7A25" w:rsidRDefault="00093100" w:rsidP="00AD7A25">
      <w:pPr>
        <w:spacing w:after="160" w:line="259" w:lineRule="auto"/>
      </w:pPr>
      <w:bookmarkStart w:id="0" w:name="_GoBack"/>
      <w:bookmarkEnd w:id="0"/>
      <w:r>
        <w:rPr>
          <w:b/>
        </w:rPr>
        <w:lastRenderedPageBreak/>
        <w:t>Utemeljitev</w:t>
      </w:r>
      <w:r w:rsidRPr="00EC4110">
        <w:rPr>
          <w:b/>
        </w:rPr>
        <w:t>:</w:t>
      </w:r>
    </w:p>
    <w:p w:rsidR="00093100" w:rsidRPr="00EC4110" w:rsidRDefault="00093100" w:rsidP="00093100">
      <w:pPr>
        <w:rPr>
          <w:b/>
        </w:rPr>
      </w:pPr>
    </w:p>
    <w:p w:rsidR="00093100" w:rsidRPr="0007346D" w:rsidRDefault="00093100" w:rsidP="00093100">
      <w:pPr>
        <w:spacing w:after="120" w:line="276" w:lineRule="auto"/>
        <w:ind w:left="-426"/>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z javnim naznanilom na osrednjem spletnem mestu državne uprave in na krajevno običajen način razgrnila strokovna mnenja in osnutek sklepa Vlade Republike Slovenije</w:t>
      </w:r>
      <w:r w:rsidRPr="0007346D">
        <w:rPr>
          <w:rFonts w:cs="Arial"/>
          <w:szCs w:val="20"/>
        </w:rPr>
        <w:t xml:space="preserve">, ki se nanaša na objekte, opredeljene v 151.a členu </w:t>
      </w:r>
      <w:r w:rsidRPr="0007346D">
        <w:rPr>
          <w:rFonts w:eastAsia="Calibri" w:cs="Arial"/>
          <w:bCs/>
          <w:szCs w:val="20"/>
        </w:rPr>
        <w:t>ZIUOPZP</w:t>
      </w:r>
      <w:r w:rsidRPr="0007346D">
        <w:rPr>
          <w:rFonts w:cs="Arial"/>
          <w:szCs w:val="20"/>
        </w:rPr>
        <w:t xml:space="preserve">. Sklep je bil pripravljen na podlagi strokovnih mnenj, ki jih je pripravila na strokovnih podlagah strokovnjakov geološke in gradbene stroke Državna tehnična pisarna. </w:t>
      </w:r>
    </w:p>
    <w:p w:rsidR="00093100" w:rsidRDefault="00093100" w:rsidP="00093100">
      <w:pPr>
        <w:spacing w:after="120" w:line="276" w:lineRule="auto"/>
        <w:ind w:left="-426"/>
        <w:jc w:val="both"/>
        <w:rPr>
          <w:rFonts w:cs="Arial"/>
          <w:szCs w:val="20"/>
        </w:rPr>
      </w:pPr>
      <w:r w:rsidRPr="00D042DA">
        <w:rPr>
          <w:rFonts w:cs="Arial"/>
          <w:szCs w:val="20"/>
        </w:rPr>
        <w:t>Državna tehnična pisarna izdela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rsidR="00093100" w:rsidRDefault="00093100" w:rsidP="00093100">
      <w:pPr>
        <w:spacing w:after="120" w:line="276" w:lineRule="auto"/>
        <w:ind w:left="-426"/>
        <w:jc w:val="both"/>
        <w:rPr>
          <w:rFonts w:cs="Arial"/>
          <w:szCs w:val="20"/>
        </w:rPr>
      </w:pPr>
      <w:r w:rsidRPr="00D042DA">
        <w:rPr>
          <w:rFonts w:cs="Arial"/>
          <w:szCs w:val="20"/>
        </w:rPr>
        <w:t>S sklepom Vlade Republike Slovenije se v skladu s 151.c členom ZIUOPZP izkaže javna korist</w:t>
      </w:r>
      <w:r>
        <w:rPr>
          <w:rFonts w:cs="Arial"/>
          <w:szCs w:val="20"/>
        </w:rPr>
        <w:t>,</w:t>
      </w:r>
      <w:r w:rsidRPr="00D042DA">
        <w:rPr>
          <w:rFonts w:cs="Arial"/>
          <w:szCs w:val="20"/>
        </w:rPr>
        <w:t xml:space="preserve"> s čimer se opredeli in utemelji, da je zaradi</w:t>
      </w:r>
      <w:r w:rsidRPr="00D042DA">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Pr>
          <w:rFonts w:cs="Arial"/>
          <w:szCs w:val="20"/>
        </w:rPr>
        <w:t>.</w:t>
      </w:r>
    </w:p>
    <w:p w:rsidR="00093100" w:rsidRPr="003C3F63" w:rsidRDefault="00093100" w:rsidP="00093100">
      <w:pPr>
        <w:spacing w:after="120" w:line="276" w:lineRule="auto"/>
        <w:ind w:left="-426"/>
        <w:jc w:val="both"/>
        <w:rPr>
          <w:rFonts w:cs="Arial"/>
          <w:szCs w:val="20"/>
        </w:rPr>
      </w:pPr>
      <w:r>
        <w:rPr>
          <w:rFonts w:cs="Arial"/>
        </w:rPr>
        <w:t xml:space="preserve">Svet Vlade Republike Slovenije za obnovo (v nadaljevanju: Svet Vlade RS za obnovo) je na podlagi </w:t>
      </w:r>
      <w:r>
        <w:rPr>
          <w:rFonts w:cs="Arial"/>
          <w:color w:val="000000"/>
          <w:szCs w:val="20"/>
          <w:lang w:eastAsia="sl-SI"/>
        </w:rPr>
        <w:t xml:space="preserve">151.c člena </w:t>
      </w:r>
      <w:r>
        <w:rPr>
          <w:rFonts w:eastAsia="Calibri" w:cs="Arial"/>
          <w:bCs/>
          <w:szCs w:val="20"/>
        </w:rPr>
        <w:t>ZIUOPZP</w:t>
      </w:r>
      <w:r>
        <w:rPr>
          <w:rFonts w:cs="Arial"/>
          <w:color w:val="000000" w:themeColor="text1"/>
          <w:szCs w:val="20"/>
          <w:lang w:eastAsia="sl-SI"/>
        </w:rPr>
        <w:t xml:space="preserve"> </w:t>
      </w:r>
      <w:r>
        <w:rPr>
          <w:rFonts w:cs="Arial"/>
        </w:rPr>
        <w:t xml:space="preserve">obravnaval zgoraj omenjena strokovna mnenja, ki </w:t>
      </w:r>
      <w:r>
        <w:rPr>
          <w:rFonts w:cs="Arial"/>
          <w:color w:val="000000"/>
          <w:szCs w:val="20"/>
          <w:lang w:eastAsia="sl-SI"/>
        </w:rPr>
        <w:t xml:space="preserve">jih je pripravila Državna tehnična pisarna. Strokovna mnenja so bila Svetu Vlade RS za obnovo </w:t>
      </w:r>
      <w:r w:rsidRPr="003C3F63">
        <w:rPr>
          <w:rFonts w:cs="Arial"/>
          <w:color w:val="000000"/>
          <w:szCs w:val="20"/>
          <w:lang w:eastAsia="sl-SI"/>
        </w:rPr>
        <w:t>p</w:t>
      </w:r>
      <w:r w:rsidR="009C7416">
        <w:rPr>
          <w:rFonts w:cs="Arial"/>
          <w:color w:val="000000"/>
          <w:szCs w:val="20"/>
          <w:lang w:eastAsia="sl-SI"/>
        </w:rPr>
        <w:t>oslana dne 10</w:t>
      </w:r>
      <w:r w:rsidRPr="003C3F63">
        <w:rPr>
          <w:rFonts w:cs="Arial"/>
          <w:color w:val="000000"/>
          <w:szCs w:val="20"/>
          <w:lang w:eastAsia="sl-SI"/>
        </w:rPr>
        <w:t xml:space="preserve">. </w:t>
      </w:r>
      <w:r w:rsidR="009C7416">
        <w:rPr>
          <w:rFonts w:cs="Arial"/>
          <w:color w:val="000000"/>
          <w:szCs w:val="20"/>
          <w:lang w:eastAsia="sl-SI"/>
        </w:rPr>
        <w:t>junija</w:t>
      </w:r>
      <w:r w:rsidRPr="003C3F63">
        <w:rPr>
          <w:rFonts w:cs="Arial"/>
          <w:color w:val="000000"/>
          <w:szCs w:val="20"/>
          <w:lang w:eastAsia="sl-SI"/>
        </w:rPr>
        <w:t xml:space="preserve"> 2024. Vsa strokovna mnenja so bila s strani Sveta Vlade RS za obnovo</w:t>
      </w:r>
      <w:r w:rsidRPr="003C3F63">
        <w:rPr>
          <w:rFonts w:cs="Arial"/>
        </w:rPr>
        <w:t xml:space="preserve"> potrjena</w:t>
      </w:r>
      <w:r w:rsidRPr="003C3F63">
        <w:rPr>
          <w:rFonts w:cs="Arial"/>
          <w:color w:val="000000"/>
          <w:szCs w:val="20"/>
          <w:lang w:eastAsia="sl-SI"/>
        </w:rPr>
        <w:t xml:space="preserve"> </w:t>
      </w:r>
      <w:r w:rsidR="009C7416">
        <w:rPr>
          <w:rFonts w:cs="Arial"/>
          <w:color w:val="000000"/>
          <w:szCs w:val="20"/>
          <w:lang w:eastAsia="sl-SI"/>
        </w:rPr>
        <w:t>dne 19</w:t>
      </w:r>
      <w:r w:rsidRPr="003C3F63">
        <w:rPr>
          <w:rFonts w:cs="Arial"/>
          <w:color w:val="000000"/>
          <w:szCs w:val="20"/>
          <w:lang w:eastAsia="sl-SI"/>
        </w:rPr>
        <w:t xml:space="preserve">. </w:t>
      </w:r>
      <w:r w:rsidR="009C7416">
        <w:rPr>
          <w:rFonts w:cs="Arial"/>
          <w:color w:val="000000"/>
          <w:szCs w:val="20"/>
          <w:lang w:eastAsia="sl-SI"/>
        </w:rPr>
        <w:t>junija</w:t>
      </w:r>
      <w:r w:rsidRPr="003C3F63">
        <w:rPr>
          <w:rFonts w:cs="Arial"/>
          <w:color w:val="000000"/>
          <w:szCs w:val="20"/>
          <w:lang w:eastAsia="sl-SI"/>
        </w:rPr>
        <w:t xml:space="preserve"> 2024. </w:t>
      </w:r>
    </w:p>
    <w:p w:rsidR="00093100" w:rsidRPr="00231BFF" w:rsidRDefault="00093100" w:rsidP="00AD7A25">
      <w:pPr>
        <w:spacing w:after="120" w:line="276" w:lineRule="auto"/>
        <w:ind w:left="426"/>
        <w:jc w:val="both"/>
        <w:rPr>
          <w:rFonts w:cs="Arial"/>
          <w:color w:val="000000"/>
          <w:szCs w:val="20"/>
          <w:lang w:eastAsia="sl-SI"/>
        </w:rPr>
      </w:pPr>
      <w:r w:rsidRPr="003C3F63">
        <w:rPr>
          <w:rFonts w:cs="Arial"/>
        </w:rPr>
        <w:t>Državna tehnična pisarna je v skladu s 151.b členom ZIUOPZP podala strokovno mnenje za spodaj navedene objekte, za katere strokovno ocenjuje, da obstaja visoka ogroženost zaradi zemeljskega</w:t>
      </w:r>
      <w:r w:rsidRPr="00EA64DE">
        <w:rPr>
          <w:rFonts w:cs="Arial"/>
        </w:rPr>
        <w:t xml:space="preserve"> ali hribinskega plazu kot posledice poplav in plazov ter gre za znatno poškodovan objekt, katerega obnova ni mogoča ali ekonomsko smiselna in s čimer bi lahko nastale škodljive posledice za življenje in zdravje ljudi:</w:t>
      </w:r>
    </w:p>
    <w:p w:rsidR="00E642CE" w:rsidRDefault="00E642CE" w:rsidP="00E642CE">
      <w:pPr>
        <w:pStyle w:val="Odstavekseznama"/>
        <w:numPr>
          <w:ilvl w:val="0"/>
          <w:numId w:val="3"/>
        </w:numPr>
        <w:tabs>
          <w:tab w:val="left" w:pos="1134"/>
        </w:tabs>
        <w:jc w:val="both"/>
      </w:pPr>
      <w:r>
        <w:t>Polena 19, O</w:t>
      </w:r>
      <w:r w:rsidRPr="00100AF3">
        <w:t xml:space="preserve">bčina </w:t>
      </w:r>
      <w:r>
        <w:t>Mežica</w:t>
      </w:r>
      <w:r w:rsidRPr="00100AF3">
        <w:t xml:space="preserve">, št. stavbe: </w:t>
      </w:r>
      <w:r>
        <w:t>1015</w:t>
      </w:r>
      <w:r w:rsidRPr="00100AF3">
        <w:t xml:space="preserve">, parc. št. </w:t>
      </w:r>
      <w:r>
        <w:t>864 (del)</w:t>
      </w:r>
      <w:r w:rsidRPr="00100AF3">
        <w:t>, k.</w:t>
      </w:r>
      <w:r>
        <w:t xml:space="preserve"> o. 889 Mežica</w:t>
      </w:r>
      <w:r w:rsidRPr="00100AF3">
        <w:t xml:space="preserve"> </w:t>
      </w:r>
      <w:r>
        <w:t>(</w:t>
      </w:r>
      <w:r w:rsidRPr="00100AF3">
        <w:t>št. strokovnega mnenja SM-</w:t>
      </w:r>
      <w:r w:rsidRPr="00E642CE">
        <w:t xml:space="preserve"> </w:t>
      </w:r>
      <w:r>
        <w:t>MEŽPOL19S);</w:t>
      </w:r>
    </w:p>
    <w:p w:rsidR="00E642CE" w:rsidRDefault="00E642CE" w:rsidP="00E642CE">
      <w:pPr>
        <w:pStyle w:val="Odstavekseznama"/>
        <w:numPr>
          <w:ilvl w:val="0"/>
          <w:numId w:val="3"/>
        </w:numPr>
        <w:tabs>
          <w:tab w:val="left" w:pos="1134"/>
        </w:tabs>
        <w:jc w:val="both"/>
      </w:pPr>
      <w:r>
        <w:t>Onkraj Meže 15, O</w:t>
      </w:r>
      <w:r w:rsidRPr="00100AF3">
        <w:t xml:space="preserve">bčina </w:t>
      </w:r>
      <w:r>
        <w:t>Mežica</w:t>
      </w:r>
      <w:r w:rsidRPr="00100AF3">
        <w:t xml:space="preserve">, št. stavbe: </w:t>
      </w:r>
      <w:r>
        <w:t>115</w:t>
      </w:r>
      <w:r w:rsidRPr="00100AF3">
        <w:t xml:space="preserve">, parc. št. </w:t>
      </w:r>
      <w:r>
        <w:t>289/7 (del)</w:t>
      </w:r>
      <w:r w:rsidRPr="00100AF3">
        <w:t>, k.</w:t>
      </w:r>
      <w:r>
        <w:t xml:space="preserve"> o. 890 Meža Onkraj</w:t>
      </w:r>
      <w:r w:rsidRPr="00100AF3">
        <w:t xml:space="preserve"> </w:t>
      </w:r>
      <w:r>
        <w:t>(</w:t>
      </w:r>
      <w:r w:rsidRPr="00100AF3">
        <w:t>št. strokovnega mnenja SM-</w:t>
      </w:r>
      <w:r>
        <w:t>MEŽONM15S).</w:t>
      </w:r>
    </w:p>
    <w:p w:rsidR="00E642CE" w:rsidRDefault="00E642CE" w:rsidP="00E642CE">
      <w:pPr>
        <w:pStyle w:val="Odstavekseznama"/>
        <w:tabs>
          <w:tab w:val="left" w:pos="1134"/>
        </w:tabs>
        <w:jc w:val="both"/>
      </w:pPr>
    </w:p>
    <w:p w:rsidR="00DD1FDC" w:rsidRPr="00C06521" w:rsidRDefault="00093100" w:rsidP="00C06521">
      <w:pPr>
        <w:pStyle w:val="Default"/>
        <w:spacing w:after="120" w:line="276" w:lineRule="auto"/>
        <w:ind w:left="425"/>
        <w:jc w:val="both"/>
        <w:rPr>
          <w:sz w:val="20"/>
          <w:szCs w:val="20"/>
        </w:rPr>
      </w:pPr>
      <w:r w:rsidRPr="00DD1FDC">
        <w:rPr>
          <w:sz w:val="20"/>
          <w:szCs w:val="20"/>
        </w:rPr>
        <w:t xml:space="preserve">Obravnavani objekt na naslovu </w:t>
      </w:r>
      <w:r w:rsidR="004E6D73" w:rsidRPr="00DD1FDC">
        <w:rPr>
          <w:b/>
          <w:sz w:val="20"/>
          <w:szCs w:val="20"/>
        </w:rPr>
        <w:t>Polena 19</w:t>
      </w:r>
      <w:r w:rsidR="004E6D73" w:rsidRPr="00DD1FDC">
        <w:rPr>
          <w:sz w:val="20"/>
          <w:szCs w:val="20"/>
        </w:rPr>
        <w:t xml:space="preserve"> se nahaja osamljeni lokaciji na desnem bregu reke Meže in v priobalnem pasu</w:t>
      </w:r>
      <w:r w:rsidR="00DD1FDC" w:rsidRPr="00DD1FDC">
        <w:rPr>
          <w:sz w:val="20"/>
          <w:szCs w:val="20"/>
        </w:rPr>
        <w:t xml:space="preserve">. Na podlagi </w:t>
      </w:r>
      <w:r w:rsidR="00DD1FDC" w:rsidRPr="00DD1FDC">
        <w:rPr>
          <w:bCs/>
          <w:sz w:val="20"/>
          <w:szCs w:val="20"/>
        </w:rPr>
        <w:t xml:space="preserve">strokovnih izhodišč Direkcije Republike Slovenije za vode (št. </w:t>
      </w:r>
      <w:r w:rsidR="00DD1FDC" w:rsidRPr="00DD1FDC">
        <w:rPr>
          <w:sz w:val="20"/>
          <w:szCs w:val="20"/>
        </w:rPr>
        <w:t>45500-25/2022–189 z dne 17. 4. 2024) se objekt nahaja na območju razreda majhne poplavne nevarnosti. Ob poplavi avgusta 2023 je bil poplavljen z globino vode do 1m, ogrožale so ga erozijske zajede in visoke hitrosti toka poplavnih vod. Ob poplavah je bil erozijsko poškodovan temelj objekta. Objekt se nahaja na območju priobalnega pasu reke Meže. Ukrepi za zmanjšanje poplavne ogroženosti na območju tega objekta bi morali biti umeščeni na sam vrh brežine, kar bi imelo negativni vpliv na ostale objekte in so zato neizvedljivi. Kljub temu, da se objekt po veljavnih kartah ni na območju velike poplavne ogroženosti, predstavlja veliko nevarnost za življenja in zdravje ljudi. Za navedeni objekt obstaja</w:t>
      </w:r>
      <w:r w:rsidR="00DD1FDC" w:rsidRPr="00DD1FDC">
        <w:rPr>
          <w:sz w:val="20"/>
          <w:szCs w:val="20"/>
          <w:shd w:val="clear" w:color="auto" w:fill="FFFFFF"/>
        </w:rPr>
        <w:t xml:space="preserve"> visoka ogroženosti zaradi poplavne nevarnosti in s tem povezano visoko nevarnosti porušitve ali znatnega poškodovanja objekta, s čimer bi lahko nastale škodljive posledice za življenje in zdravje ljudi.</w:t>
      </w:r>
      <w:r w:rsidR="00DD1FDC" w:rsidRPr="00DD1FDC">
        <w:rPr>
          <w:sz w:val="20"/>
          <w:szCs w:val="20"/>
        </w:rPr>
        <w:t xml:space="preserve"> Objekt se nahajajo na območju </w:t>
      </w:r>
      <w:r w:rsidR="00C06521" w:rsidRPr="00DD1FDC">
        <w:rPr>
          <w:sz w:val="20"/>
          <w:szCs w:val="20"/>
        </w:rPr>
        <w:t>majhne poplavne nevarnosti</w:t>
      </w:r>
      <w:r w:rsidR="00DD1FDC" w:rsidRPr="00DD1FDC">
        <w:rPr>
          <w:sz w:val="20"/>
          <w:szCs w:val="20"/>
        </w:rPr>
        <w:t xml:space="preserve">, kjer ni mogoča izvedba protipoplavne zaščite in zaradi česar so ogrožena življenja ali zdravje ljudi. Ugotovitev in utemeljitev, na katerem so se izkazali razlogi za nujno odstranitev objektov </w:t>
      </w:r>
      <w:r w:rsidR="00DD1FDC" w:rsidRPr="00C06521">
        <w:rPr>
          <w:sz w:val="20"/>
          <w:szCs w:val="20"/>
        </w:rPr>
        <w:t xml:space="preserve">na podlagi visoke poplavne nevarnosti in s tem ogroženost življenja ali zdravja ljudi temelji na strokovnem mnenju št. SM- MEŽPOL19S z dne 7. 6. 2024. </w:t>
      </w:r>
      <w:r w:rsidR="00DD1FDC" w:rsidRPr="00C06521">
        <w:rPr>
          <w:sz w:val="20"/>
          <w:szCs w:val="20"/>
          <w:shd w:val="clear" w:color="auto" w:fill="FFFFFF"/>
        </w:rPr>
        <w:t>Glede na navedeno je odstranitev v javno korist.</w:t>
      </w:r>
    </w:p>
    <w:p w:rsidR="00DD1FDC" w:rsidRPr="00C06521" w:rsidRDefault="00DD1FDC" w:rsidP="00C06521">
      <w:pPr>
        <w:pStyle w:val="Default"/>
        <w:spacing w:after="120" w:line="276" w:lineRule="auto"/>
        <w:ind w:left="426"/>
        <w:jc w:val="both"/>
        <w:rPr>
          <w:sz w:val="20"/>
          <w:szCs w:val="20"/>
        </w:rPr>
      </w:pPr>
    </w:p>
    <w:p w:rsidR="00C06521" w:rsidRPr="00C06521" w:rsidRDefault="00AB5F5B" w:rsidP="00C06521">
      <w:pPr>
        <w:pStyle w:val="Default"/>
        <w:spacing w:after="120" w:line="276" w:lineRule="auto"/>
        <w:jc w:val="both"/>
        <w:rPr>
          <w:sz w:val="20"/>
          <w:szCs w:val="20"/>
        </w:rPr>
      </w:pPr>
      <w:r w:rsidRPr="00C06521">
        <w:rPr>
          <w:sz w:val="20"/>
          <w:szCs w:val="20"/>
        </w:rPr>
        <w:lastRenderedPageBreak/>
        <w:t xml:space="preserve">Obravnavani objekt na naslovu </w:t>
      </w:r>
      <w:r w:rsidRPr="00C06521">
        <w:rPr>
          <w:b/>
          <w:sz w:val="20"/>
          <w:szCs w:val="20"/>
        </w:rPr>
        <w:t>Onkraj Meže 19</w:t>
      </w:r>
      <w:r w:rsidRPr="00C06521">
        <w:rPr>
          <w:sz w:val="20"/>
          <w:szCs w:val="20"/>
        </w:rPr>
        <w:t xml:space="preserve"> se nahaja</w:t>
      </w:r>
      <w:r w:rsidR="00C06521" w:rsidRPr="00C06521">
        <w:rPr>
          <w:sz w:val="20"/>
          <w:szCs w:val="20"/>
        </w:rPr>
        <w:t xml:space="preserve"> v osamljeni lokaciji na desnem bregu reke Meže in v priobalnem pasu</w:t>
      </w:r>
      <w:r w:rsidR="00C06521">
        <w:rPr>
          <w:sz w:val="20"/>
          <w:szCs w:val="20"/>
        </w:rPr>
        <w:t xml:space="preserve">, </w:t>
      </w:r>
      <w:r w:rsidR="00C06521" w:rsidRPr="00C06521">
        <w:rPr>
          <w:sz w:val="20"/>
          <w:szCs w:val="20"/>
        </w:rPr>
        <w:t xml:space="preserve">kjer ob visokih vodah nastopijo zelo neugodne hidravlične razmere (pravokotni okljuk, visoke hitrosti poplavnega toka in velika erozijska moč). Na podlagi </w:t>
      </w:r>
      <w:r w:rsidR="00C06521" w:rsidRPr="00C06521">
        <w:rPr>
          <w:bCs/>
          <w:sz w:val="20"/>
          <w:szCs w:val="20"/>
        </w:rPr>
        <w:t xml:space="preserve">strokovnih izhodišč Direkcije Republike Slovenije za vode (št. </w:t>
      </w:r>
      <w:r w:rsidR="00C06521" w:rsidRPr="00C06521">
        <w:rPr>
          <w:sz w:val="20"/>
          <w:szCs w:val="20"/>
        </w:rPr>
        <w:t>45500-25/2022–189 z dne 17. 4. 2024) se objekt nahaja na območju majhne oz. preostale poplavne nevarnosti, vendar se ob visokih vodah pojavi velika nevarnost erozije in poplave</w:t>
      </w:r>
      <w:r w:rsidR="00C06521">
        <w:rPr>
          <w:sz w:val="20"/>
          <w:szCs w:val="20"/>
        </w:rPr>
        <w:t xml:space="preserve"> ter</w:t>
      </w:r>
      <w:r w:rsidR="00C06521" w:rsidRPr="00C06521">
        <w:rPr>
          <w:sz w:val="20"/>
          <w:szCs w:val="20"/>
          <w:shd w:val="clear" w:color="auto" w:fill="FFFFFF"/>
        </w:rPr>
        <w:t xml:space="preserve"> s tem povezano visoko nevarnosti porušitve ali znatnega poškodovanja objekta, s čimer bi lahko nastale škodljive posledice za življenje in zdravje ljudi.</w:t>
      </w:r>
      <w:r w:rsidR="00C06521" w:rsidRPr="00C06521">
        <w:rPr>
          <w:sz w:val="20"/>
          <w:szCs w:val="20"/>
        </w:rPr>
        <w:t xml:space="preserve">. Objekt je bil v poplavnem dogodku v avgustu 2023 poplavljen več kot 1 m. V poplavah je bil porušen most na reki Meži in s tem onemogočen dostop do objekta. Poplavljena je bila tudi regionalna cesta. Reka Meža je med poplavami intenzivno erodirala desno brežino in si s tem razširila strugo. Dolvodno od objekta se je z erozijsko zajedo približala do objekta. Objekt je z ustreznimi tehničnimi ukrepi sicer možno varovati pred visokimi vodami s protipoplavnimi zidovi/nasipi (na Q100 z upoštevanjem podnebnih sprememb), ob nastopu poplav z višjo povratno dobo, bi bili zidovi/nasipi preliti. Zagotavljanje </w:t>
      </w:r>
      <w:r w:rsidR="00C06521">
        <w:rPr>
          <w:sz w:val="20"/>
          <w:szCs w:val="20"/>
        </w:rPr>
        <w:t xml:space="preserve">dostopnosti do objekta v času visokih vod bi bilo potrebno zagotoviti z </w:t>
      </w:r>
      <w:r w:rsidR="00915597">
        <w:rPr>
          <w:sz w:val="20"/>
          <w:szCs w:val="20"/>
        </w:rPr>
        <w:t>ustreznim</w:t>
      </w:r>
      <w:r w:rsidR="00C06521">
        <w:rPr>
          <w:sz w:val="20"/>
          <w:szCs w:val="20"/>
        </w:rPr>
        <w:t xml:space="preserve"> načrtovanjem dostopne poti v času</w:t>
      </w:r>
      <w:r w:rsidR="00C06521" w:rsidRPr="00C06521">
        <w:rPr>
          <w:sz w:val="20"/>
          <w:szCs w:val="20"/>
        </w:rPr>
        <w:t xml:space="preserve"> </w:t>
      </w:r>
      <w:r w:rsidR="00915597">
        <w:rPr>
          <w:sz w:val="20"/>
          <w:szCs w:val="20"/>
        </w:rPr>
        <w:t xml:space="preserve">v dolžini cca. </w:t>
      </w:r>
      <w:r w:rsidR="00C06521" w:rsidRPr="00C06521">
        <w:rPr>
          <w:sz w:val="20"/>
          <w:szCs w:val="20"/>
        </w:rPr>
        <w:t xml:space="preserve">390 m. Potrebno bi bilo urediti tudi odvodnjo zalednih vod. Objekt se nahajajo na območju </w:t>
      </w:r>
      <w:r w:rsidR="00915597">
        <w:rPr>
          <w:sz w:val="20"/>
          <w:szCs w:val="20"/>
        </w:rPr>
        <w:t>majhne in preostale poplavne nevarnosti</w:t>
      </w:r>
      <w:r w:rsidR="00C06521" w:rsidRPr="00C06521">
        <w:rPr>
          <w:sz w:val="20"/>
          <w:szCs w:val="20"/>
        </w:rPr>
        <w:t xml:space="preserve">, kjer ni mogoča izvedba protipoplavne zaščite in zaradi česar so ogrožena življenja ali zdravje ljudi. Ugotovitev in utemeljitev, na katerem so se izkazali razlogi za nujno odstranitev objektov na podlagi visoke poplavne nevarnosti in s tem ogroženost življenja ali zdravja ljudi temelji na strokovnem mnenju št. SM-MEŽONM15S z dne 7. 6. 2024. </w:t>
      </w:r>
      <w:r w:rsidR="00C06521" w:rsidRPr="00C06521">
        <w:rPr>
          <w:sz w:val="20"/>
          <w:szCs w:val="20"/>
          <w:shd w:val="clear" w:color="auto" w:fill="FFFFFF"/>
        </w:rPr>
        <w:t>Glede na navedeno je odstranitev v javno korist.</w:t>
      </w:r>
    </w:p>
    <w:p w:rsidR="00C06521" w:rsidRPr="00C06521" w:rsidRDefault="00C06521" w:rsidP="00C06521">
      <w:pPr>
        <w:autoSpaceDE w:val="0"/>
        <w:autoSpaceDN w:val="0"/>
        <w:adjustRightInd w:val="0"/>
        <w:spacing w:line="240" w:lineRule="auto"/>
        <w:rPr>
          <w:rFonts w:eastAsiaTheme="minorHAnsi" w:cs="Arial"/>
          <w:color w:val="000000"/>
          <w:szCs w:val="20"/>
        </w:rPr>
      </w:pPr>
    </w:p>
    <w:p w:rsidR="00647F26" w:rsidRDefault="00647F26" w:rsidP="00AD7A25">
      <w:pPr>
        <w:pStyle w:val="Odstavekseznama"/>
        <w:tabs>
          <w:tab w:val="left" w:pos="1134"/>
        </w:tabs>
        <w:spacing w:after="120" w:line="276" w:lineRule="auto"/>
        <w:ind w:left="426"/>
        <w:jc w:val="both"/>
        <w:rPr>
          <w:rFonts w:cs="Arial"/>
        </w:rPr>
      </w:pPr>
    </w:p>
    <w:p w:rsidR="00647F26" w:rsidRDefault="00647F26" w:rsidP="00AD7A25">
      <w:pPr>
        <w:pStyle w:val="Odstavekseznama"/>
        <w:tabs>
          <w:tab w:val="left" w:pos="1134"/>
        </w:tabs>
        <w:spacing w:after="120" w:line="276" w:lineRule="auto"/>
        <w:ind w:left="426"/>
        <w:jc w:val="both"/>
        <w:rPr>
          <w:rFonts w:cs="Arial"/>
        </w:rPr>
      </w:pPr>
    </w:p>
    <w:p w:rsidR="00647F26" w:rsidRDefault="00647F26" w:rsidP="00AD7A25">
      <w:pPr>
        <w:pStyle w:val="Odstavekseznama"/>
        <w:tabs>
          <w:tab w:val="left" w:pos="1134"/>
        </w:tabs>
        <w:spacing w:after="120" w:line="276" w:lineRule="auto"/>
        <w:ind w:left="426"/>
        <w:jc w:val="both"/>
        <w:rPr>
          <w:rFonts w:cs="Arial"/>
        </w:rPr>
      </w:pPr>
    </w:p>
    <w:p w:rsidR="00093100" w:rsidRDefault="00093100" w:rsidP="00093100">
      <w:pPr>
        <w:pStyle w:val="Odstavekseznama"/>
        <w:tabs>
          <w:tab w:val="left" w:pos="1134"/>
        </w:tabs>
        <w:spacing w:after="120" w:line="276" w:lineRule="auto"/>
        <w:ind w:left="-360"/>
        <w:jc w:val="both"/>
        <w:rPr>
          <w:rFonts w:cs="Arial"/>
          <w:color w:val="000000"/>
        </w:rPr>
      </w:pPr>
    </w:p>
    <w:p w:rsidR="0017467A" w:rsidRPr="00183BC3" w:rsidRDefault="00EB2F69" w:rsidP="00183BC3">
      <w:pPr>
        <w:autoSpaceDE w:val="0"/>
        <w:autoSpaceDN w:val="0"/>
        <w:adjustRightInd w:val="0"/>
        <w:spacing w:line="240" w:lineRule="auto"/>
        <w:rPr>
          <w:rFonts w:eastAsiaTheme="minorHAnsi" w:cs="Arial"/>
          <w:color w:val="000000"/>
          <w:sz w:val="24"/>
        </w:rPr>
      </w:pPr>
      <w:r w:rsidRPr="00EB2F69">
        <w:rPr>
          <w:rFonts w:eastAsiaTheme="minorHAnsi" w:cs="Arial"/>
          <w:color w:val="000000"/>
          <w:sz w:val="24"/>
        </w:rPr>
        <w:t xml:space="preserve"> </w:t>
      </w:r>
    </w:p>
    <w:sectPr w:rsidR="0017467A" w:rsidRPr="00183BC3" w:rsidSect="00955A4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2109A6">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2109A6"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2109A6"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FE628A"/>
    <w:multiLevelType w:val="hybridMultilevel"/>
    <w:tmpl w:val="0A4218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4"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FDA8EC8"/>
    <w:multiLevelType w:val="hybridMultilevel"/>
    <w:tmpl w:val="7B5D48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32F4E"/>
    <w:rsid w:val="00061666"/>
    <w:rsid w:val="000830B2"/>
    <w:rsid w:val="00093100"/>
    <w:rsid w:val="0017467A"/>
    <w:rsid w:val="00183711"/>
    <w:rsid w:val="00183BC3"/>
    <w:rsid w:val="00201639"/>
    <w:rsid w:val="00206FDA"/>
    <w:rsid w:val="002109A6"/>
    <w:rsid w:val="002B2739"/>
    <w:rsid w:val="0038385A"/>
    <w:rsid w:val="004E6D73"/>
    <w:rsid w:val="00647F26"/>
    <w:rsid w:val="00861717"/>
    <w:rsid w:val="00883A9B"/>
    <w:rsid w:val="00911B6F"/>
    <w:rsid w:val="00915597"/>
    <w:rsid w:val="00955A44"/>
    <w:rsid w:val="009C7416"/>
    <w:rsid w:val="00AB5F5B"/>
    <w:rsid w:val="00AD7A25"/>
    <w:rsid w:val="00BE01FA"/>
    <w:rsid w:val="00C06521"/>
    <w:rsid w:val="00DA5F33"/>
    <w:rsid w:val="00DA764C"/>
    <w:rsid w:val="00DD1FDC"/>
    <w:rsid w:val="00E216C4"/>
    <w:rsid w:val="00E642CE"/>
    <w:rsid w:val="00EA2D6C"/>
    <w:rsid w:val="00EB2F69"/>
    <w:rsid w:val="00EC4110"/>
    <w:rsid w:val="00F07EF3"/>
    <w:rsid w:val="00F801FC"/>
    <w:rsid w:val="00F979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8105E7-B34C-42D0-AC0E-6EEF6C6A42BE}">
  <ds:schemaRefs>
    <ds:schemaRef ds:uri="http://schemas.microsoft.com/office/2006/documentManagement/types"/>
    <ds:schemaRef ds:uri="3bd31b66-7cdd-4b22-9953-e59f45a0e259"/>
    <ds:schemaRef ds:uri="3f2c6261-3339-4dac-a32e-723af7836fc3"/>
    <ds:schemaRef ds:uri="http://purl.org/dc/elements/1.1/"/>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3.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21297-3DC1-41DC-A261-97D1E528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1016</Words>
  <Characters>5797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17</cp:revision>
  <dcterms:created xsi:type="dcterms:W3CDTF">2024-03-05T12:19:00Z</dcterms:created>
  <dcterms:modified xsi:type="dcterms:W3CDTF">2024-06-19T09:12:00Z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