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691B9E"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objekta</w:t>
      </w:r>
      <w:r w:rsidR="001A1019">
        <w:rPr>
          <w:rFonts w:eastAsia="Arial" w:cs="Arial"/>
          <w:b/>
          <w:color w:val="000000" w:themeColor="text1"/>
          <w:szCs w:val="20"/>
        </w:rPr>
        <w:t>, katerega</w:t>
      </w:r>
      <w:r w:rsidR="00231BFF" w:rsidRPr="001B3F3F">
        <w:rPr>
          <w:rFonts w:eastAsia="Arial" w:cs="Arial"/>
          <w:b/>
          <w:color w:val="000000" w:themeColor="text1"/>
          <w:szCs w:val="20"/>
        </w:rPr>
        <w:t xml:space="preserve">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sidR="006C41AA">
        <w:rPr>
          <w:rFonts w:eastAsia="Arial" w:cs="Arial"/>
          <w:b/>
          <w:color w:val="000000" w:themeColor="text1"/>
          <w:szCs w:val="20"/>
        </w:rPr>
        <w:t>Gornji Grad</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Default="006C41AA" w:rsidP="00231BFF">
      <w:pPr>
        <w:pStyle w:val="Odstavekseznama"/>
        <w:numPr>
          <w:ilvl w:val="0"/>
          <w:numId w:val="3"/>
        </w:numPr>
        <w:tabs>
          <w:tab w:val="left" w:pos="1134"/>
        </w:tabs>
        <w:jc w:val="both"/>
      </w:pPr>
      <w:r>
        <w:t>Bočna 71</w:t>
      </w:r>
      <w:r w:rsidR="00BA5964">
        <w:t>, O</w:t>
      </w:r>
      <w:r w:rsidR="00231BFF" w:rsidRPr="00100AF3">
        <w:t xml:space="preserve">bčina </w:t>
      </w:r>
      <w:r>
        <w:t>Gornji Grad</w:t>
      </w:r>
      <w:r w:rsidR="00231BFF" w:rsidRPr="00100AF3">
        <w:t xml:space="preserve">, št. stavbe: </w:t>
      </w:r>
      <w:r>
        <w:t>455</w:t>
      </w:r>
      <w:r w:rsidR="00231BFF" w:rsidRPr="00100AF3">
        <w:t xml:space="preserve">, </w:t>
      </w:r>
      <w:proofErr w:type="spellStart"/>
      <w:r w:rsidR="00231BFF" w:rsidRPr="00100AF3">
        <w:t>parc</w:t>
      </w:r>
      <w:proofErr w:type="spellEnd"/>
      <w:r w:rsidR="00231BFF" w:rsidRPr="00100AF3">
        <w:t xml:space="preserve">. št. </w:t>
      </w:r>
      <w:r w:rsidR="004D12F1">
        <w:t>*</w:t>
      </w:r>
      <w:r>
        <w:t>421 (del)</w:t>
      </w:r>
      <w:r w:rsidR="00231BFF" w:rsidRPr="00100AF3">
        <w:t>, k.</w:t>
      </w:r>
      <w:r w:rsidR="00231BFF">
        <w:t xml:space="preserve"> </w:t>
      </w:r>
      <w:r w:rsidR="00481427">
        <w:t xml:space="preserve">o. </w:t>
      </w:r>
      <w:r>
        <w:t>941</w:t>
      </w:r>
      <w:r w:rsidR="00231BFF">
        <w:t xml:space="preserve"> </w:t>
      </w:r>
      <w:r>
        <w:t>Bočna</w:t>
      </w:r>
      <w:r w:rsidR="00231BFF" w:rsidRPr="00100AF3">
        <w:t xml:space="preserve"> </w:t>
      </w:r>
      <w:r w:rsidR="00231BFF">
        <w:t>(</w:t>
      </w:r>
      <w:r w:rsidR="00231BFF" w:rsidRPr="00100AF3">
        <w:t>št. strokovnega mnenja SM-</w:t>
      </w:r>
      <w:r>
        <w:t>GRGBČN71S</w:t>
      </w:r>
      <w:r w:rsidR="004D12F1">
        <w:t>).</w:t>
      </w:r>
    </w:p>
    <w:p w:rsidR="00083826" w:rsidRPr="00B62554" w:rsidRDefault="00083826" w:rsidP="00B62554">
      <w:pPr>
        <w:pStyle w:val="Odstavekseznama"/>
        <w:tabs>
          <w:tab w:val="left" w:pos="1134"/>
        </w:tabs>
        <w:jc w:val="both"/>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EC4110" w:rsidRDefault="00EC4110"/>
    <w:p w:rsidR="00EC4110" w:rsidRDefault="00EC4110"/>
    <w:p w:rsidR="00EC4110" w:rsidRDefault="00EC4110">
      <w:pPr>
        <w:spacing w:after="160" w:line="259" w:lineRule="auto"/>
      </w:pPr>
      <w:r>
        <w:br w:type="page"/>
      </w:r>
    </w:p>
    <w:p w:rsidR="00EC4110" w:rsidRDefault="00231BFF" w:rsidP="00955AD9">
      <w:pPr>
        <w:ind w:left="-426"/>
        <w:rPr>
          <w:b/>
        </w:rPr>
      </w:pPr>
      <w:r>
        <w:rPr>
          <w:b/>
        </w:rPr>
        <w:lastRenderedPageBreak/>
        <w:t>Utemeljitev</w:t>
      </w:r>
      <w:r w:rsidR="00EC4110" w:rsidRPr="00EC4110">
        <w:rPr>
          <w:b/>
        </w:rPr>
        <w:t>:</w:t>
      </w:r>
    </w:p>
    <w:p w:rsidR="00911B6F" w:rsidRPr="00EC4110" w:rsidRDefault="00911B6F" w:rsidP="00955AD9">
      <w:pPr>
        <w:rPr>
          <w:b/>
        </w:rPr>
      </w:pPr>
    </w:p>
    <w:p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Pr="00D042DA" w:rsidRDefault="00231BFF" w:rsidP="00955AD9">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023BE5" w:rsidRDefault="00231BFF" w:rsidP="00023BE5">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rsidR="00023BE5" w:rsidRPr="00023BE5" w:rsidRDefault="00023BE5" w:rsidP="00023BE5">
      <w:pPr>
        <w:spacing w:after="120" w:line="276" w:lineRule="auto"/>
        <w:ind w:left="-426"/>
        <w:jc w:val="both"/>
        <w:rPr>
          <w:rFonts w:cs="Arial"/>
          <w:szCs w:val="20"/>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omenjena strokovna mnenja, ki </w:t>
      </w:r>
      <w:r>
        <w:rPr>
          <w:rFonts w:cs="Arial"/>
          <w:color w:val="000000"/>
          <w:szCs w:val="20"/>
          <w:lang w:eastAsia="sl-SI"/>
        </w:rPr>
        <w:t>jih je pripravila Državna tehnična pisarna. Strokovna mnenja so bila Svetu Vlade RS za obno</w:t>
      </w:r>
      <w:r w:rsidR="004D12F1">
        <w:rPr>
          <w:rFonts w:cs="Arial"/>
          <w:color w:val="000000"/>
          <w:szCs w:val="20"/>
          <w:lang w:eastAsia="sl-SI"/>
        </w:rPr>
        <w:t>vo poslana dne 13</w:t>
      </w:r>
      <w:r>
        <w:rPr>
          <w:rFonts w:cs="Arial"/>
          <w:color w:val="000000"/>
          <w:szCs w:val="20"/>
          <w:lang w:eastAsia="sl-SI"/>
        </w:rPr>
        <w:t xml:space="preserve">. </w:t>
      </w:r>
      <w:r w:rsidR="00BA5964">
        <w:rPr>
          <w:rFonts w:cs="Arial"/>
          <w:color w:val="000000"/>
          <w:szCs w:val="20"/>
          <w:lang w:eastAsia="sl-SI"/>
        </w:rPr>
        <w:t>maja</w:t>
      </w:r>
      <w:r>
        <w:rPr>
          <w:rFonts w:cs="Arial"/>
          <w:color w:val="000000"/>
          <w:szCs w:val="20"/>
          <w:lang w:eastAsia="sl-SI"/>
        </w:rPr>
        <w:t xml:space="preserve"> 2024. Vsa strokovna mnenja so bila s strani Sveta Vlade RS za obnovo</w:t>
      </w:r>
      <w:r>
        <w:rPr>
          <w:rFonts w:cs="Arial"/>
        </w:rPr>
        <w:t xml:space="preserve"> </w:t>
      </w:r>
      <w:r w:rsidRPr="009F4FBC">
        <w:rPr>
          <w:rFonts w:cs="Arial"/>
        </w:rPr>
        <w:t>potrjena</w:t>
      </w:r>
      <w:r w:rsidRPr="009F4FBC">
        <w:rPr>
          <w:rFonts w:cs="Arial"/>
          <w:color w:val="000000"/>
          <w:szCs w:val="20"/>
          <w:lang w:eastAsia="sl-SI"/>
        </w:rPr>
        <w:t xml:space="preserve"> </w:t>
      </w:r>
      <w:r w:rsidR="009F4FBC" w:rsidRPr="009F4FBC">
        <w:rPr>
          <w:rFonts w:cs="Arial"/>
          <w:color w:val="000000"/>
          <w:szCs w:val="20"/>
          <w:lang w:eastAsia="sl-SI"/>
        </w:rPr>
        <w:t>dne 28</w:t>
      </w:r>
      <w:r w:rsidRPr="009F4FBC">
        <w:rPr>
          <w:rFonts w:cs="Arial"/>
          <w:color w:val="000000"/>
          <w:szCs w:val="20"/>
          <w:lang w:eastAsia="sl-SI"/>
        </w:rPr>
        <w:t xml:space="preserve">. </w:t>
      </w:r>
      <w:r w:rsidR="009F4FBC" w:rsidRPr="009F4FBC">
        <w:rPr>
          <w:rFonts w:cs="Arial"/>
          <w:color w:val="000000"/>
          <w:szCs w:val="20"/>
          <w:lang w:eastAsia="sl-SI"/>
        </w:rPr>
        <w:t xml:space="preserve">maja </w:t>
      </w:r>
      <w:r w:rsidRPr="009F4FBC">
        <w:rPr>
          <w:rFonts w:cs="Arial"/>
          <w:color w:val="000000"/>
          <w:szCs w:val="20"/>
          <w:lang w:eastAsia="sl-SI"/>
        </w:rPr>
        <w:t>2024.</w:t>
      </w:r>
      <w:r>
        <w:rPr>
          <w:rFonts w:cs="Arial"/>
          <w:color w:val="000000"/>
          <w:szCs w:val="20"/>
          <w:lang w:eastAsia="sl-SI"/>
        </w:rPr>
        <w:t xml:space="preserve"> </w:t>
      </w:r>
    </w:p>
    <w:p w:rsidR="00231BFF" w:rsidRPr="00231BFF" w:rsidRDefault="00231BFF" w:rsidP="00BA5964">
      <w:pPr>
        <w:spacing w:after="120" w:line="276" w:lineRule="auto"/>
        <w:ind w:left="-426"/>
        <w:jc w:val="both"/>
        <w:rPr>
          <w:rFonts w:cs="Arial"/>
          <w:color w:val="000000"/>
          <w:szCs w:val="20"/>
          <w:lang w:eastAsia="sl-SI"/>
        </w:rPr>
      </w:pPr>
      <w:r>
        <w:rPr>
          <w:rFonts w:cs="Arial"/>
        </w:rPr>
        <w:t xml:space="preserve">Državna tehnična pisarna </w:t>
      </w:r>
      <w:r w:rsidRPr="00EA64DE">
        <w:rPr>
          <w:rFonts w:cs="Arial"/>
        </w:rPr>
        <w:t xml:space="preserve">je </w:t>
      </w:r>
      <w:r>
        <w:rPr>
          <w:rFonts w:cs="Arial"/>
        </w:rPr>
        <w:t xml:space="preserve">v </w:t>
      </w:r>
      <w:r w:rsidRPr="00EA64DE">
        <w:rPr>
          <w:rFonts w:cs="Arial"/>
        </w:rPr>
        <w:t>sklad</w:t>
      </w:r>
      <w:r>
        <w:rPr>
          <w:rFonts w:cs="Arial"/>
        </w:rPr>
        <w:t>u</w:t>
      </w:r>
      <w:r w:rsidRPr="00EA64DE">
        <w:rPr>
          <w:rFonts w:cs="Arial"/>
        </w:rPr>
        <w:t xml:space="preserve"> s 151.b členom ZIUOPZP podala strokovno mnenje za spodaj navedene objekte, za katere strokovno ocenjuje,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B207BA" w:rsidRDefault="006C41AA" w:rsidP="00B207BA">
      <w:pPr>
        <w:pStyle w:val="Odstavekseznama"/>
        <w:numPr>
          <w:ilvl w:val="0"/>
          <w:numId w:val="3"/>
        </w:numPr>
        <w:tabs>
          <w:tab w:val="left" w:pos="1134"/>
        </w:tabs>
        <w:jc w:val="both"/>
      </w:pPr>
      <w:r>
        <w:t>Bočna 71, O</w:t>
      </w:r>
      <w:r w:rsidRPr="00100AF3">
        <w:t xml:space="preserve">bčina </w:t>
      </w:r>
      <w:r>
        <w:t>Gornji Grad</w:t>
      </w:r>
      <w:r w:rsidRPr="00100AF3">
        <w:t xml:space="preserve">, št. stavbe: </w:t>
      </w:r>
      <w:r>
        <w:t>455</w:t>
      </w:r>
      <w:r w:rsidRPr="00100AF3">
        <w:t xml:space="preserve">, </w:t>
      </w:r>
      <w:proofErr w:type="spellStart"/>
      <w:r w:rsidRPr="00100AF3">
        <w:t>parc</w:t>
      </w:r>
      <w:proofErr w:type="spellEnd"/>
      <w:r w:rsidRPr="00100AF3">
        <w:t xml:space="preserve">. št. </w:t>
      </w:r>
      <w:r>
        <w:t>*421 (del)</w:t>
      </w:r>
      <w:r w:rsidRPr="00100AF3">
        <w:t>, k.</w:t>
      </w:r>
      <w:r>
        <w:t xml:space="preserve"> o. 941 Bočna</w:t>
      </w:r>
      <w:r w:rsidRPr="00100AF3">
        <w:t xml:space="preserve"> </w:t>
      </w:r>
      <w:r>
        <w:t>(</w:t>
      </w:r>
      <w:r w:rsidRPr="00100AF3">
        <w:t>št. strokovnega mnenja SM-</w:t>
      </w:r>
      <w:r>
        <w:t>GRGBČN71S).</w:t>
      </w:r>
    </w:p>
    <w:p w:rsidR="00B207BA" w:rsidRDefault="00B207BA" w:rsidP="00B207BA">
      <w:pPr>
        <w:pStyle w:val="Odstavekseznama"/>
        <w:tabs>
          <w:tab w:val="left" w:pos="1134"/>
        </w:tabs>
        <w:jc w:val="both"/>
      </w:pPr>
    </w:p>
    <w:p w:rsidR="00A6711A" w:rsidRPr="00CE448F" w:rsidRDefault="00B207BA" w:rsidP="00B207BA">
      <w:pPr>
        <w:tabs>
          <w:tab w:val="left" w:pos="1134"/>
        </w:tabs>
        <w:ind w:left="-426"/>
        <w:jc w:val="both"/>
        <w:rPr>
          <w:szCs w:val="20"/>
        </w:rPr>
      </w:pPr>
      <w:r>
        <w:rPr>
          <w:rFonts w:cs="Arial"/>
          <w:color w:val="000000"/>
          <w:szCs w:val="20"/>
          <w:shd w:val="clear" w:color="auto" w:fill="FFFFFF"/>
        </w:rPr>
        <w:t>Obra</w:t>
      </w:r>
      <w:r w:rsidRPr="00B207BA">
        <w:rPr>
          <w:rFonts w:cs="Arial"/>
          <w:color w:val="000000"/>
          <w:szCs w:val="20"/>
          <w:shd w:val="clear" w:color="auto" w:fill="FFFFFF"/>
        </w:rPr>
        <w:t>vnavani</w:t>
      </w:r>
      <w:r w:rsidR="00CB7110" w:rsidRPr="00B207BA">
        <w:rPr>
          <w:rFonts w:cs="Arial"/>
          <w:color w:val="000000"/>
          <w:szCs w:val="20"/>
          <w:shd w:val="clear" w:color="auto" w:fill="FFFFFF"/>
        </w:rPr>
        <w:t xml:space="preserve"> objekt na naslovu </w:t>
      </w:r>
      <w:r w:rsidR="00A6711A" w:rsidRPr="00B207BA">
        <w:rPr>
          <w:b/>
          <w:szCs w:val="20"/>
        </w:rPr>
        <w:t>Bočna 71</w:t>
      </w:r>
      <w:r w:rsidR="000657F1" w:rsidRPr="00B207BA">
        <w:rPr>
          <w:szCs w:val="20"/>
        </w:rPr>
        <w:t xml:space="preserve"> </w:t>
      </w:r>
      <w:r w:rsidRPr="00B207BA">
        <w:rPr>
          <w:sz w:val="21"/>
          <w:szCs w:val="21"/>
        </w:rPr>
        <w:t xml:space="preserve">se nahaja na desnem bregu Drete, ob lokalni cesti, ki povezuje naselji Otok in Bočna. </w:t>
      </w:r>
      <w:r>
        <w:rPr>
          <w:szCs w:val="20"/>
        </w:rPr>
        <w:t xml:space="preserve">Okolica objekta in kletni prostori so bili ob nastopu poplav 4.8.2023 v celoti poplavljeni, do zalitja pritličja je manjkalo približno 20cm. Evakuacija iz objekta ni bila mogoča. Objekt ima tudi velike težave s podtalnico. Na podlagi strokovnih izhodišč Direkcije Republike Slovenije za vode (št. 45500-25/2022-191 z dne 25. 4. 2024) bi objektu lahko z lokalnimi ukrepi (ponižanje lokalne ceste na daljšem odseku) in načrtovanimi celovitimi ukrepi na porečju Drete, zmanjšali poplavno ogroženost na 100 letni pojav, vendar bi še vedno ostal v sredini močnega poplavnega toka reke </w:t>
      </w:r>
      <w:proofErr w:type="spellStart"/>
      <w:r>
        <w:rPr>
          <w:szCs w:val="20"/>
        </w:rPr>
        <w:t>Drete.Na</w:t>
      </w:r>
      <w:proofErr w:type="spellEnd"/>
      <w:r>
        <w:rPr>
          <w:szCs w:val="20"/>
        </w:rPr>
        <w:t xml:space="preserve"> podlagi strokovnih izhodišč izhaja ugotovitev, da obnova na način, da bi bila objektu </w:t>
      </w:r>
      <w:bookmarkStart w:id="0" w:name="_GoBack"/>
      <w:bookmarkEnd w:id="0"/>
      <w:r w:rsidRPr="009F4FBC">
        <w:rPr>
          <w:szCs w:val="20"/>
        </w:rPr>
        <w:t xml:space="preserve">zagotovljena zaščita na 100-letni pojav ob upoštevanju primerne varnostne višine ter ob sočasni zagotovitvi odpornosti na podnebne spremembe, ni mogoča. </w:t>
      </w:r>
      <w:r w:rsidR="00A6711A" w:rsidRPr="009F4FBC">
        <w:rPr>
          <w:rFonts w:cs="Arial"/>
        </w:rPr>
        <w:t>Za navedeni objekt obstaja</w:t>
      </w:r>
      <w:r w:rsidR="00A6711A" w:rsidRPr="009F4FBC">
        <w:rPr>
          <w:rFonts w:cs="Arial"/>
          <w:color w:val="000000"/>
          <w:shd w:val="clear" w:color="auto" w:fill="FFFFFF"/>
        </w:rPr>
        <w:t xml:space="preserve"> visoka ogroženosti zaradi poplavne nevarnosti in s tem povezano visoko nevarnosti porušitve ali znatnega poškodovanja objekta, s čimer bi lahko nastale škodljive posledice za življenje in zdravje ljudi.</w:t>
      </w:r>
      <w:r w:rsidR="00A6711A" w:rsidRPr="009F4FBC">
        <w:rPr>
          <w:rFonts w:cs="Arial"/>
        </w:rPr>
        <w:t xml:space="preserve"> Objekt se nahajajo na območju preostale poplavne nevarnosti, kjer ni mogoča izvedba protipoplavne zaščite. Ugotovitev in utemeljitev, na katerem so se izkazali razlogi za nujno odstranitev objektov na podlagi visoke poplavne</w:t>
      </w:r>
      <w:r w:rsidR="00A6711A" w:rsidRPr="00733527">
        <w:rPr>
          <w:rFonts w:cs="Arial"/>
        </w:rPr>
        <w:t xml:space="preserve"> ali plazovite nevarnosti in s tem ogroženost življenja ali zdravja ljudi temelji na </w:t>
      </w:r>
      <w:r w:rsidR="00A6711A">
        <w:rPr>
          <w:rFonts w:cs="Arial"/>
        </w:rPr>
        <w:t>strokovnem mnenju</w:t>
      </w:r>
      <w:r w:rsidR="00A6711A" w:rsidRPr="00733527">
        <w:rPr>
          <w:rFonts w:cs="Arial"/>
        </w:rPr>
        <w:t xml:space="preserve"> </w:t>
      </w:r>
      <w:r w:rsidRPr="00100AF3">
        <w:t>SM-</w:t>
      </w:r>
      <w:r>
        <w:t>GRGBČN71S</w:t>
      </w:r>
      <w:r>
        <w:rPr>
          <w:rFonts w:cs="Arial"/>
        </w:rPr>
        <w:t xml:space="preserve"> z dne 10</w:t>
      </w:r>
      <w:r w:rsidR="00A6711A" w:rsidRPr="00733527">
        <w:rPr>
          <w:rFonts w:cs="Arial"/>
        </w:rPr>
        <w:t xml:space="preserve">. 5. 2024. </w:t>
      </w:r>
      <w:r w:rsidR="00A6711A" w:rsidRPr="00733527">
        <w:rPr>
          <w:rFonts w:cs="Arial"/>
          <w:color w:val="000000"/>
          <w:shd w:val="clear" w:color="auto" w:fill="FFFFFF"/>
        </w:rPr>
        <w:t>Glede na navedeno je odstranitev v javno korist.</w:t>
      </w:r>
    </w:p>
    <w:p w:rsidR="002D356E" w:rsidRDefault="002D356E" w:rsidP="002D356E">
      <w:pPr>
        <w:pStyle w:val="Odstavekseznama"/>
        <w:tabs>
          <w:tab w:val="left" w:pos="1134"/>
        </w:tabs>
        <w:spacing w:after="120" w:line="276" w:lineRule="auto"/>
        <w:ind w:left="-360"/>
        <w:jc w:val="both"/>
        <w:rPr>
          <w:rFonts w:cs="Arial"/>
          <w:color w:val="000000"/>
        </w:rPr>
      </w:pPr>
    </w:p>
    <w:p w:rsidR="002D356E" w:rsidRDefault="002D356E" w:rsidP="002D356E">
      <w:pPr>
        <w:pStyle w:val="Odstavekseznama"/>
        <w:tabs>
          <w:tab w:val="left" w:pos="1134"/>
        </w:tabs>
        <w:spacing w:after="120" w:line="276" w:lineRule="auto"/>
        <w:ind w:left="-360"/>
        <w:jc w:val="both"/>
        <w:rPr>
          <w:rFonts w:cs="Arial"/>
          <w:color w:val="000000"/>
        </w:rPr>
      </w:pPr>
    </w:p>
    <w:p w:rsidR="00CB7110" w:rsidRPr="00CB7110" w:rsidRDefault="00CB7110" w:rsidP="00CB7110">
      <w:pPr>
        <w:pStyle w:val="Default"/>
        <w:jc w:val="both"/>
        <w:rPr>
          <w:sz w:val="22"/>
          <w:szCs w:val="22"/>
        </w:rPr>
      </w:pPr>
    </w:p>
    <w:p w:rsidR="002F2849" w:rsidRPr="00305C66" w:rsidRDefault="002F2849" w:rsidP="00B8274C">
      <w:pPr>
        <w:spacing w:after="120" w:line="276" w:lineRule="auto"/>
        <w:jc w:val="both"/>
        <w:rPr>
          <w:rFonts w:cs="Arial"/>
          <w:color w:val="000000"/>
          <w:szCs w:val="20"/>
          <w:lang w:eastAsia="sl-SI"/>
        </w:rPr>
      </w:pPr>
    </w:p>
    <w:sectPr w:rsidR="002F2849" w:rsidRPr="00305C66" w:rsidSect="00955A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9F4FBC">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9F4FBC"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9F4FBC"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23BE5"/>
    <w:rsid w:val="00032F4E"/>
    <w:rsid w:val="000657F1"/>
    <w:rsid w:val="00067BF9"/>
    <w:rsid w:val="000830B2"/>
    <w:rsid w:val="00083826"/>
    <w:rsid w:val="000F12B0"/>
    <w:rsid w:val="0017467A"/>
    <w:rsid w:val="001A1019"/>
    <w:rsid w:val="001F545E"/>
    <w:rsid w:val="00206FDA"/>
    <w:rsid w:val="0021301A"/>
    <w:rsid w:val="00230A47"/>
    <w:rsid w:val="00231BFF"/>
    <w:rsid w:val="00297CE5"/>
    <w:rsid w:val="002B2739"/>
    <w:rsid w:val="002D356E"/>
    <w:rsid w:val="002F2849"/>
    <w:rsid w:val="00304080"/>
    <w:rsid w:val="00305C66"/>
    <w:rsid w:val="003F67EC"/>
    <w:rsid w:val="00481427"/>
    <w:rsid w:val="004D12F1"/>
    <w:rsid w:val="00500361"/>
    <w:rsid w:val="00504229"/>
    <w:rsid w:val="00575416"/>
    <w:rsid w:val="00657034"/>
    <w:rsid w:val="00691B9E"/>
    <w:rsid w:val="006C41AA"/>
    <w:rsid w:val="00733527"/>
    <w:rsid w:val="007B123B"/>
    <w:rsid w:val="0080466F"/>
    <w:rsid w:val="00874005"/>
    <w:rsid w:val="008D07CE"/>
    <w:rsid w:val="00911B6F"/>
    <w:rsid w:val="00955A44"/>
    <w:rsid w:val="00955AD9"/>
    <w:rsid w:val="009F4FBC"/>
    <w:rsid w:val="00A2248C"/>
    <w:rsid w:val="00A6711A"/>
    <w:rsid w:val="00A7502C"/>
    <w:rsid w:val="00A81274"/>
    <w:rsid w:val="00AA409D"/>
    <w:rsid w:val="00AD1A8C"/>
    <w:rsid w:val="00AE3163"/>
    <w:rsid w:val="00B207BA"/>
    <w:rsid w:val="00B62554"/>
    <w:rsid w:val="00B72A87"/>
    <w:rsid w:val="00B8274C"/>
    <w:rsid w:val="00BA5964"/>
    <w:rsid w:val="00BE01FA"/>
    <w:rsid w:val="00CB7110"/>
    <w:rsid w:val="00CB77D6"/>
    <w:rsid w:val="00CE448F"/>
    <w:rsid w:val="00DA5F33"/>
    <w:rsid w:val="00DA764C"/>
    <w:rsid w:val="00E216C4"/>
    <w:rsid w:val="00E751F4"/>
    <w:rsid w:val="00EA2D6C"/>
    <w:rsid w:val="00EC4110"/>
    <w:rsid w:val="00EF012F"/>
    <w:rsid w:val="00F07EF3"/>
    <w:rsid w:val="00F210E8"/>
    <w:rsid w:val="00F7365A"/>
    <w:rsid w:val="00F801FC"/>
    <w:rsid w:val="00F9792A"/>
    <w:rsid w:val="00FC2731"/>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7B5F0-EE94-4D0A-A7D5-A94FC890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690</Words>
  <Characters>3934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49</cp:revision>
  <dcterms:created xsi:type="dcterms:W3CDTF">2024-03-05T12:13:00Z</dcterms:created>
  <dcterms:modified xsi:type="dcterms:W3CDTF">2024-05-28T11:22:00Z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