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33" w:rsidRDefault="00DA5F33" w:rsidP="00BE01FA">
      <w:pPr>
        <w:tabs>
          <w:tab w:val="left" w:pos="1134"/>
        </w:tabs>
        <w:autoSpaceDE w:val="0"/>
        <w:autoSpaceDN w:val="0"/>
        <w:adjustRightInd w:val="0"/>
        <w:spacing w:line="240" w:lineRule="auto"/>
        <w:ind w:left="-23"/>
        <w:rPr>
          <w:rFonts w:cs="Arial"/>
          <w:color w:val="000000" w:themeColor="text1"/>
        </w:rPr>
      </w:pPr>
    </w:p>
    <w:p w:rsidR="00BE01FA" w:rsidRPr="00EC4110" w:rsidRDefault="00BE01FA" w:rsidP="00BE01FA">
      <w:pPr>
        <w:tabs>
          <w:tab w:val="left" w:pos="1134"/>
        </w:tabs>
        <w:autoSpaceDE w:val="0"/>
        <w:autoSpaceDN w:val="0"/>
        <w:adjustRightInd w:val="0"/>
        <w:spacing w:line="240" w:lineRule="auto"/>
        <w:ind w:left="-23"/>
        <w:rPr>
          <w:rFonts w:cs="Arial"/>
          <w:color w:val="000000"/>
          <w:highlight w:val="yellow"/>
        </w:rPr>
      </w:pPr>
      <w:r w:rsidRPr="00EC4110">
        <w:rPr>
          <w:rFonts w:cs="Arial"/>
          <w:color w:val="000000" w:themeColor="text1"/>
          <w:highlight w:val="yellow"/>
        </w:rPr>
        <w:t xml:space="preserve">Številka: </w:t>
      </w:r>
    </w:p>
    <w:p w:rsidR="00BE01FA" w:rsidRPr="00FE1A1D" w:rsidRDefault="00BE01FA" w:rsidP="00BE01FA">
      <w:pPr>
        <w:tabs>
          <w:tab w:val="left" w:pos="1134"/>
        </w:tabs>
        <w:autoSpaceDE w:val="0"/>
        <w:autoSpaceDN w:val="0"/>
        <w:adjustRightInd w:val="0"/>
        <w:spacing w:line="240" w:lineRule="auto"/>
        <w:ind w:left="-23"/>
        <w:rPr>
          <w:rFonts w:cs="Arial"/>
          <w:color w:val="000000"/>
        </w:rPr>
      </w:pPr>
      <w:r w:rsidRPr="00EC4110">
        <w:rPr>
          <w:rFonts w:cs="Arial"/>
          <w:color w:val="000000" w:themeColor="text1"/>
          <w:highlight w:val="yellow"/>
        </w:rPr>
        <w:t>Datum: dd.mm.2024</w:t>
      </w:r>
      <w:r>
        <w:tab/>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p>
    <w:p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rsidR="00231BFF" w:rsidRPr="001B3F3F" w:rsidRDefault="00231BFF" w:rsidP="00231BFF">
      <w:pPr>
        <w:tabs>
          <w:tab w:val="left" w:pos="1134"/>
        </w:tabs>
        <w:spacing w:line="240" w:lineRule="auto"/>
        <w:ind w:left="-23"/>
        <w:jc w:val="center"/>
        <w:rPr>
          <w:rFonts w:eastAsia="Arial" w:cs="Arial"/>
          <w:b/>
          <w:color w:val="000000" w:themeColor="text1"/>
          <w:szCs w:val="20"/>
        </w:rPr>
      </w:pPr>
      <w:r w:rsidRPr="001B3F3F">
        <w:rPr>
          <w:rFonts w:eastAsia="Arial" w:cs="Arial"/>
          <w:b/>
          <w:color w:val="000000" w:themeColor="text1"/>
          <w:szCs w:val="20"/>
        </w:rPr>
        <w:t xml:space="preserve">o določitvi objektov, katerih odstranitev je nujno potrebna in v javno korist, na območju </w:t>
      </w:r>
      <w:r w:rsidR="00083826">
        <w:rPr>
          <w:rFonts w:eastAsia="Arial" w:cs="Arial"/>
          <w:b/>
          <w:color w:val="000000" w:themeColor="text1"/>
          <w:szCs w:val="20"/>
        </w:rPr>
        <w:t>O</w:t>
      </w:r>
      <w:r w:rsidR="00481427">
        <w:rPr>
          <w:rFonts w:eastAsia="Arial" w:cs="Arial"/>
          <w:b/>
          <w:color w:val="000000" w:themeColor="text1"/>
          <w:szCs w:val="20"/>
        </w:rPr>
        <w:t xml:space="preserve">bčine </w:t>
      </w:r>
      <w:r w:rsidR="00083826">
        <w:rPr>
          <w:rFonts w:eastAsia="Arial" w:cs="Arial"/>
          <w:b/>
          <w:color w:val="000000" w:themeColor="text1"/>
          <w:szCs w:val="20"/>
        </w:rPr>
        <w:t>Šoštanj</w:t>
      </w:r>
    </w:p>
    <w:p w:rsidR="00BE01FA" w:rsidRDefault="00BE01FA" w:rsidP="00BE01FA">
      <w:pPr>
        <w:tabs>
          <w:tab w:val="left" w:pos="1134"/>
        </w:tabs>
        <w:spacing w:line="240" w:lineRule="auto"/>
        <w:ind w:left="-23"/>
        <w:jc w:val="center"/>
        <w:rPr>
          <w:rFonts w:eastAsia="Arial" w:cs="Arial"/>
          <w:b/>
          <w:color w:val="000000" w:themeColor="text1"/>
        </w:rPr>
      </w:pPr>
    </w:p>
    <w:p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rsidR="00BE01FA" w:rsidRDefault="00BE01FA" w:rsidP="00BE01FA">
      <w:pPr>
        <w:tabs>
          <w:tab w:val="left" w:pos="1134"/>
        </w:tabs>
        <w:spacing w:line="240" w:lineRule="auto"/>
        <w:ind w:left="-23"/>
        <w:jc w:val="center"/>
        <w:rPr>
          <w:rFonts w:eastAsia="Arial" w:cs="Arial"/>
          <w:b/>
          <w:color w:val="000000" w:themeColor="text1"/>
        </w:rPr>
      </w:pPr>
    </w:p>
    <w:p w:rsidR="00231BFF" w:rsidRPr="00EA64DE" w:rsidRDefault="00231BFF" w:rsidP="00231BFF">
      <w:pPr>
        <w:tabs>
          <w:tab w:val="left" w:pos="1134"/>
        </w:tabs>
        <w:spacing w:line="240" w:lineRule="auto"/>
        <w:ind w:left="-23"/>
        <w:jc w:val="both"/>
        <w:rPr>
          <w:rFonts w:cs="Arial"/>
          <w:color w:val="000000" w:themeColor="text1"/>
        </w:rPr>
      </w:pPr>
      <w:r w:rsidRPr="00EA64DE">
        <w:rPr>
          <w:rFonts w:cs="Arial"/>
          <w:color w:val="000000" w:themeColor="text1"/>
        </w:rPr>
        <w:t>Zaradi zavarovanja življenja in zdravja ljudi je nujno potrebna in v javno korist odstranitev naslednjih objektov:</w:t>
      </w:r>
    </w:p>
    <w:p w:rsidR="00FD0CA9" w:rsidRDefault="00FD0CA9" w:rsidP="0017467A">
      <w:pPr>
        <w:tabs>
          <w:tab w:val="left" w:pos="1134"/>
        </w:tabs>
        <w:spacing w:line="240" w:lineRule="auto"/>
        <w:ind w:left="-23"/>
        <w:rPr>
          <w:rFonts w:cs="Arial"/>
          <w:color w:val="000000" w:themeColor="text1"/>
        </w:rPr>
      </w:pPr>
    </w:p>
    <w:p w:rsidR="00231BFF" w:rsidRDefault="00083826" w:rsidP="00231BFF">
      <w:pPr>
        <w:pStyle w:val="Odstavekseznama"/>
        <w:numPr>
          <w:ilvl w:val="0"/>
          <w:numId w:val="3"/>
        </w:numPr>
        <w:tabs>
          <w:tab w:val="left" w:pos="1134"/>
        </w:tabs>
        <w:jc w:val="both"/>
      </w:pPr>
      <w:r>
        <w:t>Florjan 1</w:t>
      </w:r>
      <w:r w:rsidR="00231BFF" w:rsidRPr="00100AF3">
        <w:t xml:space="preserve">, občina </w:t>
      </w:r>
      <w:r>
        <w:t>Šoštanj</w:t>
      </w:r>
      <w:r w:rsidR="00231BFF" w:rsidRPr="00100AF3">
        <w:t xml:space="preserve">, št. stavbe: </w:t>
      </w:r>
      <w:r>
        <w:t>175</w:t>
      </w:r>
      <w:r w:rsidR="00231BFF" w:rsidRPr="00100AF3">
        <w:t xml:space="preserve">, </w:t>
      </w:r>
      <w:proofErr w:type="spellStart"/>
      <w:r w:rsidR="00231BFF" w:rsidRPr="00100AF3">
        <w:t>parc</w:t>
      </w:r>
      <w:proofErr w:type="spellEnd"/>
      <w:r w:rsidR="00231BFF" w:rsidRPr="00100AF3">
        <w:t xml:space="preserve">. št. </w:t>
      </w:r>
      <w:r>
        <w:t>593</w:t>
      </w:r>
      <w:r w:rsidR="00231BFF" w:rsidRPr="00100AF3">
        <w:t>, k.</w:t>
      </w:r>
      <w:r w:rsidR="00231BFF">
        <w:t xml:space="preserve"> </w:t>
      </w:r>
      <w:r w:rsidR="00481427">
        <w:t xml:space="preserve">o. </w:t>
      </w:r>
      <w:r>
        <w:t>959</w:t>
      </w:r>
      <w:r w:rsidR="00231BFF">
        <w:t xml:space="preserve"> </w:t>
      </w:r>
      <w:r>
        <w:t>Šoštanj</w:t>
      </w:r>
      <w:r w:rsidR="00231BFF" w:rsidRPr="00100AF3">
        <w:t xml:space="preserve"> </w:t>
      </w:r>
      <w:r w:rsidR="00231BFF">
        <w:t>(</w:t>
      </w:r>
      <w:r w:rsidR="00231BFF" w:rsidRPr="00100AF3">
        <w:t>št. strokovnega mnenja SM-</w:t>
      </w:r>
      <w:r>
        <w:t>ŠOŠFLR1S);</w:t>
      </w:r>
    </w:p>
    <w:p w:rsidR="00083826" w:rsidRPr="00100AF3" w:rsidRDefault="00083826" w:rsidP="00083826">
      <w:pPr>
        <w:pStyle w:val="Odstavekseznama"/>
        <w:numPr>
          <w:ilvl w:val="0"/>
          <w:numId w:val="3"/>
        </w:numPr>
        <w:tabs>
          <w:tab w:val="left" w:pos="1134"/>
        </w:tabs>
        <w:jc w:val="both"/>
      </w:pPr>
      <w:proofErr w:type="spellStart"/>
      <w:r>
        <w:t>Metleče</w:t>
      </w:r>
      <w:proofErr w:type="spellEnd"/>
      <w:r>
        <w:t xml:space="preserve"> 13</w:t>
      </w:r>
      <w:r w:rsidRPr="00100AF3">
        <w:t xml:space="preserve">, občina </w:t>
      </w:r>
      <w:r>
        <w:t>Šoštanj</w:t>
      </w:r>
      <w:r w:rsidRPr="00100AF3">
        <w:t xml:space="preserve">, št. stavbe: </w:t>
      </w:r>
      <w:r>
        <w:t>1142</w:t>
      </w:r>
      <w:r w:rsidRPr="00100AF3">
        <w:t xml:space="preserve">, </w:t>
      </w:r>
      <w:proofErr w:type="spellStart"/>
      <w:r w:rsidRPr="00100AF3">
        <w:t>parc</w:t>
      </w:r>
      <w:proofErr w:type="spellEnd"/>
      <w:r w:rsidRPr="00100AF3">
        <w:t xml:space="preserve">. št. </w:t>
      </w:r>
      <w:r>
        <w:t>472 (del)</w:t>
      </w:r>
      <w:r w:rsidRPr="00100AF3">
        <w:t>, k.</w:t>
      </w:r>
      <w:r>
        <w:t xml:space="preserve"> o. 959 Šoštanj</w:t>
      </w:r>
      <w:r w:rsidRPr="00100AF3">
        <w:t xml:space="preserve"> </w:t>
      </w:r>
      <w:r>
        <w:t>(</w:t>
      </w:r>
      <w:r w:rsidRPr="00100AF3">
        <w:t>št. strokovnega mnenja SM-</w:t>
      </w:r>
      <w:r>
        <w:t>ŠOŠ</w:t>
      </w:r>
      <w:r>
        <w:t>MTL131S</w:t>
      </w:r>
      <w:r>
        <w:t>);</w:t>
      </w:r>
    </w:p>
    <w:p w:rsidR="00083826" w:rsidRPr="00100AF3" w:rsidRDefault="00083826" w:rsidP="00083826">
      <w:pPr>
        <w:pStyle w:val="Odstavekseznama"/>
        <w:numPr>
          <w:ilvl w:val="0"/>
          <w:numId w:val="3"/>
        </w:numPr>
        <w:tabs>
          <w:tab w:val="left" w:pos="1134"/>
        </w:tabs>
        <w:jc w:val="both"/>
      </w:pPr>
      <w:r>
        <w:t>Skorno pri Šoštanju 20</w:t>
      </w:r>
      <w:r w:rsidRPr="00100AF3">
        <w:t xml:space="preserve">, občina </w:t>
      </w:r>
      <w:r>
        <w:t>Šoštanj</w:t>
      </w:r>
      <w:r w:rsidRPr="00100AF3">
        <w:t xml:space="preserve">, št. stavbe: </w:t>
      </w:r>
      <w:r>
        <w:t>289</w:t>
      </w:r>
      <w:r w:rsidRPr="00100AF3">
        <w:t xml:space="preserve">, </w:t>
      </w:r>
      <w:proofErr w:type="spellStart"/>
      <w:r w:rsidRPr="00100AF3">
        <w:t>parc</w:t>
      </w:r>
      <w:proofErr w:type="spellEnd"/>
      <w:r w:rsidRPr="00100AF3">
        <w:t xml:space="preserve">. št. </w:t>
      </w:r>
      <w:r>
        <w:t>215/4 in 215/2 (dek)</w:t>
      </w:r>
      <w:r w:rsidRPr="00100AF3">
        <w:t>, k.</w:t>
      </w:r>
      <w:r>
        <w:t xml:space="preserve"> o. </w:t>
      </w:r>
      <w:r>
        <w:t>961</w:t>
      </w:r>
      <w:r>
        <w:t xml:space="preserve"> </w:t>
      </w:r>
      <w:r>
        <w:t xml:space="preserve">Skorno pri </w:t>
      </w:r>
      <w:r>
        <w:t>Šoštanj</w:t>
      </w:r>
      <w:r>
        <w:t>u</w:t>
      </w:r>
      <w:r w:rsidRPr="00100AF3">
        <w:t xml:space="preserve"> </w:t>
      </w:r>
      <w:r>
        <w:t>(</w:t>
      </w:r>
      <w:r w:rsidRPr="00100AF3">
        <w:t>št. strokovnega mnenja SM-</w:t>
      </w:r>
      <w:r>
        <w:t>ŠOŠSPŠ20S).</w:t>
      </w:r>
    </w:p>
    <w:p w:rsidR="00083826" w:rsidRDefault="00083826" w:rsidP="0017467A">
      <w:pPr>
        <w:tabs>
          <w:tab w:val="left" w:pos="1134"/>
        </w:tabs>
        <w:spacing w:line="240" w:lineRule="auto"/>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rsidR="00BE01FA" w:rsidRDefault="00BE01FA" w:rsidP="00BE01FA">
      <w:pPr>
        <w:tabs>
          <w:tab w:val="left" w:pos="1134"/>
        </w:tabs>
        <w:spacing w:line="240" w:lineRule="auto"/>
        <w:ind w:left="-23"/>
        <w:jc w:val="center"/>
        <w:rPr>
          <w:rFonts w:cs="Arial"/>
          <w:b/>
          <w:color w:val="000000" w:themeColor="text1"/>
        </w:rPr>
      </w:pPr>
    </w:p>
    <w:p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roofErr w:type="spellStart"/>
      <w:proofErr w:type="gramStart"/>
      <w:r w:rsidRPr="009C0677">
        <w:rPr>
          <w:rFonts w:ascii="Arial" w:hAnsi="Arial" w:cs="Arial"/>
          <w:color w:val="000000" w:themeColor="text1"/>
          <w:sz w:val="20"/>
          <w:lang w:val="en-US" w:eastAsia="en-US"/>
        </w:rPr>
        <w:t>Št</w:t>
      </w:r>
      <w:proofErr w:type="spellEnd"/>
      <w:r w:rsidRPr="009C0677">
        <w:rPr>
          <w:rFonts w:ascii="Arial" w:hAnsi="Arial" w:cs="Arial"/>
          <w:color w:val="000000" w:themeColor="text1"/>
          <w:sz w:val="20"/>
          <w:lang w:val="en-US" w:eastAsia="en-US"/>
        </w:rPr>
        <w:t>. …</w:t>
      </w:r>
      <w:proofErr w:type="gramEnd"/>
    </w:p>
    <w:p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 xml:space="preserve">Ljubljana, </w:t>
      </w:r>
      <w:proofErr w:type="spellStart"/>
      <w:r w:rsidRPr="009C0677">
        <w:rPr>
          <w:rFonts w:ascii="Arial" w:hAnsi="Arial" w:cs="Arial"/>
          <w:color w:val="000000" w:themeColor="text1"/>
          <w:sz w:val="20"/>
          <w:lang w:val="en-US" w:eastAsia="en-US"/>
        </w:rPr>
        <w:t>dne</w:t>
      </w:r>
      <w:proofErr w:type="spellEnd"/>
      <w:r w:rsidRPr="009C0677">
        <w:rPr>
          <w:rFonts w:ascii="Arial" w:hAnsi="Arial" w:cs="Arial"/>
          <w:color w:val="000000" w:themeColor="text1"/>
          <w:sz w:val="20"/>
          <w:lang w:val="en-US" w:eastAsia="en-US"/>
        </w:rPr>
        <w:t xml:space="preserve"> …</w:t>
      </w:r>
    </w:p>
    <w:p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Vlada</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Republike</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Slovenije</w:t>
      </w:r>
      <w:proofErr w:type="spellEnd"/>
      <w:r w:rsidRPr="009C0677">
        <w:rPr>
          <w:rFonts w:ascii="Arial" w:hAnsi="Arial" w:cs="Arial"/>
          <w:color w:val="000000" w:themeColor="text1"/>
          <w:sz w:val="20"/>
          <w:lang w:val="en-US" w:eastAsia="en-US"/>
        </w:rPr>
        <w:br/>
      </w:r>
      <w:proofErr w:type="gramStart"/>
      <w:r w:rsidR="00231BFF">
        <w:rPr>
          <w:rFonts w:ascii="Arial" w:hAnsi="Arial" w:cs="Arial"/>
          <w:color w:val="000000" w:themeColor="text1"/>
          <w:sz w:val="20"/>
          <w:lang w:val="en-US" w:eastAsia="en-US"/>
        </w:rPr>
        <w:t>dr</w:t>
      </w:r>
      <w:proofErr w:type="gramEnd"/>
      <w:r w:rsidR="00231BFF">
        <w:rPr>
          <w:rFonts w:ascii="Arial" w:hAnsi="Arial" w:cs="Arial"/>
          <w:color w:val="000000" w:themeColor="text1"/>
          <w:sz w:val="20"/>
          <w:lang w:val="en-US" w:eastAsia="en-US"/>
        </w:rPr>
        <w:t xml:space="preserve">. Robert </w:t>
      </w:r>
      <w:proofErr w:type="spellStart"/>
      <w:r w:rsidR="00231BFF">
        <w:rPr>
          <w:rFonts w:ascii="Arial" w:hAnsi="Arial" w:cs="Arial"/>
          <w:color w:val="000000" w:themeColor="text1"/>
          <w:sz w:val="20"/>
          <w:lang w:val="en-US" w:eastAsia="en-US"/>
        </w:rPr>
        <w:t>Golob</w:t>
      </w:r>
      <w:proofErr w:type="spellEnd"/>
      <w:r w:rsidRPr="009C0677">
        <w:rPr>
          <w:rFonts w:ascii="Arial" w:hAnsi="Arial" w:cs="Arial"/>
          <w:color w:val="000000" w:themeColor="text1"/>
          <w:sz w:val="20"/>
          <w:lang w:val="en-US" w:eastAsia="en-US"/>
        </w:rPr>
        <w:br/>
      </w:r>
      <w:proofErr w:type="spellStart"/>
      <w:r w:rsidRPr="009C0677">
        <w:rPr>
          <w:rFonts w:ascii="Arial" w:hAnsi="Arial" w:cs="Arial"/>
          <w:color w:val="000000" w:themeColor="text1"/>
          <w:sz w:val="20"/>
          <w:lang w:val="en-US" w:eastAsia="en-US"/>
        </w:rPr>
        <w:t>predsednik</w:t>
      </w:r>
      <w:proofErr w:type="spellEnd"/>
    </w:p>
    <w:p w:rsidR="00955A44" w:rsidRDefault="00955A44"/>
    <w:p w:rsidR="00EC4110" w:rsidRDefault="00EC4110"/>
    <w:p w:rsidR="00EC4110" w:rsidRDefault="00EC4110"/>
    <w:p w:rsidR="00EC4110" w:rsidRDefault="00EC4110">
      <w:pPr>
        <w:spacing w:after="160" w:line="259" w:lineRule="auto"/>
      </w:pPr>
      <w:r>
        <w:br w:type="page"/>
      </w:r>
    </w:p>
    <w:p w:rsidR="00EC4110" w:rsidRDefault="00231BFF" w:rsidP="00955AD9">
      <w:pPr>
        <w:ind w:left="-426"/>
        <w:rPr>
          <w:b/>
        </w:rPr>
      </w:pPr>
      <w:r>
        <w:rPr>
          <w:b/>
        </w:rPr>
        <w:lastRenderedPageBreak/>
        <w:t>Utemeljitev</w:t>
      </w:r>
      <w:r w:rsidR="00EC4110" w:rsidRPr="00EC4110">
        <w:rPr>
          <w:b/>
        </w:rPr>
        <w:t>:</w:t>
      </w:r>
    </w:p>
    <w:p w:rsidR="00911B6F" w:rsidRPr="00EC4110" w:rsidRDefault="00911B6F" w:rsidP="00955AD9">
      <w:pPr>
        <w:rPr>
          <w:b/>
        </w:rPr>
      </w:pPr>
    </w:p>
    <w:p w:rsidR="00231BFF" w:rsidRPr="0007346D" w:rsidRDefault="00231BFF" w:rsidP="00955AD9">
      <w:pPr>
        <w:spacing w:after="120" w:line="276" w:lineRule="auto"/>
        <w:ind w:left="-426"/>
        <w:jc w:val="both"/>
        <w:rPr>
          <w:rFonts w:cs="Arial"/>
          <w:szCs w:val="20"/>
        </w:rPr>
      </w:pPr>
      <w:r w:rsidRPr="0007346D">
        <w:rPr>
          <w:rFonts w:cs="Arial"/>
          <w:bCs/>
          <w:szCs w:val="20"/>
        </w:rPr>
        <w:t>Služba Vlade Republike Slovenije za obnovo po poplavah in plazovih (v nadaljevanj</w:t>
      </w:r>
      <w:r>
        <w:rPr>
          <w:rFonts w:cs="Arial"/>
          <w:bCs/>
          <w:szCs w:val="20"/>
        </w:rPr>
        <w:t>u:</w:t>
      </w:r>
      <w:r w:rsidRPr="0007346D">
        <w:rPr>
          <w:rFonts w:cs="Arial"/>
          <w:bCs/>
          <w:szCs w:val="20"/>
        </w:rPr>
        <w:t xml:space="preserve"> Služba) je v skladu s 151.c členom </w:t>
      </w:r>
      <w:r w:rsidRPr="0007346D">
        <w:rPr>
          <w:rFonts w:eastAsia="Calibri" w:cs="Arial"/>
          <w:bCs/>
          <w:szCs w:val="20"/>
        </w:rPr>
        <w:t xml:space="preserve">Zakona o interventnih ukrepih za odpravo posledic poplav in zemeljskih plazov iz avgusta 2023 (Uradni list RS, št. 95/23, 117/23 in </w:t>
      </w:r>
      <w:r w:rsidRPr="0007346D">
        <w:rPr>
          <w:rFonts w:cs="Arial"/>
        </w:rPr>
        <w:t>131/23 – ZORZFS</w:t>
      </w:r>
      <w:r w:rsidRPr="0007346D">
        <w:rPr>
          <w:rFonts w:eastAsia="Calibri" w:cs="Arial"/>
          <w:bCs/>
          <w:szCs w:val="20"/>
        </w:rPr>
        <w:t>; v nadaljevanju</w:t>
      </w:r>
      <w:r>
        <w:rPr>
          <w:rFonts w:eastAsia="Calibri" w:cs="Arial"/>
          <w:bCs/>
          <w:szCs w:val="20"/>
        </w:rPr>
        <w:t>:</w:t>
      </w:r>
      <w:r w:rsidRPr="0007346D">
        <w:rPr>
          <w:rFonts w:eastAsia="Calibri" w:cs="Arial"/>
          <w:bCs/>
          <w:szCs w:val="20"/>
        </w:rPr>
        <w:t xml:space="preserve"> ZIUOPZP) </w:t>
      </w:r>
      <w:r w:rsidRPr="0007346D">
        <w:rPr>
          <w:rFonts w:cs="Arial"/>
          <w:szCs w:val="20"/>
          <w:shd w:val="clear" w:color="auto" w:fill="FFFFFF"/>
        </w:rPr>
        <w:t>z javnim naznanilom na osrednjem spletnem mestu državne uprave in na krajevno običajen način razgrnila strokovna mnenja in osnutek sklepa Vlade Republike Slovenije</w:t>
      </w:r>
      <w:r w:rsidRPr="0007346D">
        <w:rPr>
          <w:rFonts w:cs="Arial"/>
          <w:szCs w:val="20"/>
        </w:rPr>
        <w:t xml:space="preserve">, ki se nanaša na objekte, opredeljene v 151.a členu </w:t>
      </w:r>
      <w:r w:rsidRPr="0007346D">
        <w:rPr>
          <w:rFonts w:eastAsia="Calibri" w:cs="Arial"/>
          <w:bCs/>
          <w:szCs w:val="20"/>
        </w:rPr>
        <w:t>ZIUOPZP</w:t>
      </w:r>
      <w:r w:rsidRPr="0007346D">
        <w:rPr>
          <w:rFonts w:cs="Arial"/>
          <w:szCs w:val="20"/>
        </w:rPr>
        <w:t xml:space="preserve">. Sklep je bil pripravljen na podlagi strokovnih mnenj, ki jih je pripravila na strokovnih podlagah strokovnjakov geološke in gradbene stroke Državna tehnična pisarna. </w:t>
      </w:r>
    </w:p>
    <w:p w:rsidR="00231BFF" w:rsidRPr="00D042DA" w:rsidRDefault="00231BFF" w:rsidP="00955AD9">
      <w:pPr>
        <w:spacing w:after="120" w:line="276" w:lineRule="auto"/>
        <w:ind w:left="-426"/>
        <w:jc w:val="both"/>
        <w:rPr>
          <w:rFonts w:cs="Arial"/>
          <w:szCs w:val="20"/>
        </w:rPr>
      </w:pPr>
      <w:r w:rsidRPr="00D042DA">
        <w:rPr>
          <w:rFonts w:cs="Arial"/>
          <w:szCs w:val="20"/>
        </w:rPr>
        <w:t>Državna tehnična pisarna izdela strokovno mnenje za</w:t>
      </w:r>
      <w:r w:rsidRPr="00D042DA">
        <w:rPr>
          <w:rFonts w:eastAsia="Arial" w:cs="Arial"/>
          <w:color w:val="000000" w:themeColor="text1"/>
          <w:szCs w:val="20"/>
        </w:rPr>
        <w:t xml:space="preserve"> določitev objektov, katerih odstranitev je nujno potrebna in v javno korist</w:t>
      </w:r>
      <w:r w:rsidRPr="00D042DA">
        <w:rPr>
          <w:rFonts w:cs="Arial"/>
          <w:szCs w:val="20"/>
        </w:rPr>
        <w:t xml:space="preserve"> v skladu s 151.b členom ZIUOPZP. V strokovnem mnenju se po pravilih stroke ugotovijo in izkažejo razlogi za nujno odstranitev v skladu s prvim odstavkom 151.a člena ZIUOPZP.</w:t>
      </w:r>
    </w:p>
    <w:p w:rsidR="00231BFF" w:rsidRPr="001B3F3F" w:rsidRDefault="00231BFF" w:rsidP="00955AD9">
      <w:pPr>
        <w:spacing w:after="120" w:line="276" w:lineRule="auto"/>
        <w:ind w:left="-426"/>
        <w:jc w:val="both"/>
        <w:rPr>
          <w:rFonts w:cs="Arial"/>
          <w:szCs w:val="20"/>
        </w:rPr>
      </w:pPr>
      <w:r w:rsidRPr="00D042DA">
        <w:rPr>
          <w:rFonts w:cs="Arial"/>
          <w:szCs w:val="20"/>
        </w:rPr>
        <w:t>S sklepom Vlade Republike Slovenije se v skladu s 151.c členom ZIUOPZP izkaže javna korist</w:t>
      </w:r>
      <w:r>
        <w:rPr>
          <w:rFonts w:cs="Arial"/>
          <w:szCs w:val="20"/>
        </w:rPr>
        <w:t>,</w:t>
      </w:r>
      <w:r w:rsidRPr="00D042DA">
        <w:rPr>
          <w:rFonts w:cs="Arial"/>
          <w:szCs w:val="20"/>
        </w:rPr>
        <w:t xml:space="preserve"> s čimer se opredeli in utemelji, da je zaradi</w:t>
      </w:r>
      <w:r w:rsidRPr="00D042DA">
        <w:rPr>
          <w:rFonts w:cs="Arial"/>
          <w:color w:val="000000"/>
          <w:szCs w:val="20"/>
          <w:shd w:val="clear" w:color="auto" w:fill="FFFFFF"/>
        </w:rPr>
        <w:t xml:space="preserve"> zavarovanja življenja in zdravja ljudi odstranitev objektov nujno potrebna in v javno korist. Sklep temelji na strokovnem mnenju, ki ga predhodno potrdi Svet Vlade Republike Slovenije za obnovo</w:t>
      </w:r>
      <w:r w:rsidRPr="00D042DA">
        <w:rPr>
          <w:rFonts w:cs="Arial"/>
          <w:szCs w:val="20"/>
        </w:rPr>
        <w:t>.</w:t>
      </w:r>
    </w:p>
    <w:p w:rsidR="00231BFF" w:rsidRDefault="00231BFF" w:rsidP="00955AD9">
      <w:pPr>
        <w:spacing w:after="120" w:line="276" w:lineRule="auto"/>
        <w:ind w:left="-567"/>
        <w:jc w:val="both"/>
        <w:rPr>
          <w:rFonts w:cs="Arial"/>
          <w:color w:val="000000"/>
          <w:szCs w:val="20"/>
          <w:lang w:eastAsia="sl-SI"/>
        </w:rPr>
      </w:pPr>
      <w:r w:rsidRPr="00EA64DE">
        <w:rPr>
          <w:rFonts w:cs="Arial"/>
        </w:rPr>
        <w:t>Svet Vlade Republike Slovenije za obnovo (v nadaljevanju</w:t>
      </w:r>
      <w:r>
        <w:rPr>
          <w:rFonts w:cs="Arial"/>
        </w:rPr>
        <w:t>:</w:t>
      </w:r>
      <w:r w:rsidRPr="00EA64DE">
        <w:rPr>
          <w:rFonts w:cs="Arial"/>
        </w:rPr>
        <w:t xml:space="preserve"> Svet Vlade RS za obnovo) je na podlagi </w:t>
      </w:r>
      <w:r w:rsidRPr="00EA64DE">
        <w:rPr>
          <w:rFonts w:cs="Arial"/>
          <w:color w:val="000000"/>
          <w:szCs w:val="20"/>
          <w:lang w:eastAsia="sl-SI"/>
        </w:rPr>
        <w:t xml:space="preserve">151.c člena </w:t>
      </w:r>
      <w:r w:rsidRPr="00EA64DE">
        <w:rPr>
          <w:rFonts w:eastAsia="Calibri" w:cs="Arial"/>
          <w:bCs/>
          <w:szCs w:val="20"/>
        </w:rPr>
        <w:t>ZIUOPZP</w:t>
      </w:r>
      <w:r w:rsidRPr="00EA64DE">
        <w:rPr>
          <w:rFonts w:cs="Arial"/>
          <w:color w:val="000000" w:themeColor="text1"/>
          <w:szCs w:val="20"/>
          <w:lang w:eastAsia="sl-SI"/>
        </w:rPr>
        <w:t xml:space="preserve"> </w:t>
      </w:r>
      <w:r w:rsidRPr="00EA64DE">
        <w:rPr>
          <w:rFonts w:cs="Arial"/>
        </w:rPr>
        <w:t xml:space="preserve">obravnaval zgoraj omenjena strokovna mnenja, ki </w:t>
      </w:r>
      <w:r w:rsidRPr="00EA64DE">
        <w:rPr>
          <w:rFonts w:cs="Arial"/>
          <w:color w:val="000000"/>
          <w:szCs w:val="20"/>
          <w:lang w:eastAsia="sl-SI"/>
        </w:rPr>
        <w:t xml:space="preserve">jih je pripravila Državna tehnična pisarna. </w:t>
      </w:r>
      <w:r w:rsidRPr="00231BFF">
        <w:rPr>
          <w:rFonts w:cs="Arial"/>
          <w:color w:val="000000"/>
          <w:szCs w:val="20"/>
          <w:highlight w:val="yellow"/>
          <w:lang w:eastAsia="sl-SI"/>
        </w:rPr>
        <w:t>Strokovna mnenja so bila Svetu Vlade RS za obnovo poslana dne 5. februarja 2024. Vsa strokovna mnenja so bila s strani Sveta Vlade RS za obnovo</w:t>
      </w:r>
      <w:r w:rsidRPr="00231BFF">
        <w:rPr>
          <w:rFonts w:cs="Arial"/>
          <w:highlight w:val="yellow"/>
        </w:rPr>
        <w:t xml:space="preserve"> potrjena</w:t>
      </w:r>
      <w:r w:rsidRPr="00231BFF">
        <w:rPr>
          <w:rFonts w:cs="Arial"/>
          <w:color w:val="000000"/>
          <w:szCs w:val="20"/>
          <w:highlight w:val="yellow"/>
          <w:lang w:eastAsia="sl-SI"/>
        </w:rPr>
        <w:t xml:space="preserve"> dne 4. marca 2024.</w:t>
      </w:r>
      <w:r w:rsidRPr="00EA64DE">
        <w:rPr>
          <w:rFonts w:cs="Arial"/>
          <w:color w:val="000000"/>
          <w:szCs w:val="20"/>
          <w:lang w:eastAsia="sl-SI"/>
        </w:rPr>
        <w:t xml:space="preserve"> </w:t>
      </w:r>
    </w:p>
    <w:p w:rsidR="00231BFF" w:rsidRPr="00231BFF" w:rsidRDefault="00231BFF" w:rsidP="00955AD9">
      <w:pPr>
        <w:spacing w:after="120" w:line="276" w:lineRule="auto"/>
        <w:ind w:left="-567"/>
        <w:jc w:val="both"/>
        <w:rPr>
          <w:rFonts w:cs="Arial"/>
          <w:color w:val="000000"/>
          <w:szCs w:val="20"/>
          <w:lang w:eastAsia="sl-SI"/>
        </w:rPr>
      </w:pPr>
      <w:r>
        <w:rPr>
          <w:rFonts w:cs="Arial"/>
        </w:rPr>
        <w:t xml:space="preserve">Državna tehnična pisarna </w:t>
      </w:r>
      <w:r w:rsidRPr="00EA64DE">
        <w:rPr>
          <w:rFonts w:cs="Arial"/>
        </w:rPr>
        <w:t xml:space="preserve">je </w:t>
      </w:r>
      <w:r>
        <w:rPr>
          <w:rFonts w:cs="Arial"/>
        </w:rPr>
        <w:t xml:space="preserve">v </w:t>
      </w:r>
      <w:r w:rsidRPr="00EA64DE">
        <w:rPr>
          <w:rFonts w:cs="Arial"/>
        </w:rPr>
        <w:t>sklad</w:t>
      </w:r>
      <w:r>
        <w:rPr>
          <w:rFonts w:cs="Arial"/>
        </w:rPr>
        <w:t>u</w:t>
      </w:r>
      <w:r w:rsidRPr="00EA64DE">
        <w:rPr>
          <w:rFonts w:cs="Arial"/>
        </w:rPr>
        <w:t xml:space="preserve"> s 151.b členom ZIUOPZP podala strokovno mnenje za spodaj navedene objekte, za katere strokovno ocenjuje, da obstaja visoka ogroženost zaradi zemeljskega ali hribinskega plazu kot posledice poplav in plazov ter gre za znatno poškodovan objekt, katerega obnova ni mogoča ali ekonomsko smiselna in s čimer bi lahko nastale škodljive posledice za življenje in zdravje ljudi:</w:t>
      </w:r>
    </w:p>
    <w:p w:rsidR="00874005" w:rsidRDefault="00874005" w:rsidP="00955AD9">
      <w:pPr>
        <w:pStyle w:val="Odstavekseznama"/>
        <w:numPr>
          <w:ilvl w:val="0"/>
          <w:numId w:val="3"/>
        </w:numPr>
        <w:tabs>
          <w:tab w:val="left" w:pos="1134"/>
        </w:tabs>
        <w:spacing w:after="120" w:line="276" w:lineRule="auto"/>
        <w:ind w:left="0"/>
        <w:jc w:val="both"/>
      </w:pPr>
      <w:r>
        <w:t>Florjan 1</w:t>
      </w:r>
      <w:r w:rsidRPr="00100AF3">
        <w:t xml:space="preserve">, občina </w:t>
      </w:r>
      <w:r>
        <w:t>Šoštanj</w:t>
      </w:r>
      <w:r w:rsidRPr="00100AF3">
        <w:t xml:space="preserve">, št. stavbe: </w:t>
      </w:r>
      <w:r>
        <w:t>175</w:t>
      </w:r>
      <w:r w:rsidRPr="00100AF3">
        <w:t xml:space="preserve">, </w:t>
      </w:r>
      <w:proofErr w:type="spellStart"/>
      <w:r w:rsidRPr="00100AF3">
        <w:t>parc</w:t>
      </w:r>
      <w:proofErr w:type="spellEnd"/>
      <w:r w:rsidRPr="00100AF3">
        <w:t xml:space="preserve">. št. </w:t>
      </w:r>
      <w:r>
        <w:t>593</w:t>
      </w:r>
      <w:r w:rsidRPr="00100AF3">
        <w:t>, k.</w:t>
      </w:r>
      <w:r>
        <w:t xml:space="preserve"> o. 959 Šoštanj</w:t>
      </w:r>
      <w:r w:rsidRPr="00100AF3">
        <w:t xml:space="preserve"> </w:t>
      </w:r>
      <w:r>
        <w:t>(</w:t>
      </w:r>
      <w:r w:rsidRPr="00100AF3">
        <w:t>št. strokovnega mnenja SM-</w:t>
      </w:r>
      <w:r>
        <w:t>ŠOŠFLR1S);</w:t>
      </w:r>
    </w:p>
    <w:p w:rsidR="00874005" w:rsidRPr="00100AF3" w:rsidRDefault="00874005" w:rsidP="00955AD9">
      <w:pPr>
        <w:pStyle w:val="Odstavekseznama"/>
        <w:numPr>
          <w:ilvl w:val="0"/>
          <w:numId w:val="3"/>
        </w:numPr>
        <w:tabs>
          <w:tab w:val="left" w:pos="1134"/>
        </w:tabs>
        <w:spacing w:after="120" w:line="276" w:lineRule="auto"/>
        <w:ind w:left="0"/>
        <w:jc w:val="both"/>
      </w:pPr>
      <w:proofErr w:type="spellStart"/>
      <w:r>
        <w:t>Metleče</w:t>
      </w:r>
      <w:proofErr w:type="spellEnd"/>
      <w:r>
        <w:t xml:space="preserve"> 13</w:t>
      </w:r>
      <w:r w:rsidRPr="00100AF3">
        <w:t xml:space="preserve">, občina </w:t>
      </w:r>
      <w:r>
        <w:t>Šoštanj</w:t>
      </w:r>
      <w:r w:rsidRPr="00100AF3">
        <w:t xml:space="preserve">, št. stavbe: </w:t>
      </w:r>
      <w:r>
        <w:t>1142</w:t>
      </w:r>
      <w:r w:rsidRPr="00100AF3">
        <w:t xml:space="preserve">, </w:t>
      </w:r>
      <w:proofErr w:type="spellStart"/>
      <w:r w:rsidRPr="00100AF3">
        <w:t>parc</w:t>
      </w:r>
      <w:proofErr w:type="spellEnd"/>
      <w:r w:rsidRPr="00100AF3">
        <w:t xml:space="preserve">. št. </w:t>
      </w:r>
      <w:r>
        <w:t>472 (del)</w:t>
      </w:r>
      <w:r w:rsidRPr="00100AF3">
        <w:t>, k.</w:t>
      </w:r>
      <w:r>
        <w:t xml:space="preserve"> o. 959 Šoštanj</w:t>
      </w:r>
      <w:r w:rsidRPr="00100AF3">
        <w:t xml:space="preserve"> </w:t>
      </w:r>
      <w:r>
        <w:t>(</w:t>
      </w:r>
      <w:r w:rsidRPr="00100AF3">
        <w:t>št. strokovnega mnenja SM-</w:t>
      </w:r>
      <w:r>
        <w:t>ŠOŠMTL131S);</w:t>
      </w:r>
    </w:p>
    <w:p w:rsidR="00874005" w:rsidRPr="00100AF3" w:rsidRDefault="00874005" w:rsidP="00955AD9">
      <w:pPr>
        <w:pStyle w:val="Odstavekseznama"/>
        <w:numPr>
          <w:ilvl w:val="0"/>
          <w:numId w:val="3"/>
        </w:numPr>
        <w:tabs>
          <w:tab w:val="left" w:pos="1134"/>
        </w:tabs>
        <w:spacing w:after="120" w:line="276" w:lineRule="auto"/>
        <w:ind w:left="0"/>
        <w:jc w:val="both"/>
      </w:pPr>
      <w:r>
        <w:t>Skorno pri Šoštanju 20</w:t>
      </w:r>
      <w:r w:rsidRPr="00100AF3">
        <w:t xml:space="preserve">, občina </w:t>
      </w:r>
      <w:r>
        <w:t>Šoštanj</w:t>
      </w:r>
      <w:r w:rsidRPr="00100AF3">
        <w:t xml:space="preserve">, št. stavbe: </w:t>
      </w:r>
      <w:r>
        <w:t>289</w:t>
      </w:r>
      <w:r w:rsidRPr="00100AF3">
        <w:t xml:space="preserve">, </w:t>
      </w:r>
      <w:proofErr w:type="spellStart"/>
      <w:r w:rsidRPr="00100AF3">
        <w:t>parc</w:t>
      </w:r>
      <w:proofErr w:type="spellEnd"/>
      <w:r w:rsidRPr="00100AF3">
        <w:t xml:space="preserve">. št. </w:t>
      </w:r>
      <w:r>
        <w:t>215/4 in 215/2 (dek)</w:t>
      </w:r>
      <w:r w:rsidRPr="00100AF3">
        <w:t>, k.</w:t>
      </w:r>
      <w:r>
        <w:t xml:space="preserve"> o. 961 Skorno pri Šoštanju</w:t>
      </w:r>
      <w:r w:rsidRPr="00100AF3">
        <w:t xml:space="preserve"> </w:t>
      </w:r>
      <w:r>
        <w:t>(</w:t>
      </w:r>
      <w:r w:rsidRPr="00100AF3">
        <w:t>št. strokovnega mnenja SM-</w:t>
      </w:r>
      <w:r>
        <w:t>ŠOŠSPŠ20S).</w:t>
      </w:r>
    </w:p>
    <w:p w:rsidR="00F210E8" w:rsidRDefault="00481427" w:rsidP="00955AD9">
      <w:pPr>
        <w:spacing w:after="120" w:line="276" w:lineRule="auto"/>
        <w:ind w:left="-426"/>
        <w:jc w:val="both"/>
        <w:rPr>
          <w:rFonts w:cs="Arial"/>
          <w:color w:val="000000"/>
          <w:szCs w:val="20"/>
          <w:lang w:eastAsia="sl-SI"/>
        </w:rPr>
      </w:pPr>
      <w:r>
        <w:rPr>
          <w:rFonts w:cs="Arial"/>
          <w:color w:val="000000"/>
          <w:szCs w:val="20"/>
          <w:lang w:eastAsia="sl-SI"/>
        </w:rPr>
        <w:t>Obra</w:t>
      </w:r>
      <w:r w:rsidR="00231BFF">
        <w:rPr>
          <w:rFonts w:cs="Arial"/>
          <w:color w:val="000000"/>
          <w:szCs w:val="20"/>
          <w:lang w:eastAsia="sl-SI"/>
        </w:rPr>
        <w:t>vnavani objekt na naslovu</w:t>
      </w:r>
      <w:r w:rsidR="007B123B">
        <w:rPr>
          <w:rFonts w:cs="Arial"/>
          <w:color w:val="000000"/>
          <w:szCs w:val="20"/>
          <w:lang w:eastAsia="sl-SI"/>
        </w:rPr>
        <w:t xml:space="preserve"> </w:t>
      </w:r>
      <w:r w:rsidR="00874005" w:rsidRPr="00E751F4">
        <w:rPr>
          <w:rFonts w:cs="Arial"/>
          <w:b/>
          <w:color w:val="000000"/>
          <w:szCs w:val="20"/>
          <w:lang w:eastAsia="sl-SI"/>
        </w:rPr>
        <w:t>Florjan 1</w:t>
      </w:r>
      <w:r w:rsidR="00874005">
        <w:rPr>
          <w:rFonts w:cs="Arial"/>
          <w:color w:val="000000"/>
          <w:szCs w:val="20"/>
          <w:lang w:eastAsia="sl-SI"/>
        </w:rPr>
        <w:t xml:space="preserve"> se nahaja </w:t>
      </w:r>
      <w:r w:rsidR="00874005">
        <w:t xml:space="preserve">v bližini sotočja reke Pake, Toplice in </w:t>
      </w:r>
      <w:proofErr w:type="spellStart"/>
      <w:r w:rsidR="00874005">
        <w:t>Šentflorjanščice</w:t>
      </w:r>
      <w:proofErr w:type="spellEnd"/>
      <w:r w:rsidR="00874005">
        <w:t>, ter ob železniški progi Velenje – Celje</w:t>
      </w:r>
      <w:r w:rsidR="00874005">
        <w:t xml:space="preserve">. Na podlagi strokovnega mnenja Direkcije RS za vode (št. 45500-25/2022-179 z dne 8. 4. 2024) </w:t>
      </w:r>
      <w:r w:rsidR="00874005">
        <w:t xml:space="preserve">se objekt po novih </w:t>
      </w:r>
      <w:proofErr w:type="spellStart"/>
      <w:r w:rsidR="00874005">
        <w:t>hidoroških</w:t>
      </w:r>
      <w:proofErr w:type="spellEnd"/>
      <w:r w:rsidR="00874005">
        <w:t xml:space="preserve"> študijah nahaja deloma na obmo</w:t>
      </w:r>
      <w:r w:rsidR="00E751F4">
        <w:t xml:space="preserve">čju velike poplavne ogroženosti. Objekt je bil med poplavami 4. 8. 2023 poplavljen do okoli 90 cm. </w:t>
      </w:r>
      <w:r w:rsidR="00E751F4">
        <w:t>Kljub izvedbi načrtovanih celovitih ukrepov, bi bili za zmanjšanje poplavne ogroženosti objekta potrebni lokalni ukrepi višine med 1,5 in 2,0m, ki pa so zaradi utesnjenosti objekta na območju med vodotoki, železniško progo in vročevodom neizvedljivi, prav tako predstavlja problem odvod zalednih vod.</w:t>
      </w:r>
      <w:r w:rsidR="00E751F4">
        <w:rPr>
          <w:rFonts w:cs="Arial"/>
          <w:color w:val="000000"/>
          <w:szCs w:val="20"/>
          <w:lang w:eastAsia="sl-SI"/>
        </w:rPr>
        <w:t xml:space="preserve"> </w:t>
      </w:r>
      <w:r w:rsidR="007B123B">
        <w:rPr>
          <w:rFonts w:cs="Arial"/>
          <w:szCs w:val="20"/>
        </w:rPr>
        <w:t>Za navedeni objekt obstaja</w:t>
      </w:r>
      <w:r w:rsidR="007B123B">
        <w:rPr>
          <w:rFonts w:cs="Arial"/>
          <w:color w:val="000000"/>
          <w:szCs w:val="20"/>
          <w:shd w:val="clear" w:color="auto" w:fill="FFFFFF"/>
        </w:rPr>
        <w:t xml:space="preserve"> visoka</w:t>
      </w:r>
      <w:r w:rsidR="007B123B" w:rsidRPr="003E4AD9">
        <w:rPr>
          <w:rFonts w:cs="Arial"/>
          <w:color w:val="000000"/>
          <w:szCs w:val="20"/>
          <w:shd w:val="clear" w:color="auto" w:fill="FFFFFF"/>
        </w:rPr>
        <w:t xml:space="preserve"> ogroženosti zaradi</w:t>
      </w:r>
      <w:r w:rsidR="007B123B">
        <w:rPr>
          <w:rFonts w:cs="Arial"/>
          <w:color w:val="000000"/>
          <w:szCs w:val="20"/>
          <w:shd w:val="clear" w:color="auto" w:fill="FFFFFF"/>
        </w:rPr>
        <w:t xml:space="preserve"> poplavne ali plazovite nevarnosti </w:t>
      </w:r>
      <w:r w:rsidR="007B123B" w:rsidRPr="003E4AD9">
        <w:rPr>
          <w:rFonts w:cs="Arial"/>
          <w:color w:val="000000"/>
          <w:szCs w:val="20"/>
          <w:shd w:val="clear" w:color="auto" w:fill="FFFFFF"/>
        </w:rPr>
        <w:t>in s</w:t>
      </w:r>
      <w:r w:rsidR="007B123B">
        <w:rPr>
          <w:rFonts w:cs="Arial"/>
          <w:color w:val="000000"/>
          <w:szCs w:val="20"/>
          <w:shd w:val="clear" w:color="auto" w:fill="FFFFFF"/>
        </w:rPr>
        <w:t xml:space="preserve"> tem povezano visoko nevarnosti</w:t>
      </w:r>
      <w:r w:rsidR="007B123B" w:rsidRPr="003E4AD9">
        <w:rPr>
          <w:rFonts w:cs="Arial"/>
          <w:color w:val="000000"/>
          <w:szCs w:val="20"/>
          <w:shd w:val="clear" w:color="auto" w:fill="FFFFFF"/>
        </w:rPr>
        <w:t xml:space="preserve"> porušitve ali znatnega poškodovanja objektov, s čimer bi lahko nastale škodljive posledice za življenje </w:t>
      </w:r>
      <w:r w:rsidR="007B123B">
        <w:rPr>
          <w:rFonts w:cs="Arial"/>
          <w:color w:val="000000"/>
          <w:szCs w:val="20"/>
          <w:shd w:val="clear" w:color="auto" w:fill="FFFFFF"/>
        </w:rPr>
        <w:t>in zdravje ljudi.</w:t>
      </w:r>
      <w:r w:rsidR="007B123B" w:rsidRPr="00EA64DE">
        <w:rPr>
          <w:rFonts w:cs="Arial"/>
        </w:rPr>
        <w:t xml:space="preserve"> </w:t>
      </w:r>
      <w:r w:rsidR="007B123B">
        <w:rPr>
          <w:rFonts w:cs="Arial"/>
        </w:rPr>
        <w:t>Ugotovitev in utemeljitev, na katerem so se izkazali razlogi za nujno odstranitev objektov na podlagi visoke poplavne ali plazovite nevarnosti in s tem ogroženost življenja ali zdravja ljudi temel</w:t>
      </w:r>
      <w:r w:rsidR="00874005">
        <w:rPr>
          <w:rFonts w:cs="Arial"/>
        </w:rPr>
        <w:t xml:space="preserve">ji na strokovnem mnenju št. </w:t>
      </w:r>
      <w:r w:rsidR="00874005" w:rsidRPr="00100AF3">
        <w:t>SM-</w:t>
      </w:r>
      <w:r w:rsidR="00874005">
        <w:t>ŠOŠFLR1S</w:t>
      </w:r>
      <w:r w:rsidR="007B123B">
        <w:rPr>
          <w:rFonts w:cs="Arial"/>
        </w:rPr>
        <w:t xml:space="preserve"> z dne 15. 4. 2024. </w:t>
      </w:r>
      <w:r w:rsidR="007B123B" w:rsidRPr="003E1DA7">
        <w:rPr>
          <w:rFonts w:cs="Arial"/>
          <w:color w:val="000000"/>
          <w:szCs w:val="20"/>
          <w:shd w:val="clear" w:color="auto" w:fill="FFFFFF"/>
        </w:rPr>
        <w:t>Glede na navedeno je odstranitev v javno korist.</w:t>
      </w:r>
    </w:p>
    <w:p w:rsidR="00F210E8" w:rsidRPr="00F210E8" w:rsidRDefault="00F210E8" w:rsidP="00955AD9">
      <w:pPr>
        <w:spacing w:after="120" w:line="276" w:lineRule="auto"/>
        <w:ind w:left="-567"/>
        <w:jc w:val="both"/>
        <w:rPr>
          <w:rFonts w:cs="Arial"/>
        </w:rPr>
      </w:pPr>
      <w:r>
        <w:rPr>
          <w:rFonts w:cs="Arial"/>
          <w:color w:val="000000"/>
          <w:szCs w:val="20"/>
          <w:lang w:eastAsia="sl-SI"/>
        </w:rPr>
        <w:t xml:space="preserve">Obravnavani objekt na naslovu </w:t>
      </w:r>
      <w:proofErr w:type="spellStart"/>
      <w:r>
        <w:rPr>
          <w:rFonts w:cs="Arial"/>
          <w:b/>
          <w:color w:val="000000"/>
          <w:szCs w:val="20"/>
          <w:lang w:eastAsia="sl-SI"/>
        </w:rPr>
        <w:t>Metleče</w:t>
      </w:r>
      <w:proofErr w:type="spellEnd"/>
      <w:r>
        <w:rPr>
          <w:rFonts w:cs="Arial"/>
          <w:b/>
          <w:color w:val="000000"/>
          <w:szCs w:val="20"/>
          <w:lang w:eastAsia="sl-SI"/>
        </w:rPr>
        <w:t xml:space="preserve"> 13 </w:t>
      </w:r>
      <w:r>
        <w:t xml:space="preserve">se nahaja na območju velike poplavne ogroženosti. </w:t>
      </w:r>
      <w:r>
        <w:t xml:space="preserve">Na podlagi strokovnega mnenja </w:t>
      </w:r>
      <w:r>
        <w:t xml:space="preserve">Direkcije </w:t>
      </w:r>
      <w:r>
        <w:t xml:space="preserve">RS za vode DRSV (št. 4500-25/2022-178 z dne 5. 4. 2024) </w:t>
      </w:r>
      <w:r>
        <w:t xml:space="preserve">bi objekt kljub </w:t>
      </w:r>
      <w:proofErr w:type="spellStart"/>
      <w:r>
        <w:t>gorvodnim</w:t>
      </w:r>
      <w:proofErr w:type="spellEnd"/>
      <w:r>
        <w:t xml:space="preserve"> protipoplavnim ukrepom zahteval še posebno varovanje v obliki protipoplavnih zidov. Ker pa objekt ni odporen na delovanje visoke podtalnice, bi bila ta zaščita neučinkovita. </w:t>
      </w:r>
      <w:r>
        <w:t xml:space="preserve">Kljub izvedbi načrtovanih celovitih ukrepov ostaja tveganje, da bi prišlo do nekontroliranega zatekanja podtalnice v </w:t>
      </w:r>
      <w:r>
        <w:lastRenderedPageBreak/>
        <w:t xml:space="preserve">kaseto in hidravličnega loma tal. </w:t>
      </w:r>
      <w:r>
        <w:rPr>
          <w:rFonts w:cs="Arial"/>
          <w:szCs w:val="20"/>
        </w:rPr>
        <w:t>Za navedeni objekt obstaja</w:t>
      </w:r>
      <w:r>
        <w:rPr>
          <w:rFonts w:cs="Arial"/>
          <w:color w:val="000000"/>
          <w:szCs w:val="20"/>
          <w:shd w:val="clear" w:color="auto" w:fill="FFFFFF"/>
        </w:rPr>
        <w:t xml:space="preserve"> visoka</w:t>
      </w:r>
      <w:r w:rsidRPr="003E4AD9">
        <w:rPr>
          <w:rFonts w:cs="Arial"/>
          <w:color w:val="000000"/>
          <w:szCs w:val="20"/>
          <w:shd w:val="clear" w:color="auto" w:fill="FFFFFF"/>
        </w:rPr>
        <w:t xml:space="preserve"> ogroženosti zaradi</w:t>
      </w:r>
      <w:r>
        <w:rPr>
          <w:rFonts w:cs="Arial"/>
          <w:color w:val="000000"/>
          <w:szCs w:val="20"/>
          <w:shd w:val="clear" w:color="auto" w:fill="FFFFFF"/>
        </w:rPr>
        <w:t xml:space="preserve"> poplavne ali plazovite nevarnosti </w:t>
      </w:r>
      <w:r w:rsidRPr="003E4AD9">
        <w:rPr>
          <w:rFonts w:cs="Arial"/>
          <w:color w:val="000000"/>
          <w:szCs w:val="20"/>
          <w:shd w:val="clear" w:color="auto" w:fill="FFFFFF"/>
        </w:rPr>
        <w:t>in s</w:t>
      </w:r>
      <w:r>
        <w:rPr>
          <w:rFonts w:cs="Arial"/>
          <w:color w:val="000000"/>
          <w:szCs w:val="20"/>
          <w:shd w:val="clear" w:color="auto" w:fill="FFFFFF"/>
        </w:rPr>
        <w:t xml:space="preserve"> tem povezano visoko nevarnosti</w:t>
      </w:r>
      <w:r w:rsidRPr="003E4AD9">
        <w:rPr>
          <w:rFonts w:cs="Arial"/>
          <w:color w:val="000000"/>
          <w:szCs w:val="20"/>
          <w:shd w:val="clear" w:color="auto" w:fill="FFFFFF"/>
        </w:rPr>
        <w:t xml:space="preserve"> porušitve ali znatnega poškodovanja objektov, s čimer bi lahko nastale škodljive posledice za življenje </w:t>
      </w:r>
      <w:r>
        <w:rPr>
          <w:rFonts w:cs="Arial"/>
          <w:color w:val="000000"/>
          <w:szCs w:val="20"/>
          <w:shd w:val="clear" w:color="auto" w:fill="FFFFFF"/>
        </w:rPr>
        <w:t>in zdravje ljudi.</w:t>
      </w:r>
      <w:r w:rsidRPr="00EA64DE">
        <w:rPr>
          <w:rFonts w:cs="Arial"/>
        </w:rPr>
        <w:t xml:space="preserve"> </w:t>
      </w:r>
      <w:r>
        <w:rPr>
          <w:rFonts w:cs="Arial"/>
        </w:rPr>
        <w:t xml:space="preserve">Ugotovitev in utemeljitev, na katerem so se izkazali razlogi za nujno odstranitev objektov na podlagi visoke poplavne ali plazovite nevarnosti in s tem ogroženost življenja ali zdravja ljudi temelji na strokovnem mnenju št. </w:t>
      </w:r>
      <w:r>
        <w:t>SM-</w:t>
      </w:r>
      <w:r>
        <w:t>ŠOŠMTL131S</w:t>
      </w:r>
      <w:r>
        <w:rPr>
          <w:rFonts w:cs="Arial"/>
        </w:rPr>
        <w:t xml:space="preserve"> </w:t>
      </w:r>
      <w:r>
        <w:rPr>
          <w:rFonts w:cs="Arial"/>
        </w:rPr>
        <w:t xml:space="preserve">z dne 15. 4. 2024. </w:t>
      </w:r>
      <w:r w:rsidRPr="003E1DA7">
        <w:rPr>
          <w:rFonts w:cs="Arial"/>
          <w:color w:val="000000"/>
          <w:szCs w:val="20"/>
          <w:shd w:val="clear" w:color="auto" w:fill="FFFFFF"/>
        </w:rPr>
        <w:t>Glede na navedeno je odstranitev v javno korist.</w:t>
      </w:r>
    </w:p>
    <w:p w:rsidR="002F2849" w:rsidRPr="00305C66" w:rsidRDefault="00230A47" w:rsidP="00955AD9">
      <w:pPr>
        <w:spacing w:after="120" w:line="276" w:lineRule="auto"/>
        <w:ind w:left="-567"/>
        <w:jc w:val="both"/>
        <w:rPr>
          <w:rFonts w:cs="Arial"/>
          <w:color w:val="000000"/>
          <w:szCs w:val="20"/>
          <w:lang w:eastAsia="sl-SI"/>
        </w:rPr>
      </w:pPr>
      <w:r>
        <w:rPr>
          <w:rFonts w:cs="Arial"/>
          <w:color w:val="000000"/>
          <w:szCs w:val="20"/>
          <w:lang w:eastAsia="sl-SI"/>
        </w:rPr>
        <w:t xml:space="preserve">Obravnavani objekt na naslovu </w:t>
      </w:r>
      <w:r>
        <w:rPr>
          <w:rFonts w:cs="Arial"/>
          <w:b/>
          <w:color w:val="000000"/>
          <w:szCs w:val="20"/>
          <w:lang w:eastAsia="sl-SI"/>
        </w:rPr>
        <w:t>Skorno pri Šoštanju 20</w:t>
      </w:r>
      <w:r w:rsidR="00AA409D">
        <w:rPr>
          <w:rFonts w:cs="Arial"/>
          <w:b/>
          <w:color w:val="000000"/>
          <w:szCs w:val="20"/>
          <w:lang w:eastAsia="sl-SI"/>
        </w:rPr>
        <w:t xml:space="preserve"> </w:t>
      </w:r>
      <w:r w:rsidR="00AA409D">
        <w:t>se nahaja v soteski Penk na desnem bregu reke Pake. Do sedaj so bili poplavljeni leta 1990, 2012 in 2023</w:t>
      </w:r>
      <w:r w:rsidR="00AA409D">
        <w:rPr>
          <w:rFonts w:cs="Arial"/>
          <w:color w:val="000000"/>
          <w:szCs w:val="20"/>
          <w:lang w:eastAsia="sl-SI"/>
        </w:rPr>
        <w:t>. V</w:t>
      </w:r>
      <w:r w:rsidR="00AE3163">
        <w:rPr>
          <w:rFonts w:cs="Arial"/>
          <w:color w:val="000000"/>
          <w:szCs w:val="20"/>
          <w:lang w:eastAsia="sl-SI"/>
        </w:rPr>
        <w:t xml:space="preserve"> neurju 4. 8</w:t>
      </w:r>
      <w:r w:rsidR="00657034">
        <w:rPr>
          <w:rFonts w:cs="Arial"/>
          <w:color w:val="000000"/>
          <w:szCs w:val="20"/>
          <w:lang w:eastAsia="sl-SI"/>
        </w:rPr>
        <w:t xml:space="preserve"> 2023 </w:t>
      </w:r>
      <w:r w:rsidR="00AA409D">
        <w:rPr>
          <w:rFonts w:cs="Arial"/>
          <w:color w:val="000000"/>
          <w:szCs w:val="20"/>
          <w:lang w:eastAsia="sl-SI"/>
        </w:rPr>
        <w:t xml:space="preserve">je bil </w:t>
      </w:r>
      <w:r w:rsidR="00657034">
        <w:rPr>
          <w:rFonts w:cs="Arial"/>
          <w:color w:val="000000"/>
          <w:szCs w:val="20"/>
          <w:lang w:eastAsia="sl-SI"/>
        </w:rPr>
        <w:t>poplavljen do višine 2 me</w:t>
      </w:r>
      <w:r w:rsidR="00AA409D">
        <w:rPr>
          <w:rFonts w:cs="Arial"/>
          <w:color w:val="000000"/>
          <w:szCs w:val="20"/>
          <w:lang w:eastAsia="sl-SI"/>
        </w:rPr>
        <w:t xml:space="preserve">trov, kar bi ga po veljavni zakonodaji uvrstilo v razred visoke poplaven nevarnosti. </w:t>
      </w:r>
      <w:r w:rsidR="00AA409D">
        <w:t>Veliko težavo ob vseh poplavnih dogodkih predstavlja tudi visoka podtalnica, saj stanovanjski objekt ni odporen na tovrstne dogodke. Visoka podtalnica zalije pritlično etažo stanovanjskega objekta</w:t>
      </w:r>
      <w:r w:rsidR="00305C66">
        <w:t xml:space="preserve">. </w:t>
      </w:r>
      <w:r w:rsidR="00305C66">
        <w:t>Na tem odseku reke Pake omilitveni ukrepi za zmanjšanje poplavne in erozijske ogroženosti niso predvideni, pa tudi ob izvedbi celovitih omilitvenih ukrepov na porečju reke Pake se poplavna ogroženost objekta ne bi bistveno izboljšala in bi se še vedno nahajal v razredu velike poplavne nevarnosti.</w:t>
      </w:r>
      <w:r w:rsidR="00305C66">
        <w:rPr>
          <w:rFonts w:cs="Arial"/>
          <w:color w:val="000000"/>
          <w:szCs w:val="20"/>
          <w:lang w:eastAsia="sl-SI"/>
        </w:rPr>
        <w:t xml:space="preserve"> </w:t>
      </w:r>
      <w:r w:rsidR="002F2849">
        <w:rPr>
          <w:rFonts w:cs="Arial"/>
          <w:szCs w:val="20"/>
        </w:rPr>
        <w:t>Za navedeni objekt obstaja</w:t>
      </w:r>
      <w:r w:rsidR="002F2849">
        <w:rPr>
          <w:rFonts w:cs="Arial"/>
          <w:color w:val="000000"/>
          <w:szCs w:val="20"/>
          <w:shd w:val="clear" w:color="auto" w:fill="FFFFFF"/>
        </w:rPr>
        <w:t xml:space="preserve"> visoka</w:t>
      </w:r>
      <w:r w:rsidR="002F2849" w:rsidRPr="003E4AD9">
        <w:rPr>
          <w:rFonts w:cs="Arial"/>
          <w:color w:val="000000"/>
          <w:szCs w:val="20"/>
          <w:shd w:val="clear" w:color="auto" w:fill="FFFFFF"/>
        </w:rPr>
        <w:t xml:space="preserve"> ogroženosti zaradi</w:t>
      </w:r>
      <w:r w:rsidR="002F2849">
        <w:rPr>
          <w:rFonts w:cs="Arial"/>
          <w:color w:val="000000"/>
          <w:szCs w:val="20"/>
          <w:shd w:val="clear" w:color="auto" w:fill="FFFFFF"/>
        </w:rPr>
        <w:t xml:space="preserve"> poplavne ali plazovite nevarnosti </w:t>
      </w:r>
      <w:r w:rsidR="002F2849" w:rsidRPr="003E4AD9">
        <w:rPr>
          <w:rFonts w:cs="Arial"/>
          <w:color w:val="000000"/>
          <w:szCs w:val="20"/>
          <w:shd w:val="clear" w:color="auto" w:fill="FFFFFF"/>
        </w:rPr>
        <w:t>in s</w:t>
      </w:r>
      <w:r w:rsidR="002F2849">
        <w:rPr>
          <w:rFonts w:cs="Arial"/>
          <w:color w:val="000000"/>
          <w:szCs w:val="20"/>
          <w:shd w:val="clear" w:color="auto" w:fill="FFFFFF"/>
        </w:rPr>
        <w:t xml:space="preserve"> tem povezano visoko nevarnosti</w:t>
      </w:r>
      <w:r w:rsidR="002F2849" w:rsidRPr="003E4AD9">
        <w:rPr>
          <w:rFonts w:cs="Arial"/>
          <w:color w:val="000000"/>
          <w:szCs w:val="20"/>
          <w:shd w:val="clear" w:color="auto" w:fill="FFFFFF"/>
        </w:rPr>
        <w:t xml:space="preserve"> porušitve ali znatnega poškodovanja objektov, s čimer bi lahko nastale škodljive posledice za življenje </w:t>
      </w:r>
      <w:r w:rsidR="002F2849">
        <w:rPr>
          <w:rFonts w:cs="Arial"/>
          <w:color w:val="000000"/>
          <w:szCs w:val="20"/>
          <w:shd w:val="clear" w:color="auto" w:fill="FFFFFF"/>
        </w:rPr>
        <w:t>in zdravje ljudi.</w:t>
      </w:r>
      <w:r w:rsidR="002F2849" w:rsidRPr="00EA64DE">
        <w:rPr>
          <w:rFonts w:cs="Arial"/>
        </w:rPr>
        <w:t xml:space="preserve"> </w:t>
      </w:r>
      <w:r w:rsidR="002F2849">
        <w:rPr>
          <w:rFonts w:cs="Arial"/>
        </w:rPr>
        <w:t xml:space="preserve">Ugotovitev in utemeljitev, na katerem so se izkazali razlogi za nujno odstranitev objektov na podlagi visoke poplavne ali plazovite nevarnosti in s tem ogroženost življenja ali zdravja ljudi temelji na strokovnem mnenju št. </w:t>
      </w:r>
      <w:r w:rsidR="002F2849">
        <w:t>SM-</w:t>
      </w:r>
      <w:r w:rsidR="002F2849">
        <w:t>ŠOŠSPŠ20S</w:t>
      </w:r>
      <w:r w:rsidR="002F2849">
        <w:rPr>
          <w:rFonts w:cs="Arial"/>
        </w:rPr>
        <w:t xml:space="preserve"> </w:t>
      </w:r>
      <w:r w:rsidR="00305C66">
        <w:rPr>
          <w:rFonts w:cs="Arial"/>
        </w:rPr>
        <w:t xml:space="preserve">z dne </w:t>
      </w:r>
      <w:r w:rsidR="002F2849">
        <w:rPr>
          <w:rFonts w:cs="Arial"/>
        </w:rPr>
        <w:t xml:space="preserve">15. 4. 2024. </w:t>
      </w:r>
      <w:r w:rsidR="002F2849" w:rsidRPr="003E1DA7">
        <w:rPr>
          <w:rFonts w:cs="Arial"/>
          <w:color w:val="000000"/>
          <w:szCs w:val="20"/>
          <w:shd w:val="clear" w:color="auto" w:fill="FFFFFF"/>
        </w:rPr>
        <w:t>Glede na navedeno je odstranitev v javno korist</w:t>
      </w:r>
      <w:r w:rsidR="00305C66">
        <w:rPr>
          <w:rFonts w:cs="Arial"/>
          <w:color w:val="000000"/>
          <w:szCs w:val="20"/>
          <w:shd w:val="clear" w:color="auto" w:fill="FFFFFF"/>
        </w:rPr>
        <w:t>.</w:t>
      </w:r>
      <w:bookmarkStart w:id="0" w:name="_GoBack"/>
      <w:bookmarkEnd w:id="0"/>
    </w:p>
    <w:sectPr w:rsidR="002F2849" w:rsidRPr="00305C66" w:rsidSect="00955AD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FA" w:rsidRDefault="00BE01FA" w:rsidP="00BE01FA">
      <w:pPr>
        <w:spacing w:line="240" w:lineRule="auto"/>
      </w:pPr>
      <w:r>
        <w:separator/>
      </w:r>
    </w:p>
  </w:endnote>
  <w:endnote w:type="continuationSeparator" w:id="0">
    <w:p w:rsidR="00BE01FA" w:rsidRDefault="00BE01FA"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FA" w:rsidRDefault="00BE01FA" w:rsidP="00BE01FA">
      <w:pPr>
        <w:spacing w:line="240" w:lineRule="auto"/>
      </w:pPr>
      <w:r>
        <w:separator/>
      </w:r>
    </w:p>
  </w:footnote>
  <w:footnote w:type="continuationSeparator" w:id="0">
    <w:p w:rsidR="00BE01FA" w:rsidRDefault="00BE01FA"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955AD9">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BE01FA" w:rsidRPr="008F3500" w:rsidTr="003A7D20">
      <w:trPr>
        <w:cantSplit/>
        <w:trHeight w:hRule="exact" w:val="737"/>
      </w:trPr>
      <w:tc>
        <w:tcPr>
          <w:tcW w:w="732" w:type="dxa"/>
        </w:tcPr>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tc>
    </w:tr>
  </w:tbl>
  <w:p w:rsidR="00BE01FA" w:rsidRPr="004577CE" w:rsidRDefault="00955AD9" w:rsidP="00BE01FA">
    <w:pPr>
      <w:pStyle w:val="Glava"/>
      <w:tabs>
        <w:tab w:val="left" w:pos="5112"/>
      </w:tabs>
      <w:spacing w:line="240" w:lineRule="exact"/>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rsidR="00BE01FA" w:rsidRDefault="00BE01F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44" w:rsidRPr="00A9231D" w:rsidRDefault="00955AD9" w:rsidP="00955A44">
    <w:pPr>
      <w:pStyle w:val="Glava"/>
      <w:tabs>
        <w:tab w:val="clear" w:pos="4536"/>
        <w:tab w:val="clear" w:pos="9072"/>
        <w:tab w:val="left" w:pos="5112"/>
        <w:tab w:val="left" w:pos="8641"/>
      </w:tabs>
      <w:spacing w:before="340" w:line="240" w:lineRule="exact"/>
      <w:ind w:left="-765"/>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955A44" w:rsidRPr="00CE234E">
      <w:rPr>
        <w:noProof/>
        <w:lang w:eastAsia="sl-SI"/>
      </w:rPr>
      <w:drawing>
        <wp:inline distT="0" distB="0" distL="0" distR="0" wp14:anchorId="2ED83508" wp14:editId="37774B59">
          <wp:extent cx="2165350" cy="325120"/>
          <wp:effectExtent l="0" t="0" r="6350" b="0"/>
          <wp:docPr id="15" name="Slika 15"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955A44" w:rsidRPr="00A9231D" w:rsidRDefault="00955A44"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955A44" w:rsidRPr="00A13D38" w:rsidRDefault="00955A44"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rsidR="00955A44" w:rsidRDefault="00955A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3"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32F4E"/>
    <w:rsid w:val="000830B2"/>
    <w:rsid w:val="00083826"/>
    <w:rsid w:val="000F12B0"/>
    <w:rsid w:val="0017467A"/>
    <w:rsid w:val="00206FDA"/>
    <w:rsid w:val="0021301A"/>
    <w:rsid w:val="00230A47"/>
    <w:rsid w:val="00231BFF"/>
    <w:rsid w:val="00297CE5"/>
    <w:rsid w:val="002B2739"/>
    <w:rsid w:val="002F2849"/>
    <w:rsid w:val="00305C66"/>
    <w:rsid w:val="003F67EC"/>
    <w:rsid w:val="00481427"/>
    <w:rsid w:val="00504229"/>
    <w:rsid w:val="00575416"/>
    <w:rsid w:val="00657034"/>
    <w:rsid w:val="007B123B"/>
    <w:rsid w:val="0080466F"/>
    <w:rsid w:val="00874005"/>
    <w:rsid w:val="008D07CE"/>
    <w:rsid w:val="00911B6F"/>
    <w:rsid w:val="00955A44"/>
    <w:rsid w:val="00955AD9"/>
    <w:rsid w:val="00A2248C"/>
    <w:rsid w:val="00A7502C"/>
    <w:rsid w:val="00AA409D"/>
    <w:rsid w:val="00AE3163"/>
    <w:rsid w:val="00B72A87"/>
    <w:rsid w:val="00BE01FA"/>
    <w:rsid w:val="00CB77D6"/>
    <w:rsid w:val="00DA5F33"/>
    <w:rsid w:val="00DA764C"/>
    <w:rsid w:val="00E216C4"/>
    <w:rsid w:val="00E751F4"/>
    <w:rsid w:val="00EA2D6C"/>
    <w:rsid w:val="00EC4110"/>
    <w:rsid w:val="00F07EF3"/>
    <w:rsid w:val="00F210E8"/>
    <w:rsid w:val="00F7365A"/>
    <w:rsid w:val="00F801FC"/>
    <w:rsid w:val="00F9792A"/>
    <w:rsid w:val="00FC2731"/>
    <w:rsid w:val="00FD0C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8105E7-B34C-42D0-AC0E-6EEF6C6A42BE}">
  <ds:schemaRefs>
    <ds:schemaRef ds:uri="http://purl.org/dc/terms/"/>
    <ds:schemaRef ds:uri="http://schemas.openxmlformats.org/package/2006/metadata/core-properties"/>
    <ds:schemaRef ds:uri="http://purl.org/dc/dcmitype/"/>
    <ds:schemaRef ds:uri="3f2c6261-3339-4dac-a32e-723af7836fc3"/>
    <ds:schemaRef ds:uri="http://purl.org/dc/elements/1.1/"/>
    <ds:schemaRef ds:uri="http://schemas.microsoft.com/office/2006/documentManagement/types"/>
    <ds:schemaRef ds:uri="http://schemas.microsoft.com/office/infopath/2007/PartnerControls"/>
    <ds:schemaRef ds:uri="3bd31b66-7cdd-4b22-9953-e59f45a0e25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3.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6D574F-18E7-4DF7-BC44-23ECC8939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1082</Words>
  <Characters>6174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28</cp:revision>
  <dcterms:created xsi:type="dcterms:W3CDTF">2024-03-05T12:13:00Z</dcterms:created>
  <dcterms:modified xsi:type="dcterms:W3CDTF">2024-04-25T11:36:00Z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