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B72A87"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o določitvi objekta, katerega</w:t>
      </w:r>
      <w:r w:rsidR="00BE01FA" w:rsidRPr="009C0677">
        <w:rPr>
          <w:rFonts w:eastAsia="Arial" w:cs="Arial"/>
          <w:b/>
          <w:color w:val="000000" w:themeColor="text1"/>
        </w:rPr>
        <w:t xml:space="preserve"> odstranitev je nujno potrebna in v javno korist</w:t>
      </w:r>
      <w:r w:rsidR="00BE01FA">
        <w:rPr>
          <w:rFonts w:eastAsia="Arial" w:cs="Arial"/>
          <w:b/>
          <w:color w:val="000000" w:themeColor="text1"/>
        </w:rPr>
        <w:t>,</w:t>
      </w:r>
      <w:r w:rsidR="00BE01FA" w:rsidRPr="009C0677">
        <w:rPr>
          <w:rFonts w:eastAsia="Arial" w:cs="Arial"/>
          <w:b/>
          <w:color w:val="000000" w:themeColor="text1"/>
        </w:rPr>
        <w:t xml:space="preserve"> na območju</w:t>
      </w:r>
      <w:r w:rsidR="0017467A">
        <w:rPr>
          <w:rFonts w:eastAsia="Arial" w:cs="Arial"/>
          <w:b/>
          <w:color w:val="000000" w:themeColor="text1"/>
        </w:rPr>
        <w:t xml:space="preserve"> Občine </w:t>
      </w:r>
      <w:r w:rsidR="00A2248C">
        <w:rPr>
          <w:rFonts w:eastAsia="Arial" w:cs="Arial"/>
          <w:b/>
          <w:color w:val="000000" w:themeColor="text1"/>
        </w:rPr>
        <w:t>Mežica</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Default="00BE01FA" w:rsidP="0017467A">
      <w:pPr>
        <w:tabs>
          <w:tab w:val="left" w:pos="1134"/>
        </w:tabs>
        <w:spacing w:line="240" w:lineRule="auto"/>
        <w:ind w:left="-23"/>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javno korist odstranitev naslednjih objektov (nepremičnine z objekti za odstranitev):</w:t>
      </w:r>
    </w:p>
    <w:p w:rsidR="00FD0CA9" w:rsidRDefault="00FD0CA9" w:rsidP="0017467A">
      <w:pPr>
        <w:tabs>
          <w:tab w:val="left" w:pos="1134"/>
        </w:tabs>
        <w:spacing w:line="240" w:lineRule="auto"/>
        <w:ind w:left="-23"/>
        <w:rPr>
          <w:rFonts w:cs="Arial"/>
          <w:color w:val="000000" w:themeColor="text1"/>
        </w:rPr>
      </w:pPr>
    </w:p>
    <w:p w:rsidR="0017467A" w:rsidRPr="0017467A" w:rsidRDefault="00B72A87" w:rsidP="00F9792A">
      <w:pPr>
        <w:pStyle w:val="Odstavekseznama"/>
        <w:numPr>
          <w:ilvl w:val="0"/>
          <w:numId w:val="3"/>
        </w:numPr>
        <w:tabs>
          <w:tab w:val="left" w:pos="1134"/>
        </w:tabs>
        <w:rPr>
          <w:rFonts w:cs="Arial"/>
          <w:color w:val="000000" w:themeColor="text1"/>
        </w:rPr>
      </w:pPr>
      <w:r>
        <w:rPr>
          <w:rFonts w:cs="Arial"/>
          <w:color w:val="000000" w:themeColor="text1"/>
        </w:rPr>
        <w:t>Lom 4,</w:t>
      </w:r>
      <w:r w:rsidR="0017467A">
        <w:rPr>
          <w:rFonts w:cs="Arial"/>
          <w:color w:val="000000" w:themeColor="text1"/>
        </w:rPr>
        <w:t xml:space="preserve"> občina </w:t>
      </w:r>
      <w:r w:rsidR="00A2248C">
        <w:rPr>
          <w:rFonts w:cs="Arial"/>
          <w:color w:val="000000" w:themeColor="text1"/>
        </w:rPr>
        <w:t>Mežica</w:t>
      </w:r>
      <w:r w:rsidR="0017467A">
        <w:rPr>
          <w:rFonts w:cs="Arial"/>
          <w:color w:val="000000" w:themeColor="text1"/>
        </w:rPr>
        <w:t xml:space="preserve">, </w:t>
      </w:r>
      <w:r w:rsidR="0017467A" w:rsidRPr="00F9792A">
        <w:rPr>
          <w:rFonts w:ascii="Helv" w:hAnsi="Helv" w:cs="Helv"/>
          <w:color w:val="000000"/>
        </w:rPr>
        <w:t>številka strokovnega mnenja</w:t>
      </w:r>
      <w:r w:rsidR="0017467A">
        <w:rPr>
          <w:rFonts w:ascii="Helv" w:hAnsi="Helv" w:cs="Helv"/>
          <w:color w:val="000000"/>
        </w:rPr>
        <w:t xml:space="preserve"> </w:t>
      </w:r>
      <w:r>
        <w:rPr>
          <w:rFonts w:ascii="Helv" w:hAnsi="Helv" w:cs="Helv"/>
        </w:rPr>
        <w:t>SM-MEŽLOM4S.</w:t>
      </w: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955A44" w:rsidRPr="00413F83" w:rsidRDefault="00955A44" w:rsidP="00955A44">
      <w:pPr>
        <w:spacing w:line="276" w:lineRule="auto"/>
        <w:rPr>
          <w:rFonts w:cs="Arial"/>
          <w:szCs w:val="20"/>
        </w:rPr>
      </w:pPr>
      <w:r>
        <w:rPr>
          <w:rFonts w:cs="Arial"/>
          <w:szCs w:val="20"/>
        </w:rPr>
        <w:t>Priloge</w:t>
      </w:r>
      <w:r w:rsidRPr="00413F83">
        <w:rPr>
          <w:rFonts w:cs="Arial"/>
          <w:szCs w:val="20"/>
        </w:rPr>
        <w:t>:</w:t>
      </w:r>
    </w:p>
    <w:p w:rsidR="00EC4110" w:rsidRPr="00A2248C" w:rsidRDefault="00EC4110" w:rsidP="00A2248C">
      <w:pPr>
        <w:pStyle w:val="Odstavekseznama"/>
        <w:numPr>
          <w:ilvl w:val="0"/>
          <w:numId w:val="4"/>
        </w:numPr>
        <w:rPr>
          <w:rFonts w:cs="Arial"/>
        </w:rPr>
      </w:pPr>
      <w:r w:rsidRPr="004D1AA1">
        <w:rPr>
          <w:rFonts w:cs="Arial"/>
        </w:rPr>
        <w:t>Dokument  - Mnenje DTP (</w:t>
      </w:r>
      <w:r w:rsidR="00FD0CA9">
        <w:rPr>
          <w:rFonts w:ascii="Helv" w:hAnsi="Helv" w:cs="Helv"/>
        </w:rPr>
        <w:t>SM-MEŽLOM4S</w:t>
      </w:r>
      <w:r w:rsidRPr="00A2248C">
        <w:rPr>
          <w:rFonts w:cs="Arial"/>
        </w:rPr>
        <w:t>)</w:t>
      </w:r>
    </w:p>
    <w:p w:rsidR="00955A44" w:rsidRPr="00F801FC" w:rsidRDefault="00F801FC" w:rsidP="00F801FC">
      <w:pPr>
        <w:pStyle w:val="Odstavekseznama"/>
        <w:numPr>
          <w:ilvl w:val="0"/>
          <w:numId w:val="4"/>
        </w:numPr>
        <w:spacing w:line="260" w:lineRule="atLeast"/>
      </w:pPr>
      <w:r>
        <w:rPr>
          <w:rFonts w:eastAsia="Arial" w:cs="Arial"/>
        </w:rPr>
        <w:t>Priloge – Potrditev strokovnih mnenj Sveta Vlade RS za obnovo</w:t>
      </w:r>
    </w:p>
    <w:p w:rsidR="00F801FC" w:rsidRDefault="00F801FC" w:rsidP="00F801FC"/>
    <w:p w:rsidR="00F801FC" w:rsidRDefault="00F801FC" w:rsidP="00F801FC"/>
    <w:p w:rsidR="00EC4110" w:rsidRPr="006270A7" w:rsidRDefault="00EC4110" w:rsidP="00EC4110">
      <w:pPr>
        <w:ind w:right="480"/>
        <w:jc w:val="both"/>
        <w:rPr>
          <w:rFonts w:cs="Arial"/>
        </w:rPr>
      </w:pPr>
      <w:r>
        <w:rPr>
          <w:rFonts w:cs="Arial"/>
        </w:rPr>
        <w:t>Prejmejo</w:t>
      </w:r>
      <w:r w:rsidRPr="006270A7">
        <w:rPr>
          <w:rFonts w:cs="Arial"/>
        </w:rPr>
        <w:t>:</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naravne vire in prostor</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kmetijstvo, gozdarstvo in prehrano</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Služba Vlade RS za zakonodajo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Služba Vlade RS za obnovo po poplavah in plazovih</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Svet Vlade RS za obnovo</w:t>
      </w:r>
    </w:p>
    <w:p w:rsidR="00EC4110" w:rsidRPr="002B2739" w:rsidRDefault="00A2248C"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Občina Mežica</w:t>
      </w:r>
    </w:p>
    <w:p w:rsidR="00EC4110" w:rsidRDefault="00EC4110"/>
    <w:p w:rsidR="00EC4110" w:rsidRDefault="00EC4110"/>
    <w:p w:rsidR="00EC4110" w:rsidRDefault="00EC4110">
      <w:pPr>
        <w:spacing w:after="160" w:line="259" w:lineRule="auto"/>
      </w:pPr>
      <w:r>
        <w:br w:type="page"/>
      </w:r>
    </w:p>
    <w:p w:rsidR="00EC4110" w:rsidRDefault="00EC4110" w:rsidP="00EC4110">
      <w:pPr>
        <w:rPr>
          <w:b/>
        </w:rPr>
      </w:pPr>
      <w:r w:rsidRPr="00EC4110">
        <w:rPr>
          <w:b/>
        </w:rPr>
        <w:lastRenderedPageBreak/>
        <w:t>Obrazložitev:</w:t>
      </w:r>
    </w:p>
    <w:p w:rsidR="00911B6F" w:rsidRPr="00EC4110" w:rsidRDefault="00911B6F" w:rsidP="00EC4110">
      <w:pPr>
        <w:rPr>
          <w:b/>
        </w:rPr>
      </w:pPr>
    </w:p>
    <w:p w:rsidR="00911B6F" w:rsidRPr="00FD0CA9" w:rsidRDefault="00911B6F" w:rsidP="00911B6F">
      <w:pPr>
        <w:spacing w:after="120" w:line="276" w:lineRule="auto"/>
        <w:jc w:val="both"/>
        <w:rPr>
          <w:rFonts w:cs="Arial"/>
          <w:szCs w:val="20"/>
        </w:rPr>
      </w:pPr>
      <w:r>
        <w:t xml:space="preserve">Državna tehnična pisarna, ki skladno z 157. členom Zakona o interventnih ukrepih za odpravo posledic poplav in zemeljskih plazov (Uradni list RS, št. 95/23 in Uradni list RS z dne 1. 9. 2023) in Zakonom o spremembah in dopolnitvah Zakona o interventnih ukrepih za odpravo posledic poplav in zemeljskih plazov iz avgusta 2023 (Uradni list RS, št. 117/23 z dne 20. 11. 2023) (v nadaljevanju ZIUOPZP) </w:t>
      </w:r>
      <w:r w:rsidRPr="00FD0CA9">
        <w:rPr>
          <w:rFonts w:cs="Arial"/>
          <w:szCs w:val="20"/>
        </w:rPr>
        <w:t>deluje v sestavu Službe vlade za obnovo po poplavah in plazovih je skladno s 151.b členom podala strokovno mnenje za spodaj navedene objekte, za katere strokovno ocenjujejo,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911B6F" w:rsidRPr="00FD0CA9" w:rsidRDefault="00FD0CA9" w:rsidP="00FD0CA9">
      <w:pPr>
        <w:pStyle w:val="Odstavekseznama"/>
        <w:numPr>
          <w:ilvl w:val="0"/>
          <w:numId w:val="8"/>
        </w:numPr>
        <w:spacing w:after="120" w:line="276" w:lineRule="auto"/>
        <w:jc w:val="both"/>
        <w:rPr>
          <w:rFonts w:cs="Arial"/>
        </w:rPr>
      </w:pPr>
      <w:r w:rsidRPr="00FD0CA9">
        <w:rPr>
          <w:rFonts w:cs="Arial"/>
          <w:color w:val="000000" w:themeColor="text1"/>
        </w:rPr>
        <w:t xml:space="preserve">Lom 4, občina Mežica, </w:t>
      </w:r>
      <w:r w:rsidRPr="00FD0CA9">
        <w:rPr>
          <w:rFonts w:cs="Arial"/>
          <w:color w:val="000000"/>
        </w:rPr>
        <w:t xml:space="preserve">številka strokovnega mnenja </w:t>
      </w:r>
      <w:r w:rsidRPr="00FD0CA9">
        <w:rPr>
          <w:rFonts w:cs="Arial"/>
        </w:rPr>
        <w:t>SM-MEŽLOM4S.</w:t>
      </w:r>
    </w:p>
    <w:p w:rsidR="00FD0CA9" w:rsidRPr="00FD0CA9" w:rsidRDefault="00A2248C" w:rsidP="00FD0CA9">
      <w:pPr>
        <w:pStyle w:val="Default"/>
        <w:spacing w:line="276" w:lineRule="auto"/>
        <w:jc w:val="both"/>
        <w:rPr>
          <w:sz w:val="20"/>
          <w:szCs w:val="20"/>
        </w:rPr>
      </w:pPr>
      <w:r w:rsidRPr="00FD0CA9">
        <w:rPr>
          <w:sz w:val="20"/>
          <w:szCs w:val="20"/>
        </w:rPr>
        <w:t xml:space="preserve">Obravnavani objekt na naslovu </w:t>
      </w:r>
      <w:r w:rsidR="00FD0CA9" w:rsidRPr="00FD0CA9">
        <w:rPr>
          <w:b/>
          <w:sz w:val="20"/>
          <w:szCs w:val="20"/>
        </w:rPr>
        <w:t xml:space="preserve">Lom 4 </w:t>
      </w:r>
      <w:r w:rsidR="00FD0CA9" w:rsidRPr="00FD0CA9">
        <w:rPr>
          <w:sz w:val="20"/>
          <w:szCs w:val="20"/>
        </w:rPr>
        <w:t xml:space="preserve">se nahaja ob dveh strmih erozijskih grapah, po katerih se občasno po padavinskih dogodkih prožijo različno veliki drobinski tokovi, kar se je zgodilo med poplavnim dogodkom med 4. in 5. avgustom 2023. Gre za zelo obsežen in zahteven plaz, saj meri območje aktivnega plazu 6 ha. Njegova sanacija bo zahtevna in dolgotrajna. Težavo za objekte predstavlja morebitno </w:t>
      </w:r>
      <w:proofErr w:type="spellStart"/>
      <w:r w:rsidR="00FD0CA9" w:rsidRPr="00FD0CA9">
        <w:rPr>
          <w:sz w:val="20"/>
          <w:szCs w:val="20"/>
        </w:rPr>
        <w:t>splazenje</w:t>
      </w:r>
      <w:proofErr w:type="spellEnd"/>
      <w:r w:rsidR="00FD0CA9" w:rsidRPr="00FD0CA9">
        <w:rPr>
          <w:sz w:val="20"/>
          <w:szCs w:val="20"/>
        </w:rPr>
        <w:t xml:space="preserve"> večjega dela pobočja oziroma več zaporednih plazov. Takega scenarija ne moremo izključiti, sploh glede na povečane premike na celotnem območju plazu. V tem primeru je močno ogrožen tudi stanovanjski objekt Lom 4. Zaradi visoke erozijske in plazovne nevarnosti objekti na tej lokaciji niso varni. </w:t>
      </w:r>
    </w:p>
    <w:p w:rsidR="0017467A" w:rsidRDefault="0017467A" w:rsidP="000F12B0">
      <w:pPr>
        <w:autoSpaceDE w:val="0"/>
        <w:autoSpaceDN w:val="0"/>
        <w:adjustRightInd w:val="0"/>
        <w:spacing w:line="240" w:lineRule="auto"/>
      </w:pPr>
    </w:p>
    <w:p w:rsidR="0017467A" w:rsidRDefault="0017467A" w:rsidP="00911B6F">
      <w:pPr>
        <w:spacing w:after="120" w:line="276" w:lineRule="auto"/>
        <w:jc w:val="both"/>
      </w:pPr>
      <w:bookmarkStart w:id="0" w:name="_GoBack"/>
      <w:bookmarkEnd w:id="0"/>
    </w:p>
    <w:sectPr w:rsidR="0017467A"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FD0CA9">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FD0CA9"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FD0CA9"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830B2"/>
    <w:rsid w:val="000F12B0"/>
    <w:rsid w:val="0017467A"/>
    <w:rsid w:val="00206FDA"/>
    <w:rsid w:val="0021301A"/>
    <w:rsid w:val="002B2739"/>
    <w:rsid w:val="00911B6F"/>
    <w:rsid w:val="00955A44"/>
    <w:rsid w:val="00A2248C"/>
    <w:rsid w:val="00B72A87"/>
    <w:rsid w:val="00BE01FA"/>
    <w:rsid w:val="00DA5F33"/>
    <w:rsid w:val="00DA764C"/>
    <w:rsid w:val="00E216C4"/>
    <w:rsid w:val="00EA2D6C"/>
    <w:rsid w:val="00EC4110"/>
    <w:rsid w:val="00F07EF3"/>
    <w:rsid w:val="00F7365A"/>
    <w:rsid w:val="00F801FC"/>
    <w:rsid w:val="00F9792A"/>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4.xml><?xml version="1.0" encoding="utf-8"?>
<ds:datastoreItem xmlns:ds="http://schemas.openxmlformats.org/officeDocument/2006/customXml" ds:itemID="{5A62F1B5-1BA7-41EB-9082-901C300B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2292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6</cp:revision>
  <dcterms:created xsi:type="dcterms:W3CDTF">2024-03-05T12:13:00Z</dcterms:created>
  <dcterms:modified xsi:type="dcterms:W3CDTF">2024-03-26T09:44:00Z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