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B401FE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D17DE2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1ED0F90B" w:rsidR="008D76E4" w:rsidRPr="00D17DE2" w:rsidRDefault="00991533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50</w:t>
      </w:r>
      <w:r w:rsidR="00420FE6" w:rsidRPr="00D17DE2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D17DE2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D17DE2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4ED35DCE" w:rsidR="008D76E4" w:rsidRPr="00D17DE2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četrtek</w:t>
      </w:r>
      <w:r w:rsidR="00420FE6" w:rsidRPr="00D17DE2">
        <w:rPr>
          <w:rFonts w:eastAsia="Calibri" w:cs="Arial"/>
          <w:sz w:val="22"/>
          <w:szCs w:val="22"/>
          <w:lang w:val="sl-SI"/>
        </w:rPr>
        <w:t xml:space="preserve">, </w:t>
      </w:r>
      <w:r w:rsidR="00991533">
        <w:rPr>
          <w:rFonts w:eastAsia="Calibri" w:cs="Arial"/>
          <w:sz w:val="22"/>
          <w:szCs w:val="22"/>
          <w:lang w:val="sl-SI"/>
        </w:rPr>
        <w:t>3.4. 2025</w:t>
      </w:r>
    </w:p>
    <w:p w14:paraId="5A3CCD9A" w14:textId="77777777" w:rsidR="008D76E4" w:rsidRPr="00D17DE2" w:rsidRDefault="008D76E4" w:rsidP="00CD42C9">
      <w:pPr>
        <w:spacing w:after="120" w:line="23" w:lineRule="atLeast"/>
        <w:rPr>
          <w:rFonts w:eastAsia="Calibri" w:cs="Arial"/>
          <w:sz w:val="22"/>
          <w:szCs w:val="22"/>
          <w:lang w:val="sl-SI"/>
        </w:rPr>
      </w:pPr>
    </w:p>
    <w:p w14:paraId="519454DB" w14:textId="77777777" w:rsidR="00991533" w:rsidRDefault="00133F18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Tjaša Sobočan, dr. Denis Pavliha, mag. Mira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dr. Igor Švab, Anka Rode, dr. Grega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Gorazd Podbevšek, mag. Gregor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Hajdi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Janez Poklukar, mag. Ana Vodičar,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mag.Renata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</w:p>
    <w:p w14:paraId="42884354" w14:textId="008BCB54" w:rsidR="00991533" w:rsidRDefault="00991533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    dr. Radko Komadina,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Albreht, mag. Dorjan Marušič.</w:t>
      </w:r>
    </w:p>
    <w:p w14:paraId="7D6D778C" w14:textId="3747DC7F" w:rsidR="00133F18" w:rsidRDefault="00133F18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48DC4D03" w14:textId="77777777" w:rsidR="000713F6" w:rsidRPr="00D17DE2" w:rsidRDefault="000713F6" w:rsidP="000713F6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1E6C2C7F" w14:textId="7CB3B383" w:rsidR="008E5727" w:rsidRPr="00991533" w:rsidRDefault="00133F18" w:rsidP="0099153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AA3AE9">
        <w:rPr>
          <w:rFonts w:eastAsiaTheme="minorHAnsi" w:cs="Arial"/>
          <w:color w:val="000000"/>
          <w:sz w:val="22"/>
          <w:szCs w:val="22"/>
          <w:lang w:val="sl-SI"/>
        </w:rPr>
        <w:t>mag. Alan Medveš, Monika Ažman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dr. Petra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 Bonča, dr. Iztok Takač, mag. Egon Stopar, mag. Dolores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>, Tamara Kozlovič.</w:t>
      </w:r>
    </w:p>
    <w:p w14:paraId="36F3BA3C" w14:textId="77777777" w:rsidR="008E5727" w:rsidRPr="00D17DE2" w:rsidRDefault="008E5727" w:rsidP="00CD42C9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</w:p>
    <w:p w14:paraId="268B6278" w14:textId="77777777" w:rsidR="00991533" w:rsidRDefault="00133F18" w:rsidP="0099153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94494">
        <w:rPr>
          <w:rFonts w:eastAsiaTheme="minorHAnsi" w:cs="Arial"/>
          <w:sz w:val="22"/>
          <w:szCs w:val="22"/>
          <w:lang w:val="sl-SI"/>
        </w:rPr>
        <w:t>: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dr. Valentina Prevolnik Rupel, dr. Marko Ogorevc, dr. Rado Bohinc, Lili Kodrič, dr. Metka Paragi, Simona Pirnat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 xml:space="preserve">, Erik </w:t>
      </w:r>
      <w:proofErr w:type="spellStart"/>
      <w:r w:rsidR="00991533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991533">
        <w:rPr>
          <w:rFonts w:eastAsiaTheme="minorHAnsi" w:cs="Arial"/>
          <w:color w:val="000000"/>
          <w:sz w:val="22"/>
          <w:szCs w:val="22"/>
          <w:lang w:val="sl-SI"/>
        </w:rPr>
        <w:t>, Urška Štorman.</w:t>
      </w:r>
    </w:p>
    <w:p w14:paraId="00B4ECF7" w14:textId="518D7FBC" w:rsidR="00A53710" w:rsidRPr="00A53710" w:rsidRDefault="00A53710" w:rsidP="00991533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26F94569" w14:textId="77777777" w:rsidR="00914265" w:rsidRPr="00D17DE2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3C8D3BA7" w:rsidR="008D76E4" w:rsidRPr="00D17DE2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D17DE2">
        <w:rPr>
          <w:rFonts w:cs="Arial"/>
          <w:sz w:val="22"/>
          <w:szCs w:val="22"/>
          <w:lang w:val="sl-SI" w:eastAsia="ar-SA"/>
        </w:rPr>
        <w:t>Sejo Strateškega sveta za z</w:t>
      </w:r>
      <w:r w:rsidR="005670E7">
        <w:rPr>
          <w:rFonts w:cs="Arial"/>
          <w:sz w:val="22"/>
          <w:szCs w:val="22"/>
          <w:lang w:val="sl-SI" w:eastAsia="ar-SA"/>
        </w:rPr>
        <w:t>dravstvo, ki se je pričela ob 16</w:t>
      </w:r>
      <w:r w:rsidRPr="00D17DE2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D17DE2">
        <w:rPr>
          <w:rFonts w:cs="Arial"/>
          <w:sz w:val="22"/>
          <w:szCs w:val="22"/>
          <w:lang w:val="sl-SI" w:eastAsia="ar-SA"/>
        </w:rPr>
        <w:t>S</w:t>
      </w:r>
      <w:r w:rsidRPr="00D17DE2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D17DE2">
        <w:rPr>
          <w:rFonts w:cs="Arial"/>
          <w:sz w:val="22"/>
          <w:szCs w:val="22"/>
          <w:lang w:val="sl-SI" w:eastAsia="ar-SA"/>
        </w:rPr>
        <w:t xml:space="preserve">za zdravstvo </w:t>
      </w:r>
      <w:r w:rsidRPr="00D17DE2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D17DE2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6AC952C" w14:textId="563285D5" w:rsidR="00E4596A" w:rsidRPr="00D17DE2" w:rsidRDefault="00E331BC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Dnevni red:</w:t>
      </w:r>
    </w:p>
    <w:p w14:paraId="55E3B49D" w14:textId="77777777" w:rsidR="00E4596A" w:rsidRPr="00D17DE2" w:rsidRDefault="00E4596A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75805CEB" w14:textId="612D4E71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1.  </w:t>
      </w:r>
      <w:r w:rsidR="00CB16D2">
        <w:rPr>
          <w:rFonts w:eastAsiaTheme="minorHAnsi" w:cs="Arial"/>
          <w:color w:val="000000"/>
          <w:sz w:val="22"/>
          <w:szCs w:val="22"/>
          <w:lang w:val="sl-SI"/>
        </w:rPr>
        <w:t xml:space="preserve">      Potrditev dnevnega reda 50</w:t>
      </w:r>
      <w:r w:rsidR="00BD0556">
        <w:rPr>
          <w:rFonts w:eastAsiaTheme="minorHAnsi" w:cs="Arial"/>
          <w:color w:val="000000"/>
          <w:sz w:val="22"/>
          <w:szCs w:val="22"/>
          <w:lang w:val="sl-SI"/>
        </w:rPr>
        <w:t>.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seje SSZ.</w:t>
      </w:r>
    </w:p>
    <w:p w14:paraId="161DD0E9" w14:textId="37AFFDD0" w:rsidR="00A024C1" w:rsidRPr="00D17DE2" w:rsidRDefault="00CB16D2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2.        Potrditev zapisnika 49.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seje SSZ.</w:t>
      </w:r>
    </w:p>
    <w:p w14:paraId="3B72F6F4" w14:textId="1E679B61" w:rsidR="00AB231B" w:rsidRDefault="00A024C1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3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</w:t>
      </w:r>
      <w:r w:rsidR="00CB16D2">
        <w:rPr>
          <w:rFonts w:eastAsiaTheme="minorHAnsi" w:cs="Arial"/>
          <w:color w:val="000000"/>
          <w:sz w:val="22"/>
          <w:szCs w:val="22"/>
          <w:lang w:val="sl-SI"/>
        </w:rPr>
        <w:t>Regionalizacija</w:t>
      </w:r>
      <w:r w:rsidR="00E1200D">
        <w:rPr>
          <w:rFonts w:eastAsiaTheme="minorHAnsi" w:cs="Arial"/>
          <w:color w:val="000000"/>
          <w:sz w:val="22"/>
          <w:szCs w:val="22"/>
          <w:lang w:val="sl-SI"/>
        </w:rPr>
        <w:t xml:space="preserve"> slovenskega zdravstva (Janez Poklukar, Gorazd </w:t>
      </w:r>
      <w:r w:rsidR="001F00A3">
        <w:rPr>
          <w:rFonts w:eastAsiaTheme="minorHAnsi" w:cs="Arial"/>
          <w:color w:val="000000"/>
          <w:sz w:val="22"/>
          <w:szCs w:val="22"/>
          <w:lang w:val="sl-SI"/>
        </w:rPr>
        <w:t>Podbevšek</w:t>
      </w:r>
      <w:r w:rsidR="00E1200D">
        <w:rPr>
          <w:rFonts w:eastAsiaTheme="minorHAnsi" w:cs="Arial"/>
          <w:color w:val="000000"/>
          <w:sz w:val="22"/>
          <w:szCs w:val="22"/>
          <w:lang w:val="sl-SI"/>
        </w:rPr>
        <w:t>)</w:t>
      </w:r>
    </w:p>
    <w:p w14:paraId="07C08A25" w14:textId="5C14637B" w:rsidR="00CB16D2" w:rsidRPr="00D17DE2" w:rsidRDefault="00A55025" w:rsidP="00A024C1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4.        Čakalne dobe (dr. M</w:t>
      </w:r>
      <w:r w:rsidR="00CB16D2">
        <w:rPr>
          <w:rFonts w:eastAsiaTheme="minorHAnsi" w:cs="Arial"/>
          <w:color w:val="000000"/>
          <w:sz w:val="22"/>
          <w:szCs w:val="22"/>
          <w:lang w:val="sl-SI"/>
        </w:rPr>
        <w:t>arko Ogorevc)</w:t>
      </w:r>
    </w:p>
    <w:p w14:paraId="518663C5" w14:textId="0F96ADD4" w:rsidR="001C6B0D" w:rsidRPr="00D17DE2" w:rsidRDefault="009F31B4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5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Predlogi za naslednjo sejo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2BAE5129" w14:textId="216EC856" w:rsidR="001C6B0D" w:rsidRPr="00D17DE2" w:rsidRDefault="009F31B4" w:rsidP="001C6B0D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6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Razno.</w:t>
      </w:r>
    </w:p>
    <w:p w14:paraId="09558671" w14:textId="77777777" w:rsidR="00973BE5" w:rsidRPr="00D17DE2" w:rsidRDefault="00973BE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3EE076A" w14:textId="77777777" w:rsidR="00BC7445" w:rsidRPr="00D17DE2" w:rsidRDefault="00BC7445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AD/1</w:t>
      </w:r>
    </w:p>
    <w:p w14:paraId="7D9F2AF2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dnevni red.</w:t>
      </w:r>
    </w:p>
    <w:p w14:paraId="5E3F8404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6A4B5C" w14:textId="23CBAF3C" w:rsidR="00BC7445" w:rsidRPr="00D17DE2" w:rsidRDefault="00BC7445" w:rsidP="00D17DE2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1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predlagani dnevni red. </w:t>
      </w:r>
    </w:p>
    <w:p w14:paraId="6EAE1CEF" w14:textId="77777777" w:rsidR="00C811BF" w:rsidRDefault="00C811BF" w:rsidP="000D42DB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B36815D" w14:textId="77777777" w:rsidR="000D42DB" w:rsidRDefault="000D42DB" w:rsidP="000D42DB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2898EC3F" w14:textId="77777777" w:rsidR="00C811BF" w:rsidRPr="00D17DE2" w:rsidRDefault="00C811BF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EE3D06E" w14:textId="77777777" w:rsidR="007812E8" w:rsidRPr="00D17DE2" w:rsidRDefault="007812E8" w:rsidP="007812E8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AD/2</w:t>
      </w:r>
    </w:p>
    <w:p w14:paraId="04C0044D" w14:textId="37B179A9" w:rsidR="007812E8" w:rsidRPr="00D17DE2" w:rsidRDefault="007812E8" w:rsidP="007812E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</w:t>
      </w:r>
      <w:r w:rsidR="00D836C9">
        <w:rPr>
          <w:rFonts w:eastAsia="Calibri" w:cs="Arial"/>
          <w:sz w:val="22"/>
          <w:szCs w:val="22"/>
          <w:lang w:val="sl-SI"/>
        </w:rPr>
        <w:t xml:space="preserve"> je soglasno potrdil zapisnik 49</w:t>
      </w:r>
      <w:r w:rsidRPr="00D17DE2">
        <w:rPr>
          <w:rFonts w:eastAsia="Calibri" w:cs="Arial"/>
          <w:sz w:val="22"/>
          <w:szCs w:val="22"/>
          <w:lang w:val="sl-SI"/>
        </w:rPr>
        <w:t>. seje SSZ.</w:t>
      </w:r>
      <w:r w:rsidRPr="00D17DE2">
        <w:rPr>
          <w:rFonts w:eastAsia="Calibri" w:cs="Arial"/>
          <w:b/>
          <w:sz w:val="22"/>
          <w:szCs w:val="22"/>
          <w:lang w:val="sl-SI"/>
        </w:rPr>
        <w:br/>
      </w:r>
    </w:p>
    <w:p w14:paraId="5571A6A8" w14:textId="4B6E0B0A" w:rsidR="007812E8" w:rsidRPr="00D17DE2" w:rsidRDefault="007812E8" w:rsidP="007812E8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2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</w:t>
      </w:r>
      <w:r w:rsidR="001F00A3">
        <w:rPr>
          <w:rFonts w:eastAsia="Calibri" w:cs="Arial"/>
          <w:bCs/>
          <w:sz w:val="22"/>
          <w:szCs w:val="22"/>
          <w:lang w:val="sl-SI"/>
        </w:rPr>
        <w:t>zapisnik 48</w:t>
      </w:r>
      <w:r w:rsidRPr="00D17DE2">
        <w:rPr>
          <w:rFonts w:eastAsia="Calibri" w:cs="Arial"/>
          <w:bCs/>
          <w:sz w:val="22"/>
          <w:szCs w:val="22"/>
          <w:lang w:val="sl-SI"/>
        </w:rPr>
        <w:t>. seje SSZ.</w:t>
      </w:r>
    </w:p>
    <w:p w14:paraId="6A2B0169" w14:textId="77777777" w:rsidR="00CA185D" w:rsidRPr="00D17DE2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47DA0A2" w14:textId="76032DAA" w:rsidR="00BC7445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A60728">
        <w:rPr>
          <w:rFonts w:eastAsia="Calibri" w:cs="Arial"/>
          <w:b/>
          <w:sz w:val="22"/>
          <w:szCs w:val="22"/>
          <w:lang w:val="sl-SI"/>
        </w:rPr>
        <w:t xml:space="preserve"> </w:t>
      </w:r>
    </w:p>
    <w:p w14:paraId="41E842BE" w14:textId="1FCFE901" w:rsidR="00202064" w:rsidRDefault="00BB1273" w:rsidP="00C811BF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Janez Poklu</w:t>
      </w:r>
      <w:r w:rsidR="00942C89">
        <w:rPr>
          <w:rFonts w:eastAsiaTheme="minorHAnsi" w:cs="Arial"/>
          <w:color w:val="000000"/>
          <w:sz w:val="22"/>
          <w:szCs w:val="22"/>
          <w:lang w:val="sl-SI"/>
        </w:rPr>
        <w:t xml:space="preserve">kar je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predstavil </w:t>
      </w:r>
      <w:r w:rsidR="00942C89">
        <w:rPr>
          <w:rFonts w:eastAsiaTheme="minorHAnsi" w:cs="Arial"/>
          <w:color w:val="000000"/>
          <w:sz w:val="22"/>
          <w:szCs w:val="22"/>
          <w:lang w:val="sl-SI"/>
        </w:rPr>
        <w:t xml:space="preserve">razširjen 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>predlog regionalizacije slovenskega zdravstva na podlagi analize delovanja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osnovnega zdravstva Gorenjske, ki bi lahko predstavljal izhodišča za Zakon o vodenju in upravljanju zdravstvenih zavodov ter regionalizaciji slovenskega zdravstva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>. Člani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SSZ so 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>podajali mnenja in pripombe</w:t>
      </w:r>
      <w:r w:rsidR="00245162">
        <w:rPr>
          <w:rFonts w:eastAsiaTheme="minorHAnsi" w:cs="Arial"/>
          <w:color w:val="000000"/>
          <w:sz w:val="22"/>
          <w:szCs w:val="22"/>
          <w:lang w:val="sl-SI"/>
        </w:rPr>
        <w:t xml:space="preserve"> ter dodatne </w:t>
      </w:r>
      <w:r w:rsidR="00942C89">
        <w:rPr>
          <w:rFonts w:eastAsiaTheme="minorHAnsi" w:cs="Arial"/>
          <w:color w:val="000000"/>
          <w:sz w:val="22"/>
          <w:szCs w:val="22"/>
          <w:lang w:val="sl-SI"/>
        </w:rPr>
        <w:t xml:space="preserve">nove </w:t>
      </w:r>
      <w:r w:rsidR="00245162">
        <w:rPr>
          <w:rFonts w:eastAsiaTheme="minorHAnsi" w:cs="Arial"/>
          <w:color w:val="000000"/>
          <w:sz w:val="22"/>
          <w:szCs w:val="22"/>
          <w:lang w:val="sl-SI"/>
        </w:rPr>
        <w:t>predloge</w:t>
      </w:r>
      <w:r w:rsidR="000E4D29">
        <w:rPr>
          <w:rFonts w:eastAsiaTheme="minorHAnsi" w:cs="Arial"/>
          <w:color w:val="000000"/>
          <w:sz w:val="22"/>
          <w:szCs w:val="22"/>
          <w:lang w:val="sl-SI"/>
        </w:rPr>
        <w:t xml:space="preserve">. </w:t>
      </w:r>
    </w:p>
    <w:p w14:paraId="5C265B59" w14:textId="77777777" w:rsidR="00AD7FD9" w:rsidRPr="00D17DE2" w:rsidRDefault="00AD7FD9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D66AE3" w14:textId="4A24B761" w:rsidR="001608D7" w:rsidRPr="00D17DE2" w:rsidRDefault="00BC7445" w:rsidP="00BC7445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3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</w:p>
    <w:p w14:paraId="25088944" w14:textId="062A9EC3" w:rsidR="00942C89" w:rsidRDefault="00151979" w:rsidP="00151979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 w:rsidRPr="00151979">
        <w:rPr>
          <w:rFonts w:cs="Arial"/>
          <w:sz w:val="22"/>
          <w:szCs w:val="22"/>
          <w:lang w:val="sl-SI" w:eastAsia="sl-SI"/>
        </w:rPr>
        <w:t xml:space="preserve">Podskupina za upravljanje </w:t>
      </w:r>
      <w:r w:rsidR="00942C89">
        <w:rPr>
          <w:rFonts w:cs="Arial"/>
          <w:sz w:val="22"/>
          <w:szCs w:val="22"/>
          <w:lang w:val="sl-SI" w:eastAsia="sl-SI"/>
        </w:rPr>
        <w:t xml:space="preserve">bo glede na nove predloge </w:t>
      </w:r>
      <w:r w:rsidRPr="00151979">
        <w:rPr>
          <w:rFonts w:cs="Arial"/>
          <w:sz w:val="22"/>
          <w:szCs w:val="22"/>
          <w:lang w:val="sl-SI" w:eastAsia="sl-SI"/>
        </w:rPr>
        <w:t>Strateškega sveta za zdravstvo</w:t>
      </w:r>
      <w:r w:rsidR="00942C89">
        <w:rPr>
          <w:rFonts w:cs="Arial"/>
          <w:sz w:val="22"/>
          <w:szCs w:val="22"/>
          <w:lang w:val="sl-SI" w:eastAsia="sl-SI"/>
        </w:rPr>
        <w:t xml:space="preserve"> pripravila novo dopolnjeno verzijo predloga.</w:t>
      </w:r>
    </w:p>
    <w:p w14:paraId="6D7F229F" w14:textId="77777777" w:rsidR="00031D29" w:rsidRDefault="00031D29" w:rsidP="00787EF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41600E7F" w14:textId="77777777" w:rsidR="00031D29" w:rsidRDefault="00031D29" w:rsidP="00787EFD">
      <w:pPr>
        <w:suppressAutoHyphens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2C1958B0" w14:textId="086A7E41" w:rsidR="00942C89" w:rsidRDefault="00BC7445" w:rsidP="009F31B4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AD/4</w:t>
      </w:r>
    </w:p>
    <w:p w14:paraId="636C141A" w14:textId="40ED6DB3" w:rsidR="00942C89" w:rsidRPr="00265742" w:rsidRDefault="00265742" w:rsidP="00942C8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265742">
        <w:rPr>
          <w:rFonts w:eastAsia="Calibri" w:cs="Arial"/>
          <w:sz w:val="22"/>
          <w:szCs w:val="22"/>
          <w:lang w:val="sl-SI"/>
        </w:rPr>
        <w:t>Marko Ogorevc iz MZ je pr</w:t>
      </w:r>
      <w:r>
        <w:rPr>
          <w:rFonts w:eastAsia="Calibri" w:cs="Arial"/>
          <w:sz w:val="22"/>
          <w:szCs w:val="22"/>
          <w:lang w:val="sl-SI"/>
        </w:rPr>
        <w:t>edstavil problem čakalnih vrst iz vidika razpoložljivih podatkov NIJZ</w:t>
      </w:r>
      <w:r w:rsidR="00AA3AE9">
        <w:rPr>
          <w:rFonts w:eastAsia="Calibri" w:cs="Arial"/>
          <w:sz w:val="22"/>
          <w:szCs w:val="22"/>
          <w:lang w:val="sl-SI"/>
        </w:rPr>
        <w:t>.</w:t>
      </w:r>
    </w:p>
    <w:p w14:paraId="640EF4C5" w14:textId="77777777" w:rsidR="003F6D35" w:rsidRPr="00D17DE2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68B88444" w14:textId="77777777" w:rsidR="00F0346C" w:rsidRDefault="00BC7445" w:rsidP="00222C8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4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</w:p>
    <w:p w14:paraId="7CAD4D74" w14:textId="5233DABD" w:rsidR="00222C83" w:rsidRDefault="00F37A94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0346C">
        <w:rPr>
          <w:rFonts w:eastAsia="Calibri" w:cs="Arial"/>
          <w:sz w:val="22"/>
          <w:szCs w:val="22"/>
          <w:lang w:val="sl-SI"/>
        </w:rPr>
        <w:t xml:space="preserve">MZ in NIJZ nadaljujeta z analizo posameznih vzorčnih primerov (npr. prvi kardiološki pregledi). </w:t>
      </w:r>
    </w:p>
    <w:p w14:paraId="1A0A6F1D" w14:textId="5B499F09" w:rsidR="00F0346C" w:rsidRDefault="00F0346C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NIJZ objavi po novi metodologiji tudi za nazaj (leto 2024) nedopustno čakajoče za prve preglede iz dejavnosti 48. člena.</w:t>
      </w:r>
    </w:p>
    <w:p w14:paraId="5F61A4B1" w14:textId="5130D817" w:rsidR="00DD4676" w:rsidRDefault="00DD4676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NIJZ začne objavljati poleg predvidene tudi realizirano čakalno dobo</w:t>
      </w:r>
      <w:r w:rsidR="007D4D29">
        <w:rPr>
          <w:rFonts w:eastAsia="Calibri" w:cs="Arial"/>
          <w:sz w:val="22"/>
          <w:szCs w:val="22"/>
          <w:lang w:val="sl-SI"/>
        </w:rPr>
        <w:t>,</w:t>
      </w:r>
      <w:r>
        <w:rPr>
          <w:rFonts w:eastAsia="Calibri" w:cs="Arial"/>
          <w:sz w:val="22"/>
          <w:szCs w:val="22"/>
          <w:lang w:val="sl-SI"/>
        </w:rPr>
        <w:t xml:space="preserve"> kot je realizirana v zakonu.</w:t>
      </w:r>
    </w:p>
    <w:p w14:paraId="2934619D" w14:textId="1F8FE0A6" w:rsidR="00623D02" w:rsidRDefault="00623D02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MZ </w:t>
      </w:r>
      <w:r w:rsidR="00AA3AE9">
        <w:rPr>
          <w:rFonts w:eastAsia="Calibri" w:cs="Arial"/>
          <w:sz w:val="22"/>
          <w:szCs w:val="22"/>
          <w:lang w:val="sl-SI"/>
        </w:rPr>
        <w:t xml:space="preserve">opravi analizo sistema </w:t>
      </w:r>
      <w:r w:rsidR="001D5173">
        <w:rPr>
          <w:rFonts w:eastAsia="Calibri" w:cs="Arial"/>
          <w:sz w:val="22"/>
          <w:szCs w:val="22"/>
          <w:lang w:val="sl-SI"/>
        </w:rPr>
        <w:t>določanja predvidenega termina.</w:t>
      </w:r>
    </w:p>
    <w:p w14:paraId="7CDE01C1" w14:textId="1E831EB1" w:rsidR="001D5173" w:rsidRDefault="001D5173" w:rsidP="00F0346C">
      <w:pPr>
        <w:pStyle w:val="Odstavekseznama"/>
        <w:numPr>
          <w:ilvl w:val="0"/>
          <w:numId w:val="10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Čakalne vrste bo SSZ ponovno obravnaval.</w:t>
      </w:r>
    </w:p>
    <w:p w14:paraId="047726B2" w14:textId="77777777" w:rsidR="009F31B4" w:rsidRDefault="009F31B4" w:rsidP="009F31B4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39DA57E3" w14:textId="787A2E78" w:rsidR="009F31B4" w:rsidRPr="009F31B4" w:rsidRDefault="009F31B4" w:rsidP="009F31B4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0084A495" w14:textId="755D8844" w:rsidR="009F31B4" w:rsidRPr="00D17DE2" w:rsidRDefault="009F31B4" w:rsidP="009F31B4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5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>
        <w:rPr>
          <w:rFonts w:eastAsia="Calibri" w:cs="Arial"/>
          <w:sz w:val="22"/>
          <w:szCs w:val="22"/>
          <w:lang w:val="sl-SI"/>
        </w:rPr>
        <w:t>Predlog za naslednjo sejo bo po dogovoru z deležniki javil dr. Erik Brecelj.</w:t>
      </w:r>
    </w:p>
    <w:p w14:paraId="0255ADE7" w14:textId="77777777" w:rsidR="009F31B4" w:rsidRDefault="009F31B4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1E6BF66A" w14:textId="7F9F5EF6" w:rsidR="00FA74B3" w:rsidRPr="00D17DE2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 w:rsidRPr="00D17DE2">
        <w:rPr>
          <w:rFonts w:eastAsia="Calibri" w:cs="Arial"/>
          <w:sz w:val="22"/>
          <w:szCs w:val="22"/>
          <w:lang w:val="sl-SI"/>
        </w:rPr>
        <w:t>19</w:t>
      </w:r>
      <w:r w:rsidR="00897C5B" w:rsidRPr="00D17DE2">
        <w:rPr>
          <w:rFonts w:eastAsia="Calibri" w:cs="Arial"/>
          <w:sz w:val="22"/>
          <w:szCs w:val="22"/>
          <w:lang w:val="sl-SI"/>
        </w:rPr>
        <w:t>.</w:t>
      </w:r>
      <w:r w:rsidR="00CB16D2">
        <w:rPr>
          <w:rFonts w:eastAsia="Calibri" w:cs="Arial"/>
          <w:sz w:val="22"/>
          <w:szCs w:val="22"/>
          <w:lang w:val="sl-SI"/>
        </w:rPr>
        <w:t>00</w:t>
      </w:r>
      <w:r w:rsidRPr="00D17DE2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Pr="00D17DE2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F1BA2CA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0240F09C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05B4041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2A379B89" w14:textId="77777777" w:rsidR="00AA7065" w:rsidRDefault="00AA7065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32568E71" w14:textId="77777777" w:rsidR="00AA7065" w:rsidRDefault="00AA7065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4956BD4B" w:rsidR="00FA74B3" w:rsidRPr="00D17DE2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Zapisal</w:t>
      </w:r>
      <w:r w:rsidR="00413081" w:rsidRPr="00D17DE2">
        <w:rPr>
          <w:rFonts w:eastAsia="Calibri" w:cs="Arial"/>
          <w:sz w:val="22"/>
          <w:szCs w:val="22"/>
          <w:lang w:val="sl-SI"/>
        </w:rPr>
        <w:t>a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222C83">
        <w:rPr>
          <w:rFonts w:eastAsia="Calibri" w:cs="Arial"/>
          <w:sz w:val="22"/>
          <w:szCs w:val="22"/>
          <w:lang w:val="sl-SI"/>
        </w:rPr>
        <w:t xml:space="preserve">dr. </w:t>
      </w:r>
      <w:r w:rsidR="00742275">
        <w:rPr>
          <w:rFonts w:eastAsia="Calibri" w:cs="Arial"/>
          <w:sz w:val="22"/>
          <w:szCs w:val="22"/>
          <w:lang w:val="sl-SI"/>
        </w:rPr>
        <w:t>Metka</w:t>
      </w:r>
      <w:r w:rsidR="00222C83">
        <w:rPr>
          <w:rFonts w:eastAsia="Calibri" w:cs="Arial"/>
          <w:sz w:val="22"/>
          <w:szCs w:val="22"/>
          <w:lang w:val="sl-SI"/>
        </w:rPr>
        <w:t xml:space="preserve"> Paragi</w:t>
      </w:r>
      <w:r w:rsidR="0030360C" w:rsidRPr="00D17DE2">
        <w:rPr>
          <w:rFonts w:eastAsia="Calibri" w:cs="Arial"/>
          <w:sz w:val="22"/>
          <w:szCs w:val="22"/>
          <w:lang w:val="sl-SI"/>
        </w:rPr>
        <w:t xml:space="preserve"> </w:t>
      </w:r>
    </w:p>
    <w:p w14:paraId="56E7765C" w14:textId="0419B1D0" w:rsidR="0030360C" w:rsidRPr="00D17DE2" w:rsidRDefault="0030360C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Kabinet predsednika vlade</w:t>
      </w:r>
      <w:r w:rsidR="000F5E9A" w:rsidRPr="00D17DE2">
        <w:rPr>
          <w:rFonts w:eastAsia="Calibri" w:cs="Arial"/>
          <w:sz w:val="22"/>
          <w:szCs w:val="22"/>
          <w:lang w:val="sl-SI"/>
        </w:rPr>
        <w:t>,</w:t>
      </w:r>
    </w:p>
    <w:p w14:paraId="0EA0C742" w14:textId="138731F7" w:rsidR="00D73140" w:rsidRPr="00D17DE2" w:rsidRDefault="00D8791B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Sekretari</w:t>
      </w:r>
      <w:r w:rsidR="000F5E9A" w:rsidRPr="00D17DE2">
        <w:rPr>
          <w:rFonts w:eastAsia="Calibri" w:cs="Arial"/>
          <w:sz w:val="22"/>
          <w:szCs w:val="22"/>
          <w:lang w:val="sl-SI"/>
        </w:rPr>
        <w:t>at Strateškega sveta za zdravstvo</w:t>
      </w:r>
    </w:p>
    <w:p w14:paraId="4A00C1FF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1A1F2E14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393771F5" w14:textId="77777777" w:rsidR="007760F7" w:rsidRDefault="007760F7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5D5D06" w:rsidR="004517EB" w:rsidRPr="00D17DE2" w:rsidRDefault="003D5959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D17DE2">
        <w:rPr>
          <w:rFonts w:eastAsia="Calibri" w:cs="Arial"/>
          <w:sz w:val="22"/>
          <w:szCs w:val="22"/>
          <w:lang w:val="sl-SI"/>
        </w:rPr>
        <w:t xml:space="preserve">egledal: </w:t>
      </w:r>
    </w:p>
    <w:p w14:paraId="066BB158" w14:textId="099C4576" w:rsidR="008D76E4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d</w:t>
      </w:r>
      <w:r w:rsidR="00420FE6" w:rsidRPr="00D17DE2">
        <w:rPr>
          <w:rFonts w:eastAsia="Calibri" w:cs="Arial"/>
          <w:sz w:val="22"/>
          <w:szCs w:val="22"/>
          <w:lang w:val="sl-SI"/>
        </w:rPr>
        <w:t>r. Erik Brecelj</w:t>
      </w:r>
    </w:p>
    <w:p w14:paraId="24E1FCEA" w14:textId="3B181884" w:rsidR="00152106" w:rsidRPr="00D17DE2" w:rsidRDefault="003D5959" w:rsidP="0016302C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Predsednik strateškega sveta za zdravstvo</w:t>
      </w:r>
      <w:bookmarkStart w:id="0" w:name="_GoBack"/>
      <w:bookmarkEnd w:id="0"/>
    </w:p>
    <w:sectPr w:rsidR="00152106" w:rsidRPr="00D17DE2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0D7E"/>
    <w:multiLevelType w:val="hybridMultilevel"/>
    <w:tmpl w:val="EEDC14BC"/>
    <w:lvl w:ilvl="0" w:tplc="7D2EC98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16C2"/>
    <w:rsid w:val="00031D29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13F6"/>
    <w:rsid w:val="0007270C"/>
    <w:rsid w:val="00072F81"/>
    <w:rsid w:val="00075C3D"/>
    <w:rsid w:val="00081180"/>
    <w:rsid w:val="00085368"/>
    <w:rsid w:val="0008725A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2DB"/>
    <w:rsid w:val="000D49D8"/>
    <w:rsid w:val="000D5E15"/>
    <w:rsid w:val="000E4D29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1979"/>
    <w:rsid w:val="00152106"/>
    <w:rsid w:val="001551FD"/>
    <w:rsid w:val="0015683E"/>
    <w:rsid w:val="001608D7"/>
    <w:rsid w:val="0016302C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173"/>
    <w:rsid w:val="001D5900"/>
    <w:rsid w:val="001D65B0"/>
    <w:rsid w:val="001E2A02"/>
    <w:rsid w:val="001E31AF"/>
    <w:rsid w:val="001E7601"/>
    <w:rsid w:val="001E772E"/>
    <w:rsid w:val="001E774E"/>
    <w:rsid w:val="001F00A3"/>
    <w:rsid w:val="001F08C9"/>
    <w:rsid w:val="001F22E4"/>
    <w:rsid w:val="001F43B6"/>
    <w:rsid w:val="00202064"/>
    <w:rsid w:val="0020276B"/>
    <w:rsid w:val="00205771"/>
    <w:rsid w:val="00206BC4"/>
    <w:rsid w:val="00220FF1"/>
    <w:rsid w:val="00222C83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5162"/>
    <w:rsid w:val="002479B2"/>
    <w:rsid w:val="00251CEF"/>
    <w:rsid w:val="002577A6"/>
    <w:rsid w:val="00261FBF"/>
    <w:rsid w:val="002638BA"/>
    <w:rsid w:val="00265332"/>
    <w:rsid w:val="0026574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3033B4"/>
    <w:rsid w:val="0030360C"/>
    <w:rsid w:val="0030733E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A1896"/>
    <w:rsid w:val="003A43B2"/>
    <w:rsid w:val="003B6AF0"/>
    <w:rsid w:val="003D078E"/>
    <w:rsid w:val="003D1864"/>
    <w:rsid w:val="003D208B"/>
    <w:rsid w:val="003D5959"/>
    <w:rsid w:val="003D769E"/>
    <w:rsid w:val="003E30D5"/>
    <w:rsid w:val="003E440F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658E9"/>
    <w:rsid w:val="00470F2F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17F79"/>
    <w:rsid w:val="00523776"/>
    <w:rsid w:val="00526FE8"/>
    <w:rsid w:val="00535A5B"/>
    <w:rsid w:val="00541CAC"/>
    <w:rsid w:val="00547D12"/>
    <w:rsid w:val="00551B30"/>
    <w:rsid w:val="00554CB1"/>
    <w:rsid w:val="00557485"/>
    <w:rsid w:val="005670E7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14D2"/>
    <w:rsid w:val="00603E4D"/>
    <w:rsid w:val="00622886"/>
    <w:rsid w:val="006236E1"/>
    <w:rsid w:val="00623D02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A2BCC"/>
    <w:rsid w:val="006B44EC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1228"/>
    <w:rsid w:val="00702DD4"/>
    <w:rsid w:val="00703129"/>
    <w:rsid w:val="007058EC"/>
    <w:rsid w:val="00710198"/>
    <w:rsid w:val="007113EF"/>
    <w:rsid w:val="007166AE"/>
    <w:rsid w:val="00716A5A"/>
    <w:rsid w:val="00723EDE"/>
    <w:rsid w:val="00742275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760F7"/>
    <w:rsid w:val="007812E8"/>
    <w:rsid w:val="00781E59"/>
    <w:rsid w:val="00783FDC"/>
    <w:rsid w:val="00787CD6"/>
    <w:rsid w:val="00787EFD"/>
    <w:rsid w:val="007927D5"/>
    <w:rsid w:val="007C01D4"/>
    <w:rsid w:val="007C08DD"/>
    <w:rsid w:val="007D24E7"/>
    <w:rsid w:val="007D2CD4"/>
    <w:rsid w:val="007D4D29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03B1"/>
    <w:rsid w:val="00874335"/>
    <w:rsid w:val="008746CB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E5727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2C89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91533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9F31B4"/>
    <w:rsid w:val="00A024C1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40513"/>
    <w:rsid w:val="00A4184F"/>
    <w:rsid w:val="00A45118"/>
    <w:rsid w:val="00A4520C"/>
    <w:rsid w:val="00A46BDB"/>
    <w:rsid w:val="00A46CC4"/>
    <w:rsid w:val="00A46D7B"/>
    <w:rsid w:val="00A47883"/>
    <w:rsid w:val="00A53710"/>
    <w:rsid w:val="00A54D80"/>
    <w:rsid w:val="00A55025"/>
    <w:rsid w:val="00A60728"/>
    <w:rsid w:val="00A65FF8"/>
    <w:rsid w:val="00A74D29"/>
    <w:rsid w:val="00A75DE8"/>
    <w:rsid w:val="00A76534"/>
    <w:rsid w:val="00A8023A"/>
    <w:rsid w:val="00AA0CBF"/>
    <w:rsid w:val="00AA3AE9"/>
    <w:rsid w:val="00AA6935"/>
    <w:rsid w:val="00AA7065"/>
    <w:rsid w:val="00AB231B"/>
    <w:rsid w:val="00AB425B"/>
    <w:rsid w:val="00AB6C58"/>
    <w:rsid w:val="00AC4BEA"/>
    <w:rsid w:val="00AD3E50"/>
    <w:rsid w:val="00AD4805"/>
    <w:rsid w:val="00AD7FD9"/>
    <w:rsid w:val="00AE1BF4"/>
    <w:rsid w:val="00AE37E5"/>
    <w:rsid w:val="00AE7B90"/>
    <w:rsid w:val="00AF577C"/>
    <w:rsid w:val="00B035EF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BC5"/>
    <w:rsid w:val="00B81D57"/>
    <w:rsid w:val="00B85FBE"/>
    <w:rsid w:val="00B935C9"/>
    <w:rsid w:val="00BA41EB"/>
    <w:rsid w:val="00BA5F87"/>
    <w:rsid w:val="00BB0C05"/>
    <w:rsid w:val="00BB1273"/>
    <w:rsid w:val="00BB2FED"/>
    <w:rsid w:val="00BB7358"/>
    <w:rsid w:val="00BB785D"/>
    <w:rsid w:val="00BC00BC"/>
    <w:rsid w:val="00BC2171"/>
    <w:rsid w:val="00BC2911"/>
    <w:rsid w:val="00BC7445"/>
    <w:rsid w:val="00BD0556"/>
    <w:rsid w:val="00BE0AAE"/>
    <w:rsid w:val="00BE1D3B"/>
    <w:rsid w:val="00BE39BD"/>
    <w:rsid w:val="00BF7387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811BF"/>
    <w:rsid w:val="00C90882"/>
    <w:rsid w:val="00C93E73"/>
    <w:rsid w:val="00CA00D9"/>
    <w:rsid w:val="00CA0369"/>
    <w:rsid w:val="00CA151F"/>
    <w:rsid w:val="00CA185D"/>
    <w:rsid w:val="00CB16D2"/>
    <w:rsid w:val="00CB1DFA"/>
    <w:rsid w:val="00CB411B"/>
    <w:rsid w:val="00CB479F"/>
    <w:rsid w:val="00CD42C9"/>
    <w:rsid w:val="00CD6641"/>
    <w:rsid w:val="00CE0C45"/>
    <w:rsid w:val="00CE5F3F"/>
    <w:rsid w:val="00D0161B"/>
    <w:rsid w:val="00D04459"/>
    <w:rsid w:val="00D0616E"/>
    <w:rsid w:val="00D1636A"/>
    <w:rsid w:val="00D17AEA"/>
    <w:rsid w:val="00D17DE2"/>
    <w:rsid w:val="00D20C15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36C9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4676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200D"/>
    <w:rsid w:val="00E16438"/>
    <w:rsid w:val="00E25123"/>
    <w:rsid w:val="00E263FA"/>
    <w:rsid w:val="00E275ED"/>
    <w:rsid w:val="00E27DF0"/>
    <w:rsid w:val="00E3138B"/>
    <w:rsid w:val="00E31EF2"/>
    <w:rsid w:val="00E32D4D"/>
    <w:rsid w:val="00E331BC"/>
    <w:rsid w:val="00E36E6C"/>
    <w:rsid w:val="00E4596A"/>
    <w:rsid w:val="00E46F12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B4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09D2"/>
    <w:rsid w:val="00EF5A19"/>
    <w:rsid w:val="00EF607C"/>
    <w:rsid w:val="00EF746D"/>
    <w:rsid w:val="00F011AA"/>
    <w:rsid w:val="00F02966"/>
    <w:rsid w:val="00F0346C"/>
    <w:rsid w:val="00F04CB4"/>
    <w:rsid w:val="00F105E6"/>
    <w:rsid w:val="00F10B33"/>
    <w:rsid w:val="00F11969"/>
    <w:rsid w:val="00F16BC8"/>
    <w:rsid w:val="00F1788F"/>
    <w:rsid w:val="00F20B8B"/>
    <w:rsid w:val="00F26711"/>
    <w:rsid w:val="00F34EEB"/>
    <w:rsid w:val="00F37A94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714D7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C7EE7"/>
    <w:rsid w:val="00FD0FD1"/>
    <w:rsid w:val="00FE114A"/>
    <w:rsid w:val="00FE42C8"/>
    <w:rsid w:val="00FF3B84"/>
    <w:rsid w:val="00FF514A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49634B-E88D-4AAE-8C5E-D1B2FADA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Metka Paragi</cp:lastModifiedBy>
  <cp:revision>55</cp:revision>
  <dcterms:created xsi:type="dcterms:W3CDTF">2024-12-04T10:06:00Z</dcterms:created>
  <dcterms:modified xsi:type="dcterms:W3CDTF">2025-04-11T12:49:00Z</dcterms:modified>
</cp:coreProperties>
</file>