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2EE8FB" w14:textId="77777777" w:rsidR="008D76E4" w:rsidRDefault="008D76E4">
      <w:pPr>
        <w:pStyle w:val="datumtevilka"/>
        <w:rPr>
          <w:b/>
          <w:lang w:val="sl-SI"/>
        </w:rPr>
      </w:pPr>
    </w:p>
    <w:p w14:paraId="50AC99EF" w14:textId="77777777" w:rsidR="008D76E4" w:rsidRDefault="008D76E4">
      <w:pPr>
        <w:pStyle w:val="datumtevilka"/>
        <w:rPr>
          <w:b/>
          <w:lang w:val="sl-SI"/>
        </w:rPr>
      </w:pPr>
    </w:p>
    <w:p w14:paraId="089A3ADF" w14:textId="77777777" w:rsidR="008D76E4" w:rsidRDefault="008D76E4">
      <w:pPr>
        <w:pStyle w:val="datumtevilka"/>
        <w:rPr>
          <w:b/>
          <w:lang w:val="sl-SI"/>
        </w:rPr>
      </w:pPr>
    </w:p>
    <w:p w14:paraId="1FD136B5" w14:textId="77777777" w:rsidR="008D76E4" w:rsidRDefault="008D76E4">
      <w:pPr>
        <w:spacing w:line="23" w:lineRule="atLeast"/>
        <w:ind w:left="1412" w:hanging="1412"/>
        <w:jc w:val="both"/>
        <w:rPr>
          <w:rFonts w:eastAsia="Calibri" w:cs="Arial"/>
          <w:b/>
          <w:szCs w:val="20"/>
          <w:lang w:val="sl-SI"/>
        </w:rPr>
      </w:pPr>
    </w:p>
    <w:p w14:paraId="382C9259" w14:textId="77777777" w:rsidR="008D76E4" w:rsidRDefault="00420FE6">
      <w:pPr>
        <w:spacing w:line="360" w:lineRule="auto"/>
        <w:ind w:left="1412" w:hanging="1412"/>
        <w:jc w:val="center"/>
        <w:rPr>
          <w:rFonts w:eastAsia="Calibri" w:cs="Arial"/>
          <w:b/>
          <w:szCs w:val="20"/>
          <w:lang w:val="sl-SI"/>
        </w:rPr>
      </w:pPr>
      <w:r>
        <w:rPr>
          <w:rFonts w:eastAsia="Calibri" w:cs="Arial"/>
          <w:b/>
          <w:szCs w:val="20"/>
          <w:lang w:val="sl-SI"/>
        </w:rPr>
        <w:t>ZAPISNIK</w:t>
      </w:r>
    </w:p>
    <w:p w14:paraId="20F73CF2" w14:textId="77777777" w:rsidR="008D76E4" w:rsidRDefault="00EE11B2">
      <w:pPr>
        <w:spacing w:line="276" w:lineRule="auto"/>
        <w:ind w:left="1412" w:hanging="1412"/>
        <w:jc w:val="center"/>
        <w:rPr>
          <w:rFonts w:eastAsia="Calibri" w:cs="Arial"/>
          <w:b/>
          <w:szCs w:val="20"/>
          <w:lang w:val="sl-SI"/>
        </w:rPr>
      </w:pPr>
      <w:r>
        <w:rPr>
          <w:rFonts w:eastAsia="Calibri" w:cs="Arial"/>
          <w:b/>
          <w:szCs w:val="20"/>
          <w:lang w:val="sl-SI"/>
        </w:rPr>
        <w:t>8</w:t>
      </w:r>
      <w:r w:rsidR="00420FE6">
        <w:rPr>
          <w:rFonts w:eastAsia="Calibri" w:cs="Arial"/>
          <w:b/>
          <w:szCs w:val="20"/>
          <w:lang w:val="sl-SI"/>
        </w:rPr>
        <w:t xml:space="preserve">. SEJE STRATEŠKEGA SVETA ZA </w:t>
      </w:r>
      <w:r>
        <w:rPr>
          <w:rFonts w:eastAsia="Calibri" w:cs="Arial"/>
          <w:b/>
          <w:szCs w:val="20"/>
          <w:lang w:val="sl-SI"/>
        </w:rPr>
        <w:t>MAKROEKONOMSKA VPRAŠANJA</w:t>
      </w:r>
    </w:p>
    <w:p w14:paraId="47E9D6DF" w14:textId="77777777" w:rsidR="008D76E4" w:rsidRDefault="008D76E4">
      <w:pPr>
        <w:spacing w:line="23" w:lineRule="atLeast"/>
        <w:ind w:left="1412" w:hanging="1412"/>
        <w:jc w:val="center"/>
        <w:rPr>
          <w:rFonts w:eastAsia="Calibri" w:cs="Arial"/>
          <w:szCs w:val="20"/>
          <w:lang w:val="sl-SI"/>
        </w:rPr>
      </w:pPr>
    </w:p>
    <w:p w14:paraId="70E5035F" w14:textId="77777777" w:rsidR="008D76E4" w:rsidRDefault="00EE11B2">
      <w:pPr>
        <w:spacing w:line="23" w:lineRule="atLeast"/>
        <w:ind w:left="1412" w:hanging="1412"/>
        <w:jc w:val="center"/>
        <w:rPr>
          <w:rFonts w:eastAsia="Calibri" w:cs="Arial"/>
          <w:szCs w:val="20"/>
          <w:lang w:val="sl-SI"/>
        </w:rPr>
      </w:pPr>
      <w:r>
        <w:rPr>
          <w:rFonts w:eastAsia="Calibri" w:cs="Arial"/>
          <w:szCs w:val="20"/>
          <w:lang w:val="sl-SI"/>
        </w:rPr>
        <w:t>torek</w:t>
      </w:r>
      <w:r w:rsidR="00420FE6">
        <w:rPr>
          <w:rFonts w:eastAsia="Calibri" w:cs="Arial"/>
          <w:szCs w:val="20"/>
          <w:lang w:val="sl-SI"/>
        </w:rPr>
        <w:t xml:space="preserve">, </w:t>
      </w:r>
      <w:r w:rsidR="00F965B0">
        <w:rPr>
          <w:rFonts w:eastAsia="Calibri" w:cs="Arial"/>
          <w:szCs w:val="20"/>
          <w:lang w:val="sl-SI"/>
        </w:rPr>
        <w:t>1</w:t>
      </w:r>
      <w:r>
        <w:rPr>
          <w:rFonts w:eastAsia="Calibri" w:cs="Arial"/>
          <w:szCs w:val="20"/>
          <w:lang w:val="sl-SI"/>
        </w:rPr>
        <w:t>2</w:t>
      </w:r>
      <w:r w:rsidR="00420FE6">
        <w:rPr>
          <w:rFonts w:eastAsia="Calibri" w:cs="Arial"/>
          <w:szCs w:val="20"/>
          <w:lang w:val="sl-SI"/>
        </w:rPr>
        <w:t>. </w:t>
      </w:r>
      <w:r>
        <w:rPr>
          <w:rFonts w:eastAsia="Calibri" w:cs="Arial"/>
          <w:szCs w:val="20"/>
          <w:lang w:val="sl-SI"/>
        </w:rPr>
        <w:t>12</w:t>
      </w:r>
      <w:r w:rsidR="00420FE6">
        <w:rPr>
          <w:rFonts w:eastAsia="Calibri" w:cs="Arial"/>
          <w:szCs w:val="20"/>
          <w:lang w:val="sl-SI"/>
        </w:rPr>
        <w:t xml:space="preserve">. 2023 </w:t>
      </w:r>
    </w:p>
    <w:p w14:paraId="1CBF55F7" w14:textId="77777777" w:rsidR="008D76E4" w:rsidRDefault="008D76E4">
      <w:pPr>
        <w:spacing w:after="120" w:line="23" w:lineRule="atLeast"/>
        <w:jc w:val="both"/>
        <w:rPr>
          <w:rFonts w:eastAsia="Calibri" w:cs="Arial"/>
          <w:szCs w:val="20"/>
          <w:lang w:val="sl-SI"/>
        </w:rPr>
      </w:pPr>
    </w:p>
    <w:p w14:paraId="7351A158" w14:textId="77777777" w:rsidR="008D76E4" w:rsidRDefault="008D76E4">
      <w:pPr>
        <w:spacing w:after="120" w:line="23" w:lineRule="atLeast"/>
        <w:jc w:val="both"/>
        <w:rPr>
          <w:rFonts w:eastAsia="Calibri" w:cs="Arial"/>
          <w:b/>
          <w:szCs w:val="20"/>
          <w:lang w:val="sl-SI"/>
        </w:rPr>
      </w:pPr>
    </w:p>
    <w:p w14:paraId="1DA7AB27" w14:textId="77777777" w:rsidR="008D76E4" w:rsidRDefault="00420FE6" w:rsidP="00EF746D">
      <w:pPr>
        <w:spacing w:line="276" w:lineRule="auto"/>
        <w:ind w:left="1701" w:hanging="1701"/>
        <w:jc w:val="both"/>
        <w:rPr>
          <w:rFonts w:eastAsia="Calibri" w:cs="Arial"/>
          <w:color w:val="000000" w:themeColor="text1"/>
          <w:szCs w:val="20"/>
          <w:lang w:val="sl-SI"/>
        </w:rPr>
      </w:pPr>
      <w:r>
        <w:rPr>
          <w:rFonts w:eastAsia="Calibri" w:cs="Arial"/>
          <w:color w:val="000000" w:themeColor="text1"/>
          <w:szCs w:val="20"/>
          <w:lang w:val="sl-SI"/>
        </w:rPr>
        <w:t xml:space="preserve">Prisotni člani: </w:t>
      </w:r>
      <w:r>
        <w:rPr>
          <w:rFonts w:eastAsia="Calibri" w:cs="Arial"/>
          <w:color w:val="000000" w:themeColor="text1"/>
          <w:szCs w:val="20"/>
          <w:lang w:val="sl-SI"/>
        </w:rPr>
        <w:tab/>
      </w:r>
      <w:r w:rsidR="00EE11B2">
        <w:rPr>
          <w:rFonts w:eastAsia="Calibri" w:cs="Arial"/>
          <w:color w:val="000000" w:themeColor="text1"/>
          <w:szCs w:val="20"/>
          <w:lang w:val="sl-SI"/>
        </w:rPr>
        <w:t xml:space="preserve">mag. Marijana Bednaš, mag. Velimir Bole, dr. Mitja Čok, mag. Mitja Gaspari (preko aplikacije Zoom), Bojan Ivanc, dr. Matej Lahovnik (preko aplikacije Zoom), dr. Mojmir Mrak (preko aplikacije Zoom), </w:t>
      </w:r>
      <w:r w:rsidR="00AF5D91">
        <w:rPr>
          <w:rFonts w:eastAsia="Calibri" w:cs="Arial"/>
          <w:color w:val="000000" w:themeColor="text1"/>
          <w:szCs w:val="20"/>
          <w:lang w:val="sl-SI"/>
        </w:rPr>
        <w:t>dr. Dušan Mramor, dr. Janez Prašnikar, dr. Vasja Rant, dr. Žiga Žarnić (preko aplikacije Zoom).</w:t>
      </w:r>
    </w:p>
    <w:p w14:paraId="445DA626" w14:textId="77777777" w:rsidR="008D76E4" w:rsidRDefault="00215F41" w:rsidP="00215F41">
      <w:pPr>
        <w:tabs>
          <w:tab w:val="left" w:pos="3648"/>
        </w:tabs>
        <w:spacing w:line="276" w:lineRule="auto"/>
        <w:ind w:left="1701" w:hanging="1701"/>
        <w:jc w:val="both"/>
        <w:rPr>
          <w:rFonts w:eastAsia="Calibri" w:cs="Arial"/>
          <w:color w:val="000000" w:themeColor="text1"/>
          <w:szCs w:val="20"/>
          <w:lang w:val="sl-SI"/>
        </w:rPr>
      </w:pPr>
      <w:r>
        <w:rPr>
          <w:rFonts w:eastAsia="Calibri" w:cs="Arial"/>
          <w:color w:val="000000" w:themeColor="text1"/>
          <w:szCs w:val="20"/>
          <w:lang w:val="sl-SI"/>
        </w:rPr>
        <w:tab/>
      </w:r>
      <w:r>
        <w:rPr>
          <w:rFonts w:eastAsia="Calibri" w:cs="Arial"/>
          <w:color w:val="000000" w:themeColor="text1"/>
          <w:szCs w:val="20"/>
          <w:lang w:val="sl-SI"/>
        </w:rPr>
        <w:tab/>
      </w:r>
    </w:p>
    <w:p w14:paraId="57BBD55F" w14:textId="77777777" w:rsidR="008D76E4" w:rsidRDefault="00420FE6" w:rsidP="00A02584">
      <w:pPr>
        <w:spacing w:line="276" w:lineRule="auto"/>
        <w:ind w:left="1701" w:hanging="1701"/>
        <w:jc w:val="both"/>
        <w:rPr>
          <w:rFonts w:eastAsia="Calibri" w:cs="Arial"/>
          <w:color w:val="000000" w:themeColor="text1"/>
          <w:szCs w:val="20"/>
          <w:lang w:val="sl-SI"/>
        </w:rPr>
      </w:pPr>
      <w:r>
        <w:rPr>
          <w:rFonts w:eastAsia="Calibri" w:cs="Arial"/>
          <w:color w:val="000000" w:themeColor="text1"/>
          <w:szCs w:val="20"/>
          <w:lang w:val="sl-SI"/>
        </w:rPr>
        <w:t>Odsotni:</w:t>
      </w:r>
      <w:r>
        <w:rPr>
          <w:rFonts w:eastAsia="Calibri" w:cs="Arial"/>
          <w:color w:val="000000" w:themeColor="text1"/>
          <w:szCs w:val="20"/>
          <w:lang w:val="sl-SI"/>
        </w:rPr>
        <w:tab/>
      </w:r>
      <w:r w:rsidR="00415DB8" w:rsidRPr="00215F41">
        <w:rPr>
          <w:rFonts w:eastAsia="Calibri" w:cs="Arial"/>
          <w:color w:val="000000" w:themeColor="text1"/>
          <w:szCs w:val="20"/>
          <w:lang w:val="sl-SI"/>
        </w:rPr>
        <w:t xml:space="preserve">dr. </w:t>
      </w:r>
      <w:r w:rsidR="00EE11B2">
        <w:rPr>
          <w:rFonts w:eastAsia="Calibri" w:cs="Arial"/>
          <w:color w:val="000000" w:themeColor="text1"/>
          <w:szCs w:val="20"/>
          <w:lang w:val="sl-SI"/>
        </w:rPr>
        <w:t>Mejra Festić, dr. Igor Masten.</w:t>
      </w:r>
    </w:p>
    <w:p w14:paraId="5BF587FC" w14:textId="77777777" w:rsidR="008D76E4" w:rsidRDefault="008D76E4">
      <w:pPr>
        <w:spacing w:line="276" w:lineRule="auto"/>
        <w:ind w:left="1701" w:hanging="1701"/>
        <w:jc w:val="both"/>
        <w:rPr>
          <w:rFonts w:eastAsia="Calibri" w:cs="Arial"/>
          <w:color w:val="000000" w:themeColor="text1"/>
          <w:szCs w:val="20"/>
          <w:lang w:val="sl-SI"/>
        </w:rPr>
      </w:pPr>
    </w:p>
    <w:p w14:paraId="756EACA7" w14:textId="77777777" w:rsidR="008D76E4" w:rsidRDefault="00420FE6">
      <w:pPr>
        <w:spacing w:line="276" w:lineRule="auto"/>
        <w:ind w:left="1701" w:hanging="1701"/>
        <w:jc w:val="both"/>
        <w:rPr>
          <w:rFonts w:eastAsia="Calibri" w:cs="Arial"/>
          <w:color w:val="000000" w:themeColor="text1"/>
          <w:szCs w:val="20"/>
          <w:lang w:val="sl-SI"/>
        </w:rPr>
      </w:pPr>
      <w:r>
        <w:rPr>
          <w:rFonts w:eastAsia="Calibri" w:cs="Arial"/>
          <w:color w:val="000000" w:themeColor="text1"/>
          <w:szCs w:val="20"/>
          <w:lang w:val="sl-SI"/>
        </w:rPr>
        <w:t>Ostali prisotni:</w:t>
      </w:r>
      <w:r>
        <w:rPr>
          <w:rFonts w:eastAsia="Calibri" w:cs="Arial"/>
          <w:color w:val="000000" w:themeColor="text1"/>
          <w:szCs w:val="20"/>
          <w:lang w:val="sl-SI"/>
        </w:rPr>
        <w:tab/>
      </w:r>
      <w:r w:rsidR="00AF5D91">
        <w:rPr>
          <w:rFonts w:eastAsia="Calibri" w:cs="Arial"/>
          <w:color w:val="000000" w:themeColor="text1"/>
          <w:szCs w:val="20"/>
          <w:lang w:val="sl-SI"/>
        </w:rPr>
        <w:t>dr. Robert Golob</w:t>
      </w:r>
      <w:r w:rsidR="006839BD" w:rsidRPr="00A951D1">
        <w:rPr>
          <w:rFonts w:eastAsia="Calibri" w:cs="Arial"/>
          <w:color w:val="000000" w:themeColor="text1"/>
          <w:szCs w:val="20"/>
          <w:lang w:val="sl-SI"/>
        </w:rPr>
        <w:t>,</w:t>
      </w:r>
      <w:r w:rsidR="00AF5D91">
        <w:rPr>
          <w:rFonts w:eastAsia="Calibri" w:cs="Arial"/>
          <w:color w:val="000000" w:themeColor="text1"/>
          <w:szCs w:val="20"/>
          <w:lang w:val="sl-SI"/>
        </w:rPr>
        <w:t xml:space="preserve"> Klemen Boštjančič, mag. Katja Božič, Igor Feketija, mag. Saša Jazbec</w:t>
      </w:r>
      <w:r w:rsidR="00AF5D91">
        <w:rPr>
          <w:rFonts w:eastAsiaTheme="minorHAnsi" w:cs="Arial"/>
          <w:color w:val="000000"/>
          <w:szCs w:val="20"/>
          <w:lang w:val="sl-SI"/>
        </w:rPr>
        <w:t>, dr. Polona Domadenik Muren, mag. Franci Klužer, dr. Jože Sambt, Erik Scheriani.</w:t>
      </w:r>
    </w:p>
    <w:p w14:paraId="31E28844" w14:textId="77777777" w:rsidR="008D76E4" w:rsidRDefault="008D76E4">
      <w:pPr>
        <w:spacing w:line="276" w:lineRule="auto"/>
        <w:jc w:val="both"/>
        <w:rPr>
          <w:rFonts w:cs="Arial"/>
          <w:szCs w:val="20"/>
          <w:lang w:val="sl-SI" w:eastAsia="ar-SA"/>
        </w:rPr>
      </w:pPr>
    </w:p>
    <w:p w14:paraId="5A926D72" w14:textId="77777777" w:rsidR="008D76E4" w:rsidRDefault="008D76E4">
      <w:pPr>
        <w:spacing w:line="276" w:lineRule="auto"/>
        <w:jc w:val="both"/>
        <w:rPr>
          <w:rFonts w:cs="Arial"/>
          <w:szCs w:val="20"/>
          <w:lang w:val="sl-SI" w:eastAsia="ar-SA"/>
        </w:rPr>
      </w:pPr>
    </w:p>
    <w:p w14:paraId="3E7D98F6" w14:textId="77777777" w:rsidR="008D76E4" w:rsidRPr="00421706" w:rsidRDefault="00420FE6">
      <w:pPr>
        <w:spacing w:line="276" w:lineRule="auto"/>
        <w:jc w:val="both"/>
        <w:rPr>
          <w:rFonts w:cs="Arial"/>
          <w:szCs w:val="20"/>
          <w:lang w:val="sl-SI" w:eastAsia="ar-SA"/>
        </w:rPr>
      </w:pPr>
      <w:r>
        <w:rPr>
          <w:rFonts w:cs="Arial"/>
          <w:szCs w:val="20"/>
          <w:lang w:val="sl-SI" w:eastAsia="ar-SA"/>
        </w:rPr>
        <w:t xml:space="preserve">Sejo Strateškega sveta za </w:t>
      </w:r>
      <w:r w:rsidR="00A02584">
        <w:rPr>
          <w:rFonts w:cs="Arial"/>
          <w:szCs w:val="20"/>
          <w:lang w:val="sl-SI" w:eastAsia="ar-SA"/>
        </w:rPr>
        <w:t>makroekonomska vprašanja</w:t>
      </w:r>
      <w:r>
        <w:rPr>
          <w:rFonts w:cs="Arial"/>
          <w:szCs w:val="20"/>
          <w:lang w:val="sl-SI" w:eastAsia="ar-SA"/>
        </w:rPr>
        <w:t>, ki se je pričela ob 16.</w:t>
      </w:r>
      <w:r w:rsidR="00F965B0">
        <w:rPr>
          <w:rFonts w:cs="Arial"/>
          <w:szCs w:val="20"/>
          <w:lang w:val="sl-SI" w:eastAsia="ar-SA"/>
        </w:rPr>
        <w:t>1</w:t>
      </w:r>
      <w:r>
        <w:rPr>
          <w:rFonts w:cs="Arial"/>
          <w:szCs w:val="20"/>
          <w:lang w:val="sl-SI" w:eastAsia="ar-SA"/>
        </w:rPr>
        <w:t>0 uri, je vodil</w:t>
      </w:r>
      <w:r w:rsidR="00A02584">
        <w:rPr>
          <w:rFonts w:cs="Arial"/>
          <w:szCs w:val="20"/>
          <w:lang w:val="sl-SI" w:eastAsia="ar-SA"/>
        </w:rPr>
        <w:t>a</w:t>
      </w:r>
      <w:r>
        <w:rPr>
          <w:rFonts w:cs="Arial"/>
          <w:szCs w:val="20"/>
          <w:lang w:val="sl-SI" w:eastAsia="ar-SA"/>
        </w:rPr>
        <w:t xml:space="preserve"> </w:t>
      </w:r>
      <w:r w:rsidR="00A02584">
        <w:rPr>
          <w:rFonts w:cs="Arial"/>
          <w:szCs w:val="20"/>
          <w:lang w:val="sl-SI" w:eastAsia="ar-SA"/>
        </w:rPr>
        <w:t>predsednica</w:t>
      </w:r>
      <w:r>
        <w:rPr>
          <w:rFonts w:cs="Arial"/>
          <w:szCs w:val="20"/>
          <w:lang w:val="sl-SI" w:eastAsia="ar-SA"/>
        </w:rPr>
        <w:t xml:space="preserve"> </w:t>
      </w:r>
      <w:r w:rsidR="0017005A">
        <w:rPr>
          <w:rFonts w:cs="Arial"/>
          <w:szCs w:val="20"/>
          <w:lang w:val="sl-SI" w:eastAsia="ar-SA"/>
        </w:rPr>
        <w:t>S</w:t>
      </w:r>
      <w:r>
        <w:rPr>
          <w:rFonts w:cs="Arial"/>
          <w:szCs w:val="20"/>
          <w:lang w:val="sl-SI" w:eastAsia="ar-SA"/>
        </w:rPr>
        <w:t xml:space="preserve">trateškega sveta </w:t>
      </w:r>
      <w:r w:rsidR="00A02584">
        <w:rPr>
          <w:rFonts w:cs="Arial"/>
          <w:szCs w:val="20"/>
          <w:lang w:val="sl-SI" w:eastAsia="ar-SA"/>
        </w:rPr>
        <w:t>mag</w:t>
      </w:r>
      <w:r>
        <w:rPr>
          <w:rFonts w:cs="Arial"/>
          <w:szCs w:val="20"/>
          <w:lang w:val="sl-SI" w:eastAsia="ar-SA"/>
        </w:rPr>
        <w:t xml:space="preserve">. </w:t>
      </w:r>
      <w:r w:rsidR="00A02584">
        <w:rPr>
          <w:rFonts w:cs="Arial"/>
          <w:szCs w:val="20"/>
          <w:lang w:val="sl-SI" w:eastAsia="ar-SA"/>
        </w:rPr>
        <w:t>Marijana Bednaš</w:t>
      </w:r>
      <w:r>
        <w:rPr>
          <w:rFonts w:cs="Arial"/>
          <w:szCs w:val="20"/>
          <w:lang w:val="sl-SI" w:eastAsia="ar-SA"/>
        </w:rPr>
        <w:t xml:space="preserve">. </w:t>
      </w:r>
    </w:p>
    <w:p w14:paraId="7361FA71" w14:textId="77777777" w:rsidR="008D76E4" w:rsidRDefault="008D76E4">
      <w:pPr>
        <w:spacing w:line="276" w:lineRule="auto"/>
        <w:jc w:val="both"/>
        <w:rPr>
          <w:rFonts w:eastAsia="Calibri" w:cs="Arial"/>
          <w:b/>
          <w:szCs w:val="20"/>
          <w:lang w:val="sl-SI"/>
        </w:rPr>
      </w:pPr>
    </w:p>
    <w:p w14:paraId="10D1C288" w14:textId="77777777" w:rsidR="008D76E4" w:rsidRDefault="00420FE6">
      <w:pPr>
        <w:spacing w:line="276" w:lineRule="auto"/>
        <w:jc w:val="both"/>
        <w:rPr>
          <w:rFonts w:eastAsia="Calibri" w:cs="Arial"/>
          <w:b/>
          <w:szCs w:val="20"/>
          <w:lang w:val="sl-SI"/>
        </w:rPr>
      </w:pPr>
      <w:r>
        <w:rPr>
          <w:rFonts w:eastAsia="Calibri" w:cs="Arial"/>
          <w:b/>
          <w:szCs w:val="20"/>
          <w:lang w:val="sl-SI"/>
        </w:rPr>
        <w:t>Dnevni red:</w:t>
      </w:r>
    </w:p>
    <w:p w14:paraId="5A208A16" w14:textId="77777777" w:rsidR="00F3793D" w:rsidRDefault="00F3793D">
      <w:pPr>
        <w:spacing w:line="276" w:lineRule="auto"/>
        <w:jc w:val="both"/>
        <w:rPr>
          <w:rFonts w:eastAsia="Calibri" w:cs="Arial"/>
          <w:b/>
          <w:szCs w:val="20"/>
          <w:lang w:val="sl-SI"/>
        </w:rPr>
      </w:pPr>
    </w:p>
    <w:p w14:paraId="2D5E4E0D" w14:textId="77777777" w:rsidR="00F3793D" w:rsidRPr="00F3793D" w:rsidRDefault="00F3793D" w:rsidP="00F3793D">
      <w:pPr>
        <w:spacing w:after="120" w:line="276" w:lineRule="auto"/>
        <w:rPr>
          <w:rFonts w:cs="Arial"/>
          <w:color w:val="000000"/>
          <w:szCs w:val="20"/>
          <w:lang w:val="sl-SI" w:eastAsia="sl-SI"/>
        </w:rPr>
      </w:pPr>
      <w:r w:rsidRPr="00F3793D">
        <w:rPr>
          <w:rFonts w:cs="Arial"/>
          <w:color w:val="000000"/>
          <w:szCs w:val="20"/>
          <w:lang w:val="sl-SI" w:eastAsia="sl-SI"/>
        </w:rPr>
        <w:t xml:space="preserve">1.        Potrditev </w:t>
      </w:r>
      <w:r w:rsidR="00A02584">
        <w:rPr>
          <w:rFonts w:cs="Arial"/>
          <w:color w:val="000000"/>
          <w:szCs w:val="20"/>
          <w:lang w:val="sl-SI" w:eastAsia="sl-SI"/>
        </w:rPr>
        <w:t>zapisnika 7. seje SSM;</w:t>
      </w:r>
      <w:r w:rsidRPr="00F3793D">
        <w:rPr>
          <w:rFonts w:cs="Arial"/>
          <w:color w:val="000000"/>
          <w:szCs w:val="20"/>
          <w:lang w:val="sl-SI" w:eastAsia="sl-SI"/>
        </w:rPr>
        <w:br/>
        <w:t xml:space="preserve">2.        </w:t>
      </w:r>
      <w:r w:rsidR="00A02584">
        <w:rPr>
          <w:rFonts w:cs="Arial"/>
          <w:color w:val="000000"/>
          <w:szCs w:val="20"/>
          <w:lang w:val="sl-SI" w:eastAsia="sl-SI"/>
        </w:rPr>
        <w:t>Preoblikovanje slovenskega pokojninskega sistema;</w:t>
      </w:r>
      <w:r w:rsidRPr="00F3793D">
        <w:rPr>
          <w:rFonts w:cs="Arial"/>
          <w:color w:val="000000"/>
          <w:szCs w:val="20"/>
          <w:lang w:val="sl-SI" w:eastAsia="sl-SI"/>
        </w:rPr>
        <w:t xml:space="preserve"> </w:t>
      </w:r>
      <w:r w:rsidRPr="00F3793D">
        <w:rPr>
          <w:rFonts w:cs="Arial"/>
          <w:color w:val="000000"/>
          <w:szCs w:val="20"/>
          <w:lang w:val="sl-SI" w:eastAsia="sl-SI"/>
        </w:rPr>
        <w:br/>
        <w:t xml:space="preserve">3.        </w:t>
      </w:r>
      <w:r w:rsidR="00A02584">
        <w:rPr>
          <w:rFonts w:cs="Arial"/>
          <w:color w:val="000000"/>
          <w:szCs w:val="20"/>
          <w:lang w:val="sl-SI" w:eastAsia="sl-SI"/>
        </w:rPr>
        <w:t>Razno.</w:t>
      </w:r>
    </w:p>
    <w:p w14:paraId="15E51D52" w14:textId="77777777" w:rsidR="00B113D9" w:rsidRDefault="00420FE6" w:rsidP="00A02584">
      <w:pPr>
        <w:spacing w:after="120" w:line="276" w:lineRule="auto"/>
        <w:jc w:val="center"/>
        <w:rPr>
          <w:rFonts w:eastAsia="Calibri" w:cs="Arial"/>
          <w:b/>
          <w:szCs w:val="20"/>
          <w:lang w:val="sl-SI"/>
        </w:rPr>
      </w:pPr>
      <w:r>
        <w:rPr>
          <w:rFonts w:eastAsia="Calibri" w:cs="Arial"/>
          <w:b/>
          <w:szCs w:val="20"/>
          <w:lang w:val="sl-SI"/>
        </w:rPr>
        <w:t>AD/1</w:t>
      </w:r>
    </w:p>
    <w:p w14:paraId="11A2890A" w14:textId="77777777" w:rsidR="00A02584" w:rsidRPr="00A02584" w:rsidRDefault="00A02584" w:rsidP="00A02584">
      <w:pPr>
        <w:spacing w:after="120" w:line="276" w:lineRule="auto"/>
        <w:jc w:val="center"/>
        <w:rPr>
          <w:rFonts w:eastAsia="Calibri" w:cs="Arial"/>
          <w:b/>
          <w:szCs w:val="20"/>
          <w:lang w:val="sl-SI"/>
        </w:rPr>
      </w:pPr>
    </w:p>
    <w:p w14:paraId="23700B98" w14:textId="270C91B5" w:rsidR="00B113D9" w:rsidRDefault="00B113D9" w:rsidP="00B113D9">
      <w:pPr>
        <w:spacing w:line="276" w:lineRule="auto"/>
        <w:rPr>
          <w:rFonts w:eastAsia="Calibri" w:cs="Arial"/>
          <w:szCs w:val="20"/>
          <w:lang w:val="sl-SI"/>
        </w:rPr>
      </w:pPr>
      <w:r>
        <w:rPr>
          <w:rFonts w:eastAsia="Calibri" w:cs="Arial"/>
          <w:szCs w:val="20"/>
          <w:lang w:val="sl-SI"/>
        </w:rPr>
        <w:t xml:space="preserve">Člani </w:t>
      </w:r>
      <w:r w:rsidR="002D25DD">
        <w:rPr>
          <w:rFonts w:eastAsia="Calibri" w:cs="Arial"/>
          <w:szCs w:val="20"/>
          <w:lang w:val="sl-SI"/>
        </w:rPr>
        <w:t>bodo zapisnik sprejeli na naslednji seji</w:t>
      </w:r>
      <w:r w:rsidR="00A02584">
        <w:rPr>
          <w:rFonts w:eastAsia="Calibri" w:cs="Arial"/>
          <w:szCs w:val="20"/>
          <w:lang w:val="sl-SI"/>
        </w:rPr>
        <w:t xml:space="preserve"> .</w:t>
      </w:r>
    </w:p>
    <w:p w14:paraId="1C797A39" w14:textId="77777777" w:rsidR="00655A05" w:rsidRDefault="00655A05" w:rsidP="00655A05">
      <w:pPr>
        <w:spacing w:line="276" w:lineRule="auto"/>
        <w:jc w:val="both"/>
        <w:rPr>
          <w:rFonts w:eastAsia="Calibri" w:cs="Arial"/>
          <w:b/>
          <w:szCs w:val="20"/>
          <w:lang w:val="sl-SI"/>
        </w:rPr>
      </w:pPr>
    </w:p>
    <w:p w14:paraId="7B52926D" w14:textId="77777777" w:rsidR="00183BAF" w:rsidRDefault="00420FE6" w:rsidP="00183BAF">
      <w:pPr>
        <w:spacing w:after="120" w:line="276" w:lineRule="auto"/>
        <w:jc w:val="center"/>
        <w:rPr>
          <w:rFonts w:eastAsia="Calibri" w:cs="Arial"/>
          <w:b/>
          <w:szCs w:val="20"/>
          <w:lang w:val="sl-SI"/>
        </w:rPr>
      </w:pPr>
      <w:r>
        <w:rPr>
          <w:rFonts w:eastAsia="Calibri" w:cs="Arial"/>
          <w:b/>
          <w:szCs w:val="20"/>
          <w:lang w:val="sl-SI"/>
        </w:rPr>
        <w:t>AD/2</w:t>
      </w:r>
    </w:p>
    <w:p w14:paraId="29C868DE" w14:textId="62294296" w:rsidR="00502022" w:rsidRPr="00204890" w:rsidRDefault="00CE7155" w:rsidP="002D25DD">
      <w:pPr>
        <w:spacing w:after="120" w:line="276" w:lineRule="auto"/>
        <w:jc w:val="both"/>
        <w:rPr>
          <w:rFonts w:eastAsia="Calibri" w:cs="Arial"/>
          <w:szCs w:val="20"/>
          <w:lang w:val="sl-SI"/>
        </w:rPr>
      </w:pPr>
      <w:r w:rsidRPr="00204890">
        <w:rPr>
          <w:rFonts w:eastAsia="Calibri" w:cs="Arial"/>
          <w:szCs w:val="20"/>
          <w:lang w:val="sl-SI"/>
        </w:rPr>
        <w:t xml:space="preserve">Uvodoma je minister za finance Klemen Boštjančič predstavil </w:t>
      </w:r>
      <w:r w:rsidR="00C7503C" w:rsidRPr="00204890">
        <w:rPr>
          <w:rFonts w:eastAsia="Calibri" w:cs="Arial"/>
          <w:szCs w:val="20"/>
          <w:lang w:val="sl-SI"/>
        </w:rPr>
        <w:t>stanje na področju oblikovanja novih fiskalnih pravil na ravni EU</w:t>
      </w:r>
      <w:r w:rsidR="00170078">
        <w:rPr>
          <w:rFonts w:eastAsia="Calibri" w:cs="Arial"/>
          <w:szCs w:val="20"/>
          <w:lang w:val="sl-SI"/>
        </w:rPr>
        <w:t>.</w:t>
      </w:r>
      <w:r w:rsidR="00C7503C" w:rsidRPr="00204890">
        <w:rPr>
          <w:rFonts w:eastAsia="Calibri" w:cs="Arial"/>
          <w:szCs w:val="20"/>
          <w:lang w:val="sl-SI"/>
        </w:rPr>
        <w:t xml:space="preserve"> </w:t>
      </w:r>
      <w:r w:rsidR="00170078">
        <w:rPr>
          <w:rFonts w:eastAsia="Calibri" w:cs="Arial"/>
          <w:szCs w:val="20"/>
          <w:lang w:val="sl-SI"/>
        </w:rPr>
        <w:t>M</w:t>
      </w:r>
      <w:r w:rsidR="00502022" w:rsidRPr="00204890">
        <w:rPr>
          <w:rFonts w:eastAsia="Calibri" w:cs="Arial"/>
          <w:szCs w:val="20"/>
          <w:lang w:val="sl-SI"/>
        </w:rPr>
        <w:t>ag. Franci Klužer iz ministrstva za finance</w:t>
      </w:r>
      <w:r w:rsidR="00962C01" w:rsidRPr="00204890">
        <w:rPr>
          <w:rFonts w:eastAsia="Calibri" w:cs="Arial"/>
          <w:szCs w:val="20"/>
          <w:lang w:val="sl-SI"/>
        </w:rPr>
        <w:t xml:space="preserve"> </w:t>
      </w:r>
      <w:r w:rsidR="00170078">
        <w:rPr>
          <w:rFonts w:eastAsia="Calibri" w:cs="Arial"/>
          <w:szCs w:val="20"/>
          <w:lang w:val="sl-SI"/>
        </w:rPr>
        <w:t>je</w:t>
      </w:r>
      <w:r w:rsidR="00962C01" w:rsidRPr="00204890">
        <w:rPr>
          <w:rFonts w:eastAsia="Calibri" w:cs="Arial"/>
          <w:szCs w:val="20"/>
          <w:lang w:val="sl-SI"/>
        </w:rPr>
        <w:t xml:space="preserve"> podal dodatne obrazložitve</w:t>
      </w:r>
      <w:r w:rsidR="00502022" w:rsidRPr="00204890">
        <w:rPr>
          <w:rFonts w:eastAsia="Calibri" w:cs="Arial"/>
          <w:szCs w:val="20"/>
          <w:lang w:val="sl-SI"/>
        </w:rPr>
        <w:t>.</w:t>
      </w:r>
      <w:r w:rsidR="006E089A" w:rsidRPr="00204890">
        <w:rPr>
          <w:rFonts w:eastAsia="Calibri" w:cs="Arial"/>
          <w:szCs w:val="20"/>
          <w:lang w:val="sl-SI"/>
        </w:rPr>
        <w:t xml:space="preserve"> </w:t>
      </w:r>
      <w:r w:rsidR="00170078">
        <w:rPr>
          <w:rFonts w:eastAsia="Calibri" w:cs="Arial"/>
          <w:szCs w:val="20"/>
          <w:lang w:val="sl-SI"/>
        </w:rPr>
        <w:t xml:space="preserve">Minister in državna sekretarka na MF mag. Katja Božič sta podala informacijo o ustanovitvi strateškega sveta za davke (pri MF) in ko sodelovanju pozvala člane SSM. </w:t>
      </w:r>
    </w:p>
    <w:p w14:paraId="54CB2D13" w14:textId="1749CF63" w:rsidR="00DE323E" w:rsidRPr="00204890" w:rsidRDefault="00D72A04" w:rsidP="002D25DD">
      <w:pPr>
        <w:pStyle w:val="Default"/>
        <w:spacing w:after="120"/>
        <w:rPr>
          <w:rFonts w:ascii="Arial" w:eastAsia="Calibri" w:hAnsi="Arial" w:cs="Arial"/>
          <w:sz w:val="20"/>
          <w:szCs w:val="20"/>
        </w:rPr>
      </w:pPr>
      <w:r w:rsidRPr="00204890">
        <w:rPr>
          <w:rFonts w:ascii="Arial" w:eastAsia="Calibri" w:hAnsi="Arial" w:cs="Arial"/>
          <w:sz w:val="20"/>
          <w:szCs w:val="20"/>
        </w:rPr>
        <w:t xml:space="preserve">Sledila je predstavitev gradiva </w:t>
      </w:r>
      <w:r w:rsidR="006308C5" w:rsidRPr="00204890">
        <w:rPr>
          <w:rFonts w:ascii="Arial" w:hAnsi="Arial" w:cs="Arial"/>
          <w:sz w:val="20"/>
          <w:szCs w:val="20"/>
        </w:rPr>
        <w:t xml:space="preserve"> </w:t>
      </w:r>
      <w:r w:rsidR="006308C5" w:rsidRPr="00204890">
        <w:rPr>
          <w:rFonts w:ascii="Arial" w:eastAsia="Calibri" w:hAnsi="Arial" w:cs="Arial"/>
          <w:sz w:val="20"/>
          <w:szCs w:val="20"/>
        </w:rPr>
        <w:t>Izgradnja in aplikacija analitičnega modela blaginje v Sloveniji (Končno poročilo CRP)</w:t>
      </w:r>
      <w:r w:rsidRPr="00204890">
        <w:rPr>
          <w:rFonts w:ascii="Arial" w:eastAsia="Calibri" w:hAnsi="Arial" w:cs="Arial"/>
          <w:sz w:val="20"/>
          <w:szCs w:val="20"/>
        </w:rPr>
        <w:t xml:space="preserve">, ki so ga člani prejeli </w:t>
      </w:r>
      <w:r w:rsidR="00F90FE7" w:rsidRPr="00204890">
        <w:rPr>
          <w:rFonts w:ascii="Arial" w:eastAsia="Calibri" w:hAnsi="Arial" w:cs="Arial"/>
          <w:sz w:val="20"/>
          <w:szCs w:val="20"/>
        </w:rPr>
        <w:t>22. avgusta 2023 (dokončno različico 28. novembra 2023)</w:t>
      </w:r>
      <w:r w:rsidRPr="00204890">
        <w:rPr>
          <w:rFonts w:ascii="Arial" w:eastAsia="Calibri" w:hAnsi="Arial" w:cs="Arial"/>
          <w:sz w:val="20"/>
          <w:szCs w:val="20"/>
        </w:rPr>
        <w:t xml:space="preserve">. Uvodoma je dr. </w:t>
      </w:r>
      <w:r w:rsidR="00DE323E" w:rsidRPr="00204890">
        <w:rPr>
          <w:rFonts w:ascii="Arial" w:eastAsia="Calibri" w:hAnsi="Arial" w:cs="Arial"/>
          <w:sz w:val="20"/>
          <w:szCs w:val="20"/>
        </w:rPr>
        <w:t xml:space="preserve">Mramor predstavil okvir priprave poročila, ki je nadgradnja akcijskega načrta za višjo rast produktivnosti in kot ključen odziv na demografske spremembe poudarja pospešitev rasti produktivnosti, ki </w:t>
      </w:r>
      <w:r w:rsidR="00C7503C" w:rsidRPr="00204890">
        <w:rPr>
          <w:rFonts w:ascii="Arial" w:eastAsia="Calibri" w:hAnsi="Arial" w:cs="Arial"/>
          <w:sz w:val="20"/>
          <w:szCs w:val="20"/>
        </w:rPr>
        <w:t xml:space="preserve">pa </w:t>
      </w:r>
      <w:r w:rsidR="00DE323E" w:rsidRPr="00204890">
        <w:rPr>
          <w:rFonts w:ascii="Arial" w:eastAsia="Calibri" w:hAnsi="Arial" w:cs="Arial"/>
          <w:sz w:val="20"/>
          <w:szCs w:val="20"/>
        </w:rPr>
        <w:t xml:space="preserve">jo </w:t>
      </w:r>
      <w:r w:rsidR="00C7503C" w:rsidRPr="00204890">
        <w:rPr>
          <w:rFonts w:ascii="Arial" w:eastAsia="Calibri" w:hAnsi="Arial" w:cs="Arial"/>
          <w:sz w:val="20"/>
          <w:szCs w:val="20"/>
        </w:rPr>
        <w:t xml:space="preserve">morajo </w:t>
      </w:r>
      <w:r w:rsidR="00DE323E" w:rsidRPr="00204890">
        <w:rPr>
          <w:rFonts w:ascii="Arial" w:eastAsia="Calibri" w:hAnsi="Arial" w:cs="Arial"/>
          <w:sz w:val="20"/>
          <w:szCs w:val="20"/>
        </w:rPr>
        <w:t>dopolnj</w:t>
      </w:r>
      <w:r w:rsidR="00C7503C" w:rsidRPr="00204890">
        <w:rPr>
          <w:rFonts w:ascii="Arial" w:eastAsia="Calibri" w:hAnsi="Arial" w:cs="Arial"/>
          <w:sz w:val="20"/>
          <w:szCs w:val="20"/>
        </w:rPr>
        <w:t>evati</w:t>
      </w:r>
      <w:r w:rsidR="00DE323E" w:rsidRPr="00204890">
        <w:rPr>
          <w:rFonts w:ascii="Arial" w:eastAsia="Calibri" w:hAnsi="Arial" w:cs="Arial"/>
          <w:sz w:val="20"/>
          <w:szCs w:val="20"/>
        </w:rPr>
        <w:t xml:space="preserve"> tudi prilagoditve sistemov socialne zaščite, med njimi tudi pokojninska reforma</w:t>
      </w:r>
    </w:p>
    <w:p w14:paraId="086BDD80" w14:textId="62704B7E" w:rsidR="00D5590D" w:rsidRPr="00204890" w:rsidRDefault="00DE323E" w:rsidP="002D25DD">
      <w:pPr>
        <w:pStyle w:val="Default"/>
        <w:spacing w:after="120"/>
        <w:rPr>
          <w:rFonts w:ascii="Arial" w:eastAsia="Calibri" w:hAnsi="Arial" w:cs="Arial"/>
          <w:sz w:val="20"/>
          <w:szCs w:val="20"/>
        </w:rPr>
      </w:pPr>
      <w:r w:rsidRPr="00204890">
        <w:rPr>
          <w:rFonts w:ascii="Arial" w:eastAsia="Calibri" w:hAnsi="Arial" w:cs="Arial"/>
          <w:sz w:val="20"/>
          <w:szCs w:val="20"/>
        </w:rPr>
        <w:t xml:space="preserve">V nadaljevanju je dr. </w:t>
      </w:r>
      <w:r w:rsidR="00D72A04" w:rsidRPr="00204890">
        <w:rPr>
          <w:rFonts w:ascii="Arial" w:eastAsia="Calibri" w:hAnsi="Arial" w:cs="Arial"/>
          <w:sz w:val="20"/>
          <w:szCs w:val="20"/>
        </w:rPr>
        <w:t xml:space="preserve">Sambt predstavil </w:t>
      </w:r>
      <w:r w:rsidR="00A54920" w:rsidRPr="00204890">
        <w:rPr>
          <w:rFonts w:ascii="Arial" w:eastAsia="Calibri" w:hAnsi="Arial" w:cs="Arial"/>
          <w:sz w:val="20"/>
          <w:szCs w:val="20"/>
        </w:rPr>
        <w:t>ve</w:t>
      </w:r>
      <w:r w:rsidR="0061078F" w:rsidRPr="00204890">
        <w:rPr>
          <w:rFonts w:ascii="Arial" w:eastAsia="Calibri" w:hAnsi="Arial" w:cs="Arial"/>
          <w:sz w:val="20"/>
          <w:szCs w:val="20"/>
        </w:rPr>
        <w:t xml:space="preserve">ljavne </w:t>
      </w:r>
      <w:r w:rsidR="00D72A04" w:rsidRPr="00204890">
        <w:rPr>
          <w:rFonts w:ascii="Arial" w:eastAsia="Calibri" w:hAnsi="Arial" w:cs="Arial"/>
          <w:sz w:val="20"/>
          <w:szCs w:val="20"/>
        </w:rPr>
        <w:t xml:space="preserve">demografske projekcije in nakazal nekatere pozitivne premike v prihajajočih </w:t>
      </w:r>
      <w:r w:rsidRPr="00204890">
        <w:rPr>
          <w:rFonts w:ascii="Arial" w:eastAsia="Calibri" w:hAnsi="Arial" w:cs="Arial"/>
          <w:sz w:val="20"/>
          <w:szCs w:val="20"/>
        </w:rPr>
        <w:t xml:space="preserve">demografskih </w:t>
      </w:r>
      <w:r w:rsidR="00D72A04" w:rsidRPr="00204890">
        <w:rPr>
          <w:rFonts w:ascii="Arial" w:eastAsia="Calibri" w:hAnsi="Arial" w:cs="Arial"/>
          <w:sz w:val="20"/>
          <w:szCs w:val="20"/>
        </w:rPr>
        <w:t xml:space="preserve">projekcijah Eurostata, ki so podlaga za pripravo Ageing Report 2024 in </w:t>
      </w:r>
      <w:r w:rsidR="00F90847" w:rsidRPr="00204890">
        <w:rPr>
          <w:rFonts w:ascii="Arial" w:eastAsia="Calibri" w:hAnsi="Arial" w:cs="Arial"/>
          <w:sz w:val="20"/>
          <w:szCs w:val="20"/>
        </w:rPr>
        <w:t xml:space="preserve">posledično oblikovanje priporočil za dolgoročno vzdržnost javnih financ. </w:t>
      </w:r>
      <w:r w:rsidR="00591FC7" w:rsidRPr="00204890">
        <w:rPr>
          <w:rFonts w:ascii="Arial" w:eastAsia="Calibri" w:hAnsi="Arial" w:cs="Arial"/>
          <w:sz w:val="20"/>
          <w:szCs w:val="20"/>
        </w:rPr>
        <w:t>D</w:t>
      </w:r>
      <w:r w:rsidR="00D5590D" w:rsidRPr="00204890">
        <w:rPr>
          <w:rFonts w:ascii="Arial" w:eastAsia="Calibri" w:hAnsi="Arial" w:cs="Arial"/>
          <w:sz w:val="20"/>
          <w:szCs w:val="20"/>
        </w:rPr>
        <w:t xml:space="preserve">r. Domadenik Muren </w:t>
      </w:r>
      <w:r w:rsidR="00591FC7" w:rsidRPr="00204890">
        <w:rPr>
          <w:rFonts w:ascii="Arial" w:eastAsia="Calibri" w:hAnsi="Arial" w:cs="Arial"/>
          <w:sz w:val="20"/>
          <w:szCs w:val="20"/>
        </w:rPr>
        <w:t>je</w:t>
      </w:r>
      <w:r w:rsidR="00F90847" w:rsidRPr="00204890">
        <w:rPr>
          <w:rFonts w:ascii="Arial" w:eastAsia="Calibri" w:hAnsi="Arial" w:cs="Arial"/>
          <w:sz w:val="20"/>
          <w:szCs w:val="20"/>
        </w:rPr>
        <w:t xml:space="preserve"> nato </w:t>
      </w:r>
      <w:r w:rsidR="00D72A04" w:rsidRPr="00204890">
        <w:rPr>
          <w:rFonts w:ascii="Arial" w:eastAsia="Calibri" w:hAnsi="Arial" w:cs="Arial"/>
          <w:sz w:val="20"/>
          <w:szCs w:val="20"/>
        </w:rPr>
        <w:t>predstavil</w:t>
      </w:r>
      <w:r w:rsidR="00F90847" w:rsidRPr="00204890">
        <w:rPr>
          <w:rFonts w:ascii="Arial" w:eastAsia="Calibri" w:hAnsi="Arial" w:cs="Arial"/>
          <w:sz w:val="20"/>
          <w:szCs w:val="20"/>
        </w:rPr>
        <w:t>a</w:t>
      </w:r>
      <w:r w:rsidR="00D72A04" w:rsidRPr="00204890">
        <w:rPr>
          <w:rFonts w:ascii="Arial" w:eastAsia="Calibri" w:hAnsi="Arial" w:cs="Arial"/>
          <w:sz w:val="20"/>
          <w:szCs w:val="20"/>
        </w:rPr>
        <w:t xml:space="preserve"> </w:t>
      </w:r>
      <w:r w:rsidR="00591FC7" w:rsidRPr="00204890">
        <w:rPr>
          <w:rFonts w:ascii="Arial" w:eastAsia="Calibri" w:hAnsi="Arial" w:cs="Arial"/>
          <w:sz w:val="20"/>
          <w:szCs w:val="20"/>
        </w:rPr>
        <w:t xml:space="preserve">ključne poudarke analize, </w:t>
      </w:r>
      <w:r w:rsidR="00D5590D" w:rsidRPr="00204890">
        <w:rPr>
          <w:rFonts w:ascii="Arial" w:eastAsia="Calibri" w:hAnsi="Arial" w:cs="Arial"/>
          <w:sz w:val="20"/>
          <w:szCs w:val="20"/>
        </w:rPr>
        <w:t xml:space="preserve">še posebej </w:t>
      </w:r>
      <w:r w:rsidR="00591FC7" w:rsidRPr="00204890">
        <w:rPr>
          <w:rFonts w:ascii="Arial" w:eastAsia="Calibri" w:hAnsi="Arial" w:cs="Arial"/>
          <w:sz w:val="20"/>
          <w:szCs w:val="20"/>
        </w:rPr>
        <w:t>v povezavi s temami:</w:t>
      </w:r>
      <w:r w:rsidR="00D5590D" w:rsidRPr="00204890">
        <w:rPr>
          <w:rFonts w:ascii="Arial" w:eastAsia="Calibri" w:hAnsi="Arial" w:cs="Arial"/>
          <w:sz w:val="20"/>
          <w:szCs w:val="20"/>
        </w:rPr>
        <w:t>"</w:t>
      </w:r>
      <w:r w:rsidR="00591FC7" w:rsidRPr="00204890">
        <w:rPr>
          <w:rFonts w:ascii="Arial" w:eastAsia="Calibri" w:hAnsi="Arial" w:cs="Arial"/>
          <w:sz w:val="20"/>
          <w:szCs w:val="20"/>
        </w:rPr>
        <w:t>p</w:t>
      </w:r>
      <w:r w:rsidR="00D5590D" w:rsidRPr="00204890">
        <w:rPr>
          <w:rFonts w:ascii="Arial" w:eastAsia="Calibri" w:hAnsi="Arial" w:cs="Arial"/>
          <w:sz w:val="20"/>
          <w:szCs w:val="20"/>
        </w:rPr>
        <w:t xml:space="preserve">ovezovanje znanosti in </w:t>
      </w:r>
      <w:r w:rsidR="00D5590D" w:rsidRPr="00204890">
        <w:rPr>
          <w:rFonts w:ascii="Arial" w:eastAsia="Calibri" w:hAnsi="Arial" w:cs="Arial"/>
          <w:sz w:val="20"/>
          <w:szCs w:val="20"/>
        </w:rPr>
        <w:lastRenderedPageBreak/>
        <w:t>gospodarstva", "razbremenitev z administrativnimi postopki in digitalizacija storitev javne uprave", "izobraževanje in usposabljanje" in "politični sistem".</w:t>
      </w:r>
    </w:p>
    <w:p w14:paraId="52F82B23" w14:textId="090D16B7" w:rsidR="00385151" w:rsidRDefault="00502022" w:rsidP="002D25DD">
      <w:pPr>
        <w:pStyle w:val="Default"/>
        <w:spacing w:after="120"/>
        <w:rPr>
          <w:rFonts w:ascii="Arial" w:eastAsia="Calibri" w:hAnsi="Arial" w:cs="Arial"/>
          <w:sz w:val="20"/>
          <w:szCs w:val="20"/>
        </w:rPr>
      </w:pPr>
      <w:r w:rsidRPr="00204890">
        <w:rPr>
          <w:rFonts w:ascii="Arial" w:eastAsia="Calibri" w:hAnsi="Arial" w:cs="Arial"/>
          <w:sz w:val="20"/>
          <w:szCs w:val="20"/>
        </w:rPr>
        <w:t xml:space="preserve">Po </w:t>
      </w:r>
      <w:r w:rsidR="00D5590D" w:rsidRPr="00204890">
        <w:rPr>
          <w:rFonts w:ascii="Arial" w:eastAsia="Calibri" w:hAnsi="Arial" w:cs="Arial"/>
          <w:sz w:val="20"/>
          <w:szCs w:val="20"/>
        </w:rPr>
        <w:t xml:space="preserve">predstavitvi </w:t>
      </w:r>
      <w:r w:rsidR="00170078">
        <w:rPr>
          <w:rFonts w:ascii="Arial" w:eastAsia="Calibri" w:hAnsi="Arial" w:cs="Arial"/>
          <w:sz w:val="20"/>
          <w:szCs w:val="20"/>
        </w:rPr>
        <w:t>j</w:t>
      </w:r>
      <w:r w:rsidR="006258A2" w:rsidRPr="00204890">
        <w:rPr>
          <w:rFonts w:ascii="Arial" w:eastAsia="Calibri" w:hAnsi="Arial" w:cs="Arial"/>
          <w:sz w:val="20"/>
          <w:szCs w:val="20"/>
        </w:rPr>
        <w:t xml:space="preserve">e predsednica SSM predlagala, naj bo (zaradi obsežnosti gradiva, ki poleg pokojninskega sistema opredeljuje tudi širše </w:t>
      </w:r>
      <w:r w:rsidR="00F43B1F" w:rsidRPr="00204890">
        <w:rPr>
          <w:rFonts w:ascii="Arial" w:eastAsia="Calibri" w:hAnsi="Arial" w:cs="Arial"/>
          <w:sz w:val="20"/>
          <w:szCs w:val="20"/>
        </w:rPr>
        <w:t>vsebine, povezane z blaginjo in produktivnostjo</w:t>
      </w:r>
      <w:r w:rsidR="006258A2" w:rsidRPr="00204890">
        <w:rPr>
          <w:rFonts w:ascii="Arial" w:eastAsia="Calibri" w:hAnsi="Arial" w:cs="Arial"/>
          <w:sz w:val="20"/>
          <w:szCs w:val="20"/>
        </w:rPr>
        <w:t>) razprava primarno omejena na del gradiva, ki je vezan na pokojninski sistem.</w:t>
      </w:r>
      <w:r w:rsidR="006E089A" w:rsidRPr="00204890">
        <w:rPr>
          <w:rFonts w:ascii="Arial" w:eastAsia="Calibri" w:hAnsi="Arial" w:cs="Arial"/>
          <w:sz w:val="20"/>
          <w:szCs w:val="20"/>
        </w:rPr>
        <w:t xml:space="preserve"> </w:t>
      </w:r>
      <w:r w:rsidR="00317BF7">
        <w:rPr>
          <w:rFonts w:ascii="Arial" w:eastAsia="Calibri" w:hAnsi="Arial" w:cs="Arial"/>
          <w:sz w:val="20"/>
          <w:szCs w:val="20"/>
        </w:rPr>
        <w:t>Podan je bil predlog, da se produktivnosti nameni posebna razprava na eni od naslednjih sej.</w:t>
      </w:r>
    </w:p>
    <w:p w14:paraId="4F848B22" w14:textId="562D1A35" w:rsidR="009F227B" w:rsidRPr="00204890" w:rsidRDefault="00591FC7" w:rsidP="002D25DD">
      <w:pPr>
        <w:pStyle w:val="Default"/>
        <w:spacing w:after="120"/>
        <w:rPr>
          <w:rFonts w:ascii="Arial" w:eastAsia="Calibri" w:hAnsi="Arial" w:cs="Arial"/>
          <w:sz w:val="20"/>
          <w:szCs w:val="20"/>
          <w:lang w:bidi="ar-SA"/>
        </w:rPr>
      </w:pPr>
      <w:r w:rsidRPr="00204890">
        <w:rPr>
          <w:rFonts w:ascii="Arial" w:eastAsia="Calibri" w:hAnsi="Arial" w:cs="Arial"/>
          <w:sz w:val="20"/>
          <w:szCs w:val="20"/>
        </w:rPr>
        <w:t>D</w:t>
      </w:r>
      <w:r w:rsidR="00D034C6" w:rsidRPr="00204890">
        <w:rPr>
          <w:rFonts w:ascii="Arial" w:eastAsia="Calibri" w:hAnsi="Arial" w:cs="Arial"/>
          <w:sz w:val="20"/>
          <w:szCs w:val="20"/>
        </w:rPr>
        <w:t xml:space="preserve">ržavni sekretar Igor </w:t>
      </w:r>
      <w:r w:rsidR="00485916" w:rsidRPr="00204890">
        <w:rPr>
          <w:rFonts w:ascii="Arial" w:eastAsia="Calibri" w:hAnsi="Arial" w:cs="Arial"/>
          <w:sz w:val="20"/>
          <w:szCs w:val="20"/>
        </w:rPr>
        <w:t xml:space="preserve">Feketija </w:t>
      </w:r>
      <w:r w:rsidRPr="00204890">
        <w:rPr>
          <w:rFonts w:ascii="Arial" w:eastAsia="Calibri" w:hAnsi="Arial" w:cs="Arial"/>
          <w:sz w:val="20"/>
          <w:szCs w:val="20"/>
        </w:rPr>
        <w:t xml:space="preserve">z </w:t>
      </w:r>
      <w:r w:rsidR="00485916" w:rsidRPr="00204890">
        <w:rPr>
          <w:rFonts w:ascii="Arial" w:eastAsia="Calibri" w:hAnsi="Arial" w:cs="Arial"/>
          <w:sz w:val="20"/>
          <w:szCs w:val="20"/>
        </w:rPr>
        <w:t>ministrstv</w:t>
      </w:r>
      <w:r w:rsidRPr="00204890">
        <w:rPr>
          <w:rFonts w:ascii="Arial" w:eastAsia="Calibri" w:hAnsi="Arial" w:cs="Arial"/>
          <w:sz w:val="20"/>
          <w:szCs w:val="20"/>
        </w:rPr>
        <w:t>a</w:t>
      </w:r>
      <w:r w:rsidR="00485916" w:rsidRPr="00204890">
        <w:rPr>
          <w:rFonts w:ascii="Arial" w:eastAsia="Calibri" w:hAnsi="Arial" w:cs="Arial"/>
          <w:sz w:val="20"/>
          <w:szCs w:val="20"/>
        </w:rPr>
        <w:t xml:space="preserve"> za delo, družino, socialne zadeve in enake možnosti</w:t>
      </w:r>
      <w:r w:rsidR="00D5590D" w:rsidRPr="00204890">
        <w:rPr>
          <w:rFonts w:ascii="Arial" w:eastAsia="Calibri" w:hAnsi="Arial" w:cs="Arial"/>
          <w:sz w:val="20"/>
          <w:szCs w:val="20"/>
        </w:rPr>
        <w:t>, ki je nosil</w:t>
      </w:r>
      <w:r w:rsidRPr="00204890">
        <w:rPr>
          <w:rFonts w:ascii="Arial" w:eastAsia="Calibri" w:hAnsi="Arial" w:cs="Arial"/>
          <w:sz w:val="20"/>
          <w:szCs w:val="20"/>
        </w:rPr>
        <w:t>no ministrstvo za</w:t>
      </w:r>
      <w:r w:rsidR="00D5590D" w:rsidRPr="00204890">
        <w:rPr>
          <w:rFonts w:ascii="Arial" w:eastAsia="Calibri" w:hAnsi="Arial" w:cs="Arial"/>
          <w:sz w:val="20"/>
          <w:szCs w:val="20"/>
        </w:rPr>
        <w:t xml:space="preserve"> priprav</w:t>
      </w:r>
      <w:r w:rsidRPr="00204890">
        <w:rPr>
          <w:rFonts w:ascii="Arial" w:eastAsia="Calibri" w:hAnsi="Arial" w:cs="Arial"/>
          <w:sz w:val="20"/>
          <w:szCs w:val="20"/>
        </w:rPr>
        <w:t>o</w:t>
      </w:r>
      <w:r w:rsidR="00D5590D" w:rsidRPr="00204890">
        <w:rPr>
          <w:rFonts w:ascii="Arial" w:eastAsia="Calibri" w:hAnsi="Arial" w:cs="Arial"/>
          <w:sz w:val="20"/>
          <w:szCs w:val="20"/>
        </w:rPr>
        <w:t xml:space="preserve"> ukrepov za prenovo pokojninskega sistema</w:t>
      </w:r>
      <w:r w:rsidRPr="00204890">
        <w:rPr>
          <w:rFonts w:ascii="Arial" w:eastAsia="Calibri" w:hAnsi="Arial" w:cs="Arial"/>
          <w:sz w:val="20"/>
          <w:szCs w:val="20"/>
        </w:rPr>
        <w:t>, je</w:t>
      </w:r>
      <w:r w:rsidR="00D5590D" w:rsidRPr="00204890">
        <w:rPr>
          <w:rFonts w:ascii="Arial" w:eastAsia="Calibri" w:hAnsi="Arial" w:cs="Arial"/>
          <w:sz w:val="20"/>
          <w:szCs w:val="20"/>
        </w:rPr>
        <w:t xml:space="preserve"> </w:t>
      </w:r>
      <w:r w:rsidR="00485916" w:rsidRPr="00204890">
        <w:rPr>
          <w:rFonts w:ascii="Arial" w:eastAsia="Calibri" w:hAnsi="Arial" w:cs="Arial"/>
          <w:sz w:val="20"/>
          <w:szCs w:val="20"/>
        </w:rPr>
        <w:t xml:space="preserve"> predstavil </w:t>
      </w:r>
      <w:r w:rsidR="00D5590D" w:rsidRPr="00204890">
        <w:rPr>
          <w:rFonts w:ascii="Arial" w:eastAsia="Calibri" w:hAnsi="Arial" w:cs="Arial"/>
          <w:sz w:val="20"/>
          <w:szCs w:val="20"/>
        </w:rPr>
        <w:t xml:space="preserve">izhodišča za </w:t>
      </w:r>
      <w:r w:rsidR="00960963" w:rsidRPr="00204890">
        <w:rPr>
          <w:rFonts w:ascii="Arial" w:eastAsia="Calibri" w:hAnsi="Arial" w:cs="Arial"/>
          <w:sz w:val="20"/>
          <w:szCs w:val="20"/>
        </w:rPr>
        <w:t>prenovo pokojninskega in invalidskega zavarovanja, kjer so trije temeljni cilji: blaginja upokojencev, vzdržnost sistema, p</w:t>
      </w:r>
      <w:r w:rsidR="00E94A7B" w:rsidRPr="00204890">
        <w:rPr>
          <w:rFonts w:ascii="Arial" w:eastAsia="Calibri" w:hAnsi="Arial" w:cs="Arial"/>
          <w:sz w:val="20"/>
          <w:szCs w:val="20"/>
          <w:lang w:bidi="ar-SA"/>
        </w:rPr>
        <w:t>reglednost i</w:t>
      </w:r>
      <w:r w:rsidR="00960963" w:rsidRPr="00204890">
        <w:rPr>
          <w:rFonts w:ascii="Arial" w:eastAsia="Calibri" w:hAnsi="Arial" w:cs="Arial"/>
          <w:sz w:val="20"/>
          <w:szCs w:val="20"/>
        </w:rPr>
        <w:t>n</w:t>
      </w:r>
      <w:r w:rsidR="00E94A7B" w:rsidRPr="00204890">
        <w:rPr>
          <w:rFonts w:ascii="Arial" w:eastAsia="Calibri" w:hAnsi="Arial" w:cs="Arial"/>
          <w:sz w:val="20"/>
          <w:szCs w:val="20"/>
          <w:lang w:bidi="ar-SA"/>
        </w:rPr>
        <w:t xml:space="preserve"> razumljivost sistema ter zaupanje vanj</w:t>
      </w:r>
      <w:r w:rsidR="00960963" w:rsidRPr="00204890">
        <w:rPr>
          <w:rFonts w:ascii="Arial" w:eastAsia="Calibri" w:hAnsi="Arial" w:cs="Arial"/>
          <w:sz w:val="20"/>
          <w:szCs w:val="20"/>
        </w:rPr>
        <w:t xml:space="preserve">. </w:t>
      </w:r>
      <w:r w:rsidR="00DA0CE5" w:rsidRPr="00204890">
        <w:rPr>
          <w:rFonts w:ascii="Arial" w:eastAsia="Calibri" w:hAnsi="Arial" w:cs="Arial"/>
          <w:sz w:val="20"/>
          <w:szCs w:val="20"/>
        </w:rPr>
        <w:t>Kot ključne rešitve, ki morajo biti še dorečene je izpostavil: dvig upokojitvene starosti, spremembe v indeksaciji in podaljšanje referenčnega obdobja</w:t>
      </w:r>
    </w:p>
    <w:p w14:paraId="159BCBB6" w14:textId="1B535825" w:rsidR="00690CB0" w:rsidRPr="00204890" w:rsidRDefault="00DA0CE5" w:rsidP="002F7AAA">
      <w:pPr>
        <w:spacing w:after="120" w:line="276" w:lineRule="auto"/>
        <w:jc w:val="both"/>
        <w:rPr>
          <w:rFonts w:eastAsia="Calibri" w:cs="Arial"/>
          <w:szCs w:val="20"/>
          <w:lang w:val="sl-SI"/>
        </w:rPr>
      </w:pPr>
      <w:r w:rsidRPr="00204890">
        <w:rPr>
          <w:rFonts w:eastAsia="Calibri" w:cs="Arial"/>
          <w:szCs w:val="20"/>
          <w:lang w:val="sl-SI"/>
        </w:rPr>
        <w:t xml:space="preserve">Člani sveta so v razpravi izpostavili naslednje (dr. Čok in dr. Rant sta poslala tudi pisni komentar): </w:t>
      </w:r>
    </w:p>
    <w:p w14:paraId="42BB3781" w14:textId="159787B1" w:rsidR="00DA0CE5" w:rsidRPr="00204890" w:rsidRDefault="0023645F" w:rsidP="00204890">
      <w:pPr>
        <w:pStyle w:val="Odstavekseznama"/>
        <w:numPr>
          <w:ilvl w:val="0"/>
          <w:numId w:val="6"/>
        </w:numPr>
        <w:suppressAutoHyphens w:val="0"/>
        <w:spacing w:after="160" w:line="259" w:lineRule="auto"/>
        <w:jc w:val="both"/>
        <w:rPr>
          <w:rFonts w:cs="Arial"/>
          <w:szCs w:val="20"/>
          <w:lang w:val="sl-SI"/>
        </w:rPr>
      </w:pPr>
      <w:r w:rsidRPr="00204890">
        <w:rPr>
          <w:rFonts w:cs="Arial"/>
          <w:szCs w:val="20"/>
          <w:lang w:val="sl-SI"/>
        </w:rPr>
        <w:t xml:space="preserve">Izhodišča MDDSZ in projekcije demografskih trendov predstavljajo solidno osnovo za razumevanje občutljivosti deleža izdatkov za pokojnine na spremembe osnovnih parametrov (upokojitvena starost, referenčno obdobje za izračun pokojnine, indeksacija, migracije, dvig delovne aktivnosti). </w:t>
      </w:r>
      <w:r w:rsidR="00DA0CE5" w:rsidRPr="00204890">
        <w:rPr>
          <w:rFonts w:cs="Arial"/>
          <w:szCs w:val="20"/>
          <w:lang w:val="sl-SI"/>
        </w:rPr>
        <w:t xml:space="preserve">Ob danih demografskih gibanjih, obstoječih parametrih pokojninskega sistema, ter odvisnosti </w:t>
      </w:r>
      <w:r w:rsidR="00B518E8">
        <w:rPr>
          <w:rFonts w:cs="Arial"/>
          <w:szCs w:val="20"/>
          <w:lang w:val="sl-SI"/>
        </w:rPr>
        <w:t>prvega</w:t>
      </w:r>
      <w:r w:rsidR="00DA0CE5" w:rsidRPr="00204890">
        <w:rPr>
          <w:rFonts w:cs="Arial"/>
          <w:szCs w:val="20"/>
          <w:lang w:val="sl-SI"/>
        </w:rPr>
        <w:t xml:space="preserve"> stebra od proračunskih transferjev RS, so ustrezni naslednji predlogi:</w:t>
      </w:r>
    </w:p>
    <w:p w14:paraId="234D1F24" w14:textId="77777777" w:rsidR="00DA0CE5" w:rsidRPr="00204890" w:rsidRDefault="00DA0CE5" w:rsidP="003D52CA">
      <w:pPr>
        <w:pStyle w:val="Odstavekseznama"/>
        <w:numPr>
          <w:ilvl w:val="0"/>
          <w:numId w:val="7"/>
        </w:numPr>
        <w:suppressAutoHyphens w:val="0"/>
        <w:spacing w:after="160" w:line="259" w:lineRule="auto"/>
        <w:ind w:left="1248" w:hanging="624"/>
        <w:jc w:val="both"/>
        <w:rPr>
          <w:rFonts w:cs="Arial"/>
          <w:szCs w:val="20"/>
          <w:lang w:val="sl-SI"/>
        </w:rPr>
      </w:pPr>
      <w:r w:rsidRPr="00204890">
        <w:rPr>
          <w:rFonts w:cs="Arial"/>
          <w:szCs w:val="20"/>
          <w:lang w:val="sl-SI"/>
        </w:rPr>
        <w:t>Podaljševanje delovne dobe / starosti ob upokojitvi.</w:t>
      </w:r>
    </w:p>
    <w:p w14:paraId="60B0624C" w14:textId="77777777" w:rsidR="00DA0CE5" w:rsidRPr="00204890" w:rsidRDefault="00DA0CE5" w:rsidP="003D52CA">
      <w:pPr>
        <w:pStyle w:val="Odstavekseznama"/>
        <w:numPr>
          <w:ilvl w:val="0"/>
          <w:numId w:val="7"/>
        </w:numPr>
        <w:suppressAutoHyphens w:val="0"/>
        <w:spacing w:after="160" w:line="259" w:lineRule="auto"/>
        <w:ind w:left="1248" w:hanging="624"/>
        <w:jc w:val="both"/>
        <w:rPr>
          <w:rFonts w:cs="Arial"/>
          <w:szCs w:val="20"/>
          <w:lang w:val="sl-SI"/>
        </w:rPr>
      </w:pPr>
      <w:r w:rsidRPr="00204890">
        <w:rPr>
          <w:rFonts w:cs="Arial"/>
          <w:szCs w:val="20"/>
          <w:lang w:val="sl-SI"/>
        </w:rPr>
        <w:t>Podaljševanje števila let, ki se upoštevajo pri odmeri pokojnine.</w:t>
      </w:r>
    </w:p>
    <w:p w14:paraId="69B7DC9E" w14:textId="6F94917C" w:rsidR="00DA0CE5" w:rsidRPr="00204890" w:rsidRDefault="00B518E8" w:rsidP="003D52CA">
      <w:pPr>
        <w:pStyle w:val="Odstavekseznama"/>
        <w:numPr>
          <w:ilvl w:val="0"/>
          <w:numId w:val="7"/>
        </w:numPr>
        <w:suppressAutoHyphens w:val="0"/>
        <w:spacing w:after="160" w:line="259" w:lineRule="auto"/>
        <w:ind w:left="1248" w:hanging="624"/>
        <w:jc w:val="both"/>
        <w:rPr>
          <w:rFonts w:cs="Arial"/>
          <w:szCs w:val="20"/>
          <w:lang w:val="sl-SI"/>
        </w:rPr>
      </w:pPr>
      <w:r>
        <w:rPr>
          <w:rFonts w:cs="Arial"/>
          <w:szCs w:val="20"/>
          <w:lang w:val="sl-SI"/>
        </w:rPr>
        <w:t>Sprememba indeksacije v smeri v</w:t>
      </w:r>
      <w:r w:rsidR="00DA0CE5" w:rsidRPr="00204890">
        <w:rPr>
          <w:rFonts w:cs="Arial"/>
          <w:szCs w:val="20"/>
          <w:lang w:val="sl-SI"/>
        </w:rPr>
        <w:t>ečje tež</w:t>
      </w:r>
      <w:r>
        <w:rPr>
          <w:rFonts w:cs="Arial"/>
          <w:szCs w:val="20"/>
          <w:lang w:val="sl-SI"/>
        </w:rPr>
        <w:t xml:space="preserve">e </w:t>
      </w:r>
      <w:r w:rsidR="00DA0CE5" w:rsidRPr="00204890">
        <w:rPr>
          <w:rFonts w:cs="Arial"/>
          <w:szCs w:val="20"/>
          <w:lang w:val="sl-SI"/>
        </w:rPr>
        <w:t>inflacij</w:t>
      </w:r>
      <w:r>
        <w:rPr>
          <w:rFonts w:cs="Arial"/>
          <w:szCs w:val="20"/>
          <w:lang w:val="sl-SI"/>
        </w:rPr>
        <w:t>e</w:t>
      </w:r>
      <w:r w:rsidR="00DA0CE5" w:rsidRPr="00204890">
        <w:rPr>
          <w:rFonts w:cs="Arial"/>
          <w:szCs w:val="20"/>
          <w:lang w:val="sl-SI"/>
        </w:rPr>
        <w:t xml:space="preserve"> (»modificirana švicarska formula«).</w:t>
      </w:r>
    </w:p>
    <w:p w14:paraId="2A07D802" w14:textId="34975AF7" w:rsidR="0023645F" w:rsidRPr="00204890" w:rsidRDefault="0023645F" w:rsidP="00204890">
      <w:pPr>
        <w:suppressAutoHyphens w:val="0"/>
        <w:spacing w:after="160" w:line="259" w:lineRule="auto"/>
        <w:ind w:left="360"/>
        <w:jc w:val="both"/>
        <w:rPr>
          <w:rFonts w:cs="Arial"/>
          <w:szCs w:val="20"/>
          <w:lang w:val="sl-SI"/>
        </w:rPr>
      </w:pPr>
      <w:r w:rsidRPr="00204890">
        <w:rPr>
          <w:rFonts w:cs="Arial"/>
          <w:szCs w:val="20"/>
          <w:lang w:val="sl-SI"/>
        </w:rPr>
        <w:t>Pri oblikovanju končnega predloga preoblikovanja pokojninskega sistema bi bili ključni naslednji razmisleki:</w:t>
      </w:r>
    </w:p>
    <w:p w14:paraId="6F527F8C" w14:textId="68F036E2" w:rsidR="00E940DB" w:rsidRPr="00204890" w:rsidRDefault="00DA0CE5" w:rsidP="00E940DB">
      <w:pPr>
        <w:pStyle w:val="Odstavekseznama"/>
        <w:numPr>
          <w:ilvl w:val="0"/>
          <w:numId w:val="6"/>
        </w:numPr>
        <w:suppressAutoHyphens w:val="0"/>
        <w:spacing w:after="160" w:line="259" w:lineRule="auto"/>
        <w:jc w:val="both"/>
        <w:rPr>
          <w:rFonts w:cs="Arial"/>
          <w:szCs w:val="20"/>
          <w:lang w:val="sl-SI"/>
        </w:rPr>
      </w:pPr>
      <w:r w:rsidRPr="00B518E8">
        <w:rPr>
          <w:rFonts w:cs="Arial"/>
          <w:i/>
          <w:iCs/>
          <w:szCs w:val="20"/>
          <w:lang w:val="sl-SI"/>
        </w:rPr>
        <w:t>Neustrezno je dodatno rušenje povezave med višino pokojnine in vplačanimi prispevki</w:t>
      </w:r>
      <w:r w:rsidR="004364EE">
        <w:rPr>
          <w:rFonts w:cs="Arial"/>
          <w:szCs w:val="20"/>
          <w:lang w:val="sl-SI"/>
        </w:rPr>
        <w:t>.</w:t>
      </w:r>
      <w:r w:rsidR="00E940DB" w:rsidRPr="00204890">
        <w:rPr>
          <w:rFonts w:cs="Arial"/>
          <w:szCs w:val="20"/>
          <w:lang w:val="sl-SI"/>
        </w:rPr>
        <w:t xml:space="preserve"> </w:t>
      </w:r>
      <w:r w:rsidR="004364EE">
        <w:rPr>
          <w:rFonts w:cs="Arial"/>
          <w:szCs w:val="20"/>
          <w:lang w:val="sl-SI"/>
        </w:rPr>
        <w:t>Rušenje te povezave je izrazito destimulativno z vidika zaupanja v pokojninski sistem in motivacije za delo ter plačevanje prispevkov velikega deleža zaposlenih</w:t>
      </w:r>
      <w:r w:rsidRPr="00204890">
        <w:rPr>
          <w:rFonts w:cs="Arial"/>
          <w:szCs w:val="20"/>
          <w:lang w:val="sl-SI"/>
        </w:rPr>
        <w:t>, saj pokojninski sistem</w:t>
      </w:r>
      <w:r w:rsidR="004364EE">
        <w:rPr>
          <w:rFonts w:cs="Arial"/>
          <w:szCs w:val="20"/>
          <w:lang w:val="sl-SI"/>
        </w:rPr>
        <w:t xml:space="preserve"> na ta način krepi</w:t>
      </w:r>
      <w:r w:rsidRPr="00204890">
        <w:rPr>
          <w:rFonts w:cs="Arial"/>
          <w:szCs w:val="20"/>
          <w:lang w:val="sl-SI"/>
        </w:rPr>
        <w:t xml:space="preserve"> vlogo orodja redistribucije in prikritega izplačevalca socialnih pomoči</w:t>
      </w:r>
      <w:r w:rsidR="00E72B27">
        <w:rPr>
          <w:rFonts w:cs="Arial"/>
          <w:szCs w:val="20"/>
          <w:lang w:val="sl-SI"/>
        </w:rPr>
        <w:t>, kar ni njegov osnovni namen</w:t>
      </w:r>
      <w:r w:rsidR="00E940DB" w:rsidRPr="00204890">
        <w:rPr>
          <w:rFonts w:cs="Arial"/>
          <w:szCs w:val="20"/>
          <w:lang w:val="sl-SI"/>
        </w:rPr>
        <w:t>. Zato bi veljalo bi razmisliti, do katere mere je še smiselna redistributivnost prvega stebra – predlog prehoda iz neto v bruto pokojnine s preračunom na podlagi individualnih davčnih stopenj namreč uvaja dodatno redistributivnost v prvem stebru v korist zavarovancem z nižjimi dohodki in v škodo zavarovancem z višjimi dohodki. Socialni korektivi (kadar so potrebni) naj se izvajajo prek drugih mehanizmov socialnih transferjev in ne prek pokojninskega sistema.</w:t>
      </w:r>
    </w:p>
    <w:p w14:paraId="6E4667ED" w14:textId="7EED77C9" w:rsidR="00B518E8" w:rsidRPr="00204890" w:rsidRDefault="004364EE" w:rsidP="00B518E8">
      <w:pPr>
        <w:pStyle w:val="Odstavekseznama"/>
        <w:numPr>
          <w:ilvl w:val="0"/>
          <w:numId w:val="6"/>
        </w:numPr>
        <w:suppressAutoHyphens w:val="0"/>
        <w:spacing w:after="160" w:line="259" w:lineRule="auto"/>
        <w:jc w:val="both"/>
        <w:rPr>
          <w:rFonts w:cs="Arial"/>
          <w:szCs w:val="20"/>
          <w:lang w:val="sl-SI"/>
        </w:rPr>
      </w:pPr>
      <w:r w:rsidRPr="004364EE">
        <w:rPr>
          <w:rFonts w:cs="Arial"/>
          <w:i/>
          <w:szCs w:val="20"/>
          <w:lang w:val="sl-SI"/>
        </w:rPr>
        <w:t>F</w:t>
      </w:r>
      <w:r w:rsidR="00E940DB" w:rsidRPr="000943C9">
        <w:rPr>
          <w:rFonts w:cs="Arial"/>
          <w:i/>
          <w:szCs w:val="20"/>
          <w:lang w:val="sl-SI"/>
        </w:rPr>
        <w:t>inančna vzdržnost bi morala predstavljati prvo prioriteto reforme</w:t>
      </w:r>
      <w:r w:rsidR="002D3010">
        <w:rPr>
          <w:rFonts w:cs="Arial"/>
          <w:i/>
          <w:szCs w:val="20"/>
          <w:lang w:val="sl-SI"/>
        </w:rPr>
        <w:t xml:space="preserve"> med zastavljenimi cilji</w:t>
      </w:r>
      <w:r>
        <w:rPr>
          <w:rFonts w:cs="Arial"/>
          <w:szCs w:val="20"/>
          <w:lang w:val="sl-SI"/>
        </w:rPr>
        <w:t>.</w:t>
      </w:r>
      <w:r w:rsidR="00E940DB" w:rsidRPr="00204890">
        <w:rPr>
          <w:rFonts w:cs="Arial"/>
          <w:szCs w:val="20"/>
          <w:lang w:val="sl-SI"/>
        </w:rPr>
        <w:t xml:space="preserve"> </w:t>
      </w:r>
      <w:r>
        <w:rPr>
          <w:rFonts w:cs="Arial"/>
          <w:szCs w:val="20"/>
          <w:lang w:val="sl-SI"/>
        </w:rPr>
        <w:t xml:space="preserve">To je pomembno </w:t>
      </w:r>
      <w:r w:rsidR="00E940DB" w:rsidRPr="00204890">
        <w:rPr>
          <w:rFonts w:cs="Arial"/>
          <w:szCs w:val="20"/>
          <w:lang w:val="sl-SI"/>
        </w:rPr>
        <w:t>tudi v luči najnovejšega dogovora Sveta EU o prenovi evropskih fiskalnih pravil</w:t>
      </w:r>
      <w:r>
        <w:rPr>
          <w:rFonts w:cs="Arial"/>
          <w:szCs w:val="20"/>
          <w:lang w:val="sl-SI"/>
        </w:rPr>
        <w:t>.</w:t>
      </w:r>
      <w:r w:rsidR="00E940DB" w:rsidRPr="00204890">
        <w:rPr>
          <w:rFonts w:cs="Arial"/>
          <w:szCs w:val="20"/>
          <w:lang w:val="sl-SI"/>
        </w:rPr>
        <w:t xml:space="preserve"> </w:t>
      </w:r>
      <w:r>
        <w:rPr>
          <w:rFonts w:cs="Arial"/>
          <w:szCs w:val="20"/>
          <w:lang w:val="sl-SI"/>
        </w:rPr>
        <w:t>Finančno vzdržnost bi bilo potrebno zasledovati s</w:t>
      </w:r>
      <w:r w:rsidR="00E940DB" w:rsidRPr="00204890">
        <w:rPr>
          <w:rFonts w:cs="Arial"/>
          <w:szCs w:val="20"/>
          <w:lang w:val="sl-SI"/>
        </w:rPr>
        <w:t xml:space="preserve"> sprememba</w:t>
      </w:r>
      <w:r>
        <w:rPr>
          <w:rFonts w:cs="Arial"/>
          <w:szCs w:val="20"/>
          <w:lang w:val="sl-SI"/>
        </w:rPr>
        <w:t>mi</w:t>
      </w:r>
      <w:r w:rsidR="00E940DB" w:rsidRPr="00204890">
        <w:rPr>
          <w:rFonts w:cs="Arial"/>
          <w:szCs w:val="20"/>
          <w:lang w:val="sl-SI"/>
        </w:rPr>
        <w:t xml:space="preserve"> osnovnih parametrov pokojninskega sistema</w:t>
      </w:r>
      <w:r>
        <w:rPr>
          <w:rFonts w:cs="Arial"/>
          <w:szCs w:val="20"/>
          <w:lang w:val="sl-SI"/>
        </w:rPr>
        <w:t xml:space="preserve"> (</w:t>
      </w:r>
      <w:r w:rsidRPr="004364EE">
        <w:rPr>
          <w:rFonts w:cs="Arial"/>
          <w:szCs w:val="20"/>
          <w:lang w:val="sl-SI"/>
        </w:rPr>
        <w:t>indeksacija pokojnin pretežno z rastjo cen življenjskih potrebščin, podaljšanje referenčnega obdobja za izračun pokojnin, dvig upokojitvene starosti in spodbujanje delovne aktivnosti</w:t>
      </w:r>
      <w:r>
        <w:rPr>
          <w:rFonts w:cs="Arial"/>
          <w:szCs w:val="20"/>
          <w:lang w:val="sl-SI"/>
        </w:rPr>
        <w:t>)</w:t>
      </w:r>
      <w:r w:rsidR="00E940DB" w:rsidRPr="00204890">
        <w:rPr>
          <w:rFonts w:cs="Arial"/>
          <w:szCs w:val="20"/>
          <w:lang w:val="sl-SI"/>
        </w:rPr>
        <w:t xml:space="preserve"> in ne </w:t>
      </w:r>
      <w:r>
        <w:rPr>
          <w:rFonts w:cs="Arial"/>
          <w:szCs w:val="20"/>
          <w:lang w:val="sl-SI"/>
        </w:rPr>
        <w:t xml:space="preserve">z </w:t>
      </w:r>
      <w:r w:rsidR="00E940DB" w:rsidRPr="00204890">
        <w:rPr>
          <w:rFonts w:cs="Arial"/>
          <w:szCs w:val="20"/>
          <w:lang w:val="sl-SI"/>
        </w:rPr>
        <w:t>dvigovanj</w:t>
      </w:r>
      <w:r>
        <w:rPr>
          <w:rFonts w:cs="Arial"/>
          <w:szCs w:val="20"/>
          <w:lang w:val="sl-SI"/>
        </w:rPr>
        <w:t>em</w:t>
      </w:r>
      <w:r w:rsidR="00E940DB" w:rsidRPr="00204890">
        <w:rPr>
          <w:rFonts w:cs="Arial"/>
          <w:szCs w:val="20"/>
          <w:lang w:val="sl-SI"/>
        </w:rPr>
        <w:t xml:space="preserve"> prispevkov. </w:t>
      </w:r>
      <w:r w:rsidR="00B518E8" w:rsidRPr="00B518E8">
        <w:rPr>
          <w:rFonts w:cs="Arial"/>
          <w:szCs w:val="20"/>
          <w:lang w:val="sl-SI"/>
        </w:rPr>
        <w:t>Poudarek na spremembah osnovnih parametrov in izogibanje dodatnim prispevkom sta pomembna tako z vidika odgovornosti do aktivne populacije kot tudi do prihodnjih generacij.</w:t>
      </w:r>
      <w:r w:rsidR="00B518E8" w:rsidRPr="00204890">
        <w:rPr>
          <w:rFonts w:cs="Arial"/>
          <w:szCs w:val="20"/>
          <w:lang w:val="sl-SI"/>
        </w:rPr>
        <w:t xml:space="preserve"> Z začetkom pobiranja že uzakonjenega prispevka za dolgotrajno oskrbo, ter mesečnega prispevka kot nadomestilom za dopolnilno zdravstveno zavarovanje, se bo Slovenija trdno zasidrala na 1. mestu v EU, kot država z najvišjim deležem prispevkov v BDP. Ob dani konkurenčnosti slovenskega gospodarstva, strukturi outputa ter doseženi dodani vrednosti, je zato umestno vprašanje, kakšne ekonomske posledice bi imelo še dodatno povečevanje prispevkov za </w:t>
      </w:r>
      <w:r w:rsidR="00B518E8">
        <w:rPr>
          <w:rFonts w:cs="Arial"/>
          <w:szCs w:val="20"/>
          <w:lang w:val="sl-SI"/>
        </w:rPr>
        <w:t>prvi</w:t>
      </w:r>
      <w:r w:rsidR="00B518E8" w:rsidRPr="00204890">
        <w:rPr>
          <w:rFonts w:cs="Arial"/>
          <w:szCs w:val="20"/>
          <w:lang w:val="sl-SI"/>
        </w:rPr>
        <w:t xml:space="preserve"> steber?</w:t>
      </w:r>
    </w:p>
    <w:p w14:paraId="42821922" w14:textId="0435762D" w:rsidR="00E940DB" w:rsidRPr="00170078" w:rsidRDefault="004364EE" w:rsidP="00170078">
      <w:pPr>
        <w:pStyle w:val="Odstavekseznama"/>
        <w:numPr>
          <w:ilvl w:val="0"/>
          <w:numId w:val="6"/>
        </w:numPr>
        <w:suppressAutoHyphens w:val="0"/>
        <w:spacing w:after="160" w:line="259" w:lineRule="auto"/>
        <w:jc w:val="both"/>
        <w:rPr>
          <w:rFonts w:cs="Arial"/>
          <w:szCs w:val="20"/>
          <w:lang w:val="sl-SI"/>
        </w:rPr>
      </w:pPr>
      <w:r>
        <w:rPr>
          <w:rFonts w:cs="Arial"/>
          <w:i/>
          <w:szCs w:val="20"/>
          <w:lang w:val="sl-SI"/>
        </w:rPr>
        <w:t xml:space="preserve">Dvig upokojitvene starosti bi se lahko vezal na pričakovano življenjsko dobo. </w:t>
      </w:r>
      <w:r>
        <w:rPr>
          <w:rFonts w:cs="Arial"/>
          <w:szCs w:val="20"/>
          <w:lang w:val="sl-SI"/>
        </w:rPr>
        <w:t>Pri uvajanju sprememb je za zaupanje v sistem ključna postopnost.</w:t>
      </w:r>
      <w:r>
        <w:rPr>
          <w:rFonts w:cs="Arial"/>
          <w:i/>
          <w:szCs w:val="20"/>
          <w:lang w:val="sl-SI"/>
        </w:rPr>
        <w:t xml:space="preserve"> </w:t>
      </w:r>
      <w:r w:rsidRPr="000943C9">
        <w:rPr>
          <w:rFonts w:cs="Arial"/>
          <w:szCs w:val="20"/>
          <w:lang w:val="sl-SI"/>
        </w:rPr>
        <w:t>Z</w:t>
      </w:r>
      <w:r w:rsidR="00E940DB" w:rsidRPr="000943C9">
        <w:rPr>
          <w:rFonts w:cs="Arial"/>
          <w:szCs w:val="20"/>
          <w:lang w:val="sl-SI"/>
        </w:rPr>
        <w:t>a večjo predvidljivost in preprečevanje črednega upokojevanja</w:t>
      </w:r>
      <w:r w:rsidR="00E940DB" w:rsidRPr="00170078">
        <w:rPr>
          <w:rFonts w:cs="Arial"/>
          <w:szCs w:val="20"/>
          <w:lang w:val="sl-SI"/>
        </w:rPr>
        <w:t xml:space="preserve"> bi se lahko</w:t>
      </w:r>
      <w:r>
        <w:rPr>
          <w:rFonts w:cs="Arial"/>
          <w:szCs w:val="20"/>
          <w:lang w:val="sl-SI"/>
        </w:rPr>
        <w:t xml:space="preserve"> npr.</w:t>
      </w:r>
      <w:r w:rsidR="00E940DB" w:rsidRPr="00170078">
        <w:rPr>
          <w:rFonts w:cs="Arial"/>
          <w:szCs w:val="20"/>
          <w:lang w:val="sl-SI"/>
        </w:rPr>
        <w:t xml:space="preserve"> upokojitvena starost</w:t>
      </w:r>
      <w:r>
        <w:rPr>
          <w:rFonts w:cs="Arial"/>
          <w:szCs w:val="20"/>
          <w:lang w:val="sl-SI"/>
        </w:rPr>
        <w:t xml:space="preserve"> ob vezavi na pričakovano življenjsko dobo</w:t>
      </w:r>
      <w:r w:rsidR="00E940DB" w:rsidRPr="00170078">
        <w:rPr>
          <w:rFonts w:cs="Arial"/>
          <w:szCs w:val="20"/>
          <w:lang w:val="sl-SI"/>
        </w:rPr>
        <w:t xml:space="preserve"> za vsakoletno kohorto zavarovancev fiksirala nekaj let pred dosegom pričakovane upokojitvene starosti (npr. 5 ali 10 let). </w:t>
      </w:r>
    </w:p>
    <w:p w14:paraId="2054850C" w14:textId="3BB3A005" w:rsidR="00DA0CE5" w:rsidRPr="00204890" w:rsidRDefault="00DA0CE5" w:rsidP="00204890">
      <w:pPr>
        <w:pStyle w:val="Odstavekseznama"/>
        <w:numPr>
          <w:ilvl w:val="0"/>
          <w:numId w:val="6"/>
        </w:numPr>
        <w:suppressAutoHyphens w:val="0"/>
        <w:spacing w:after="160" w:line="259" w:lineRule="auto"/>
        <w:jc w:val="both"/>
        <w:rPr>
          <w:rFonts w:cs="Arial"/>
          <w:szCs w:val="20"/>
          <w:lang w:val="sl-SI"/>
        </w:rPr>
      </w:pPr>
      <w:r w:rsidRPr="00B518E8">
        <w:rPr>
          <w:rFonts w:cs="Arial"/>
          <w:i/>
          <w:iCs/>
          <w:szCs w:val="20"/>
          <w:lang w:val="sl-SI"/>
        </w:rPr>
        <w:t xml:space="preserve">Uporaba načela »vsako delo šteje« preko izenačevanja pravic/obveznosti iz naslova občasnih oblik dela z redno zaposlitvijo </w:t>
      </w:r>
      <w:r w:rsidR="00E940DB" w:rsidRPr="00B518E8">
        <w:rPr>
          <w:rFonts w:cs="Arial"/>
          <w:i/>
          <w:iCs/>
          <w:szCs w:val="20"/>
          <w:lang w:val="sl-SI"/>
        </w:rPr>
        <w:t xml:space="preserve">pomeni </w:t>
      </w:r>
      <w:r w:rsidRPr="00B518E8">
        <w:rPr>
          <w:rFonts w:cs="Arial"/>
          <w:i/>
          <w:iCs/>
          <w:szCs w:val="20"/>
          <w:lang w:val="sl-SI"/>
        </w:rPr>
        <w:t>uzakonja</w:t>
      </w:r>
      <w:r w:rsidR="00E940DB" w:rsidRPr="00B518E8">
        <w:rPr>
          <w:rFonts w:cs="Arial"/>
          <w:i/>
          <w:iCs/>
          <w:szCs w:val="20"/>
          <w:lang w:val="sl-SI"/>
        </w:rPr>
        <w:t>nje</w:t>
      </w:r>
      <w:r w:rsidRPr="00B518E8">
        <w:rPr>
          <w:rFonts w:cs="Arial"/>
          <w:i/>
          <w:iCs/>
          <w:szCs w:val="20"/>
          <w:lang w:val="sl-SI"/>
        </w:rPr>
        <w:t xml:space="preserve"> prekarnost</w:t>
      </w:r>
      <w:r w:rsidR="00E940DB" w:rsidRPr="00B518E8">
        <w:rPr>
          <w:rFonts w:cs="Arial"/>
          <w:i/>
          <w:iCs/>
          <w:szCs w:val="20"/>
          <w:lang w:val="sl-SI"/>
        </w:rPr>
        <w:t>i</w:t>
      </w:r>
      <w:r w:rsidRPr="00B518E8">
        <w:rPr>
          <w:rFonts w:cs="Arial"/>
          <w:i/>
          <w:iCs/>
          <w:szCs w:val="20"/>
          <w:lang w:val="sl-SI"/>
        </w:rPr>
        <w:t>.</w:t>
      </w:r>
      <w:r w:rsidRPr="00204890">
        <w:rPr>
          <w:rFonts w:cs="Arial"/>
          <w:szCs w:val="20"/>
          <w:lang w:val="sl-SI"/>
        </w:rPr>
        <w:t xml:space="preserve"> Širjenje tega načela bi ob porušeni </w:t>
      </w:r>
      <w:r w:rsidRPr="00204890">
        <w:rPr>
          <w:rFonts w:cs="Arial"/>
          <w:szCs w:val="20"/>
          <w:lang w:val="sl-SI"/>
        </w:rPr>
        <w:lastRenderedPageBreak/>
        <w:t xml:space="preserve">povezavi med višino pokojnine in vplačanimi prispevki poleg tega še dodatno destimuliralo občasno delo neprekarno zaposlenih napram korporacijskim oblikam delovanja (d.o.o-ji). </w:t>
      </w:r>
    </w:p>
    <w:p w14:paraId="76642FA1" w14:textId="54BDA8D5" w:rsidR="00DA6638" w:rsidRPr="00E63164" w:rsidRDefault="004364EE" w:rsidP="004364EE">
      <w:pPr>
        <w:pStyle w:val="Odstavekseznama"/>
        <w:numPr>
          <w:ilvl w:val="0"/>
          <w:numId w:val="6"/>
        </w:numPr>
        <w:suppressAutoHyphens w:val="0"/>
        <w:spacing w:after="160" w:line="259" w:lineRule="auto"/>
        <w:jc w:val="both"/>
        <w:rPr>
          <w:rFonts w:cs="Arial"/>
          <w:szCs w:val="20"/>
          <w:lang w:val="sl-SI"/>
        </w:rPr>
      </w:pPr>
      <w:r w:rsidRPr="003D52CA">
        <w:rPr>
          <w:rFonts w:cs="Arial"/>
          <w:i/>
          <w:szCs w:val="20"/>
          <w:lang w:val="sl-SI"/>
        </w:rPr>
        <w:t xml:space="preserve">Potreben je bolj sistematičen </w:t>
      </w:r>
      <w:r w:rsidRPr="00CF02DA">
        <w:rPr>
          <w:rFonts w:cs="Arial"/>
          <w:i/>
          <w:szCs w:val="20"/>
          <w:lang w:val="sl-SI"/>
        </w:rPr>
        <w:t>razmislek o vlogi drugega stebra</w:t>
      </w:r>
      <w:r>
        <w:rPr>
          <w:rFonts w:cs="Arial"/>
          <w:szCs w:val="20"/>
          <w:lang w:val="sl-SI"/>
        </w:rPr>
        <w:t>.</w:t>
      </w:r>
      <w:r w:rsidRPr="003D52CA">
        <w:rPr>
          <w:rFonts w:cs="Arial"/>
          <w:szCs w:val="20"/>
          <w:lang w:val="sl-SI"/>
        </w:rPr>
        <w:t xml:space="preserve"> </w:t>
      </w:r>
      <w:r w:rsidR="00170078" w:rsidRPr="00204890">
        <w:rPr>
          <w:rFonts w:cs="Arial"/>
          <w:szCs w:val="20"/>
          <w:lang w:val="sl-SI"/>
        </w:rPr>
        <w:t xml:space="preserve">Prvi steber ostaja osnova sistema, a v razmerah porušene demografske piramide in nizke rasti produktivnosti  zanašanje samo (ali pretežno) na prvi steber prinaša pritisk na višje obremenitve aktivnega prebivalstva za ohranjanje pravic ali pa (alternativno) pritisk na zmanjševanje pravic. </w:t>
      </w:r>
      <w:r w:rsidR="006226A1" w:rsidRPr="00204890">
        <w:rPr>
          <w:rFonts w:cs="Arial"/>
          <w:szCs w:val="20"/>
          <w:lang w:val="sl-SI"/>
        </w:rPr>
        <w:t>Koristi bolj sistematičnega pristopa k drugemu stebru so večplastne. Po eni strani bi se na ta način krepila povezava med vplačili in prejetimi pravicami na ravni posameznika. Po drugi strani bi bil koristen za razvoj kapitalskega trga. S profesionalizirano in mednarodno razpršeno naložbeno politiko pa bi omogočal, da slovenski pokojninski sistem ne bi bil udeležen le v rasti domače ampak tudi globalne produktivnosti.</w:t>
      </w:r>
      <w:r>
        <w:rPr>
          <w:rFonts w:cs="Arial"/>
          <w:szCs w:val="20"/>
          <w:lang w:val="sl-SI"/>
        </w:rPr>
        <w:t xml:space="preserve"> </w:t>
      </w:r>
      <w:r w:rsidRPr="004364EE">
        <w:rPr>
          <w:rFonts w:cs="Arial"/>
          <w:szCs w:val="20"/>
          <w:lang w:val="sl-SI"/>
        </w:rPr>
        <w:t>V zvezi z razmislekom o vlogi drugega stebra sta bila p</w:t>
      </w:r>
      <w:r w:rsidR="00DA6638" w:rsidRPr="002D3010">
        <w:rPr>
          <w:rFonts w:cs="Arial"/>
          <w:szCs w:val="20"/>
          <w:lang w:val="sl-SI"/>
        </w:rPr>
        <w:t xml:space="preserve">odana </w:t>
      </w:r>
      <w:r w:rsidR="00DA6638" w:rsidRPr="00E63164">
        <w:rPr>
          <w:rFonts w:cs="Arial"/>
          <w:szCs w:val="20"/>
          <w:lang w:val="sl-SI"/>
        </w:rPr>
        <w:t>dva konkretna predloga:</w:t>
      </w:r>
    </w:p>
    <w:p w14:paraId="78D63980" w14:textId="6004E731" w:rsidR="00170078" w:rsidRPr="00204890" w:rsidRDefault="00170078" w:rsidP="00170078">
      <w:pPr>
        <w:pStyle w:val="Odstavekseznama"/>
        <w:numPr>
          <w:ilvl w:val="0"/>
          <w:numId w:val="7"/>
        </w:numPr>
        <w:suppressAutoHyphens w:val="0"/>
        <w:spacing w:after="160" w:line="259" w:lineRule="auto"/>
        <w:ind w:left="1248" w:hanging="624"/>
        <w:jc w:val="both"/>
        <w:rPr>
          <w:rFonts w:cs="Arial"/>
          <w:szCs w:val="20"/>
          <w:lang w:val="sl-SI"/>
        </w:rPr>
      </w:pPr>
      <w:r w:rsidRPr="00204890">
        <w:rPr>
          <w:rFonts w:cs="Arial"/>
          <w:szCs w:val="20"/>
          <w:lang w:val="sl-SI"/>
        </w:rPr>
        <w:t>V kontekstu dodatnih prispevkov bi bilo smiselno razmisliti zgolj o »kvazi« obvezni udeležbi v 2. stebru z možnostjo izstopa</w:t>
      </w:r>
      <w:r>
        <w:rPr>
          <w:rFonts w:cs="Arial"/>
          <w:szCs w:val="20"/>
          <w:lang w:val="sl-SI"/>
        </w:rPr>
        <w:t xml:space="preserve"> (opt out clause)</w:t>
      </w:r>
      <w:r w:rsidRPr="00204890">
        <w:rPr>
          <w:rFonts w:cs="Arial"/>
          <w:szCs w:val="20"/>
          <w:lang w:val="sl-SI"/>
        </w:rPr>
        <w:t>. V tej shemi je delodajalec obvezan financirati svoj del premije, vse dokler je svoj del premije pripravljen financirati tudi delojemalec, ki pa lahko iz sheme kadarkoli izstopi. Gleda na izkušnje drugih držav</w:t>
      </w:r>
      <w:r w:rsidR="006226A1">
        <w:rPr>
          <w:rFonts w:cs="Arial"/>
          <w:szCs w:val="20"/>
          <w:lang w:val="sl-SI"/>
        </w:rPr>
        <w:t xml:space="preserve"> bi se povečalo </w:t>
      </w:r>
      <w:r w:rsidRPr="00204890">
        <w:rPr>
          <w:rFonts w:cs="Arial"/>
          <w:szCs w:val="20"/>
          <w:lang w:val="sl-SI"/>
        </w:rPr>
        <w:t>skupno število zavarovancev 2. stebra in s tem obseg sredstev v njegovem upravljanju.</w:t>
      </w:r>
    </w:p>
    <w:p w14:paraId="50334290" w14:textId="537B769B" w:rsidR="006226A1" w:rsidRDefault="006226A1" w:rsidP="006226A1">
      <w:pPr>
        <w:pStyle w:val="Odstavekseznama"/>
        <w:numPr>
          <w:ilvl w:val="0"/>
          <w:numId w:val="7"/>
        </w:numPr>
        <w:suppressAutoHyphens w:val="0"/>
        <w:spacing w:after="160" w:line="259" w:lineRule="auto"/>
        <w:ind w:left="1248" w:hanging="624"/>
        <w:jc w:val="both"/>
        <w:rPr>
          <w:rFonts w:cs="Arial"/>
          <w:szCs w:val="20"/>
          <w:lang w:val="sl-SI"/>
        </w:rPr>
      </w:pPr>
      <w:r>
        <w:rPr>
          <w:rFonts w:cs="Arial"/>
          <w:szCs w:val="20"/>
          <w:lang w:val="sl-SI"/>
        </w:rPr>
        <w:t>S</w:t>
      </w:r>
      <w:r w:rsidRPr="00204890">
        <w:rPr>
          <w:rFonts w:cs="Arial"/>
          <w:szCs w:val="20"/>
          <w:lang w:val="sl-SI"/>
        </w:rPr>
        <w:t>oobstoj obveznega in prostovoljnega dodatnega pokojninskega zavarovanja</w:t>
      </w:r>
      <w:r>
        <w:rPr>
          <w:rFonts w:cs="Arial"/>
          <w:szCs w:val="20"/>
          <w:lang w:val="sl-SI"/>
        </w:rPr>
        <w:t>: o</w:t>
      </w:r>
      <w:r w:rsidRPr="00204890">
        <w:rPr>
          <w:rFonts w:cs="Arial"/>
          <w:szCs w:val="20"/>
          <w:lang w:val="sl-SI"/>
        </w:rPr>
        <w:t>bvezni del bi lahko deloval skupaj s prvim stebrom in bi lahko morda dolgoročno omogočal tudi razbremenitve v okviru prvega stebra. Pri uvajanju drugega stebra bi veljalo zlasti v obveznem delu zasledovati enoten pristop, ki bi ciljal na univerzalno pokritost, vezavo vplačil na dohodke in odpravljanje anomalij, kot so razlike med zasebnim in javnim sektorjem ter razlike med dejavnostmi. V prostovoljnem delu pa bi veljalo zaposlene in delodajalce še naprej stimulirati k dodatnemu varčevanju.</w:t>
      </w:r>
    </w:p>
    <w:p w14:paraId="04B4FDE5" w14:textId="77777777" w:rsidR="00DA0CE5" w:rsidRPr="00204890" w:rsidRDefault="00DA0CE5" w:rsidP="00204890">
      <w:pPr>
        <w:pStyle w:val="Odstavekseznama"/>
        <w:rPr>
          <w:rFonts w:cs="Arial"/>
          <w:szCs w:val="20"/>
          <w:lang w:val="sl-SI"/>
        </w:rPr>
      </w:pPr>
    </w:p>
    <w:p w14:paraId="32527C3B" w14:textId="31773B8B" w:rsidR="00DA0CE5" w:rsidRPr="00F3793D" w:rsidRDefault="009D2D02" w:rsidP="002F7AAA">
      <w:pPr>
        <w:spacing w:after="120" w:line="276" w:lineRule="auto"/>
        <w:jc w:val="both"/>
        <w:rPr>
          <w:rFonts w:eastAsia="Calibri" w:cs="Arial"/>
          <w:szCs w:val="20"/>
          <w:lang w:val="sl-SI"/>
        </w:rPr>
      </w:pPr>
      <w:r w:rsidRPr="009D2D02">
        <w:rPr>
          <w:rFonts w:cs="Arial"/>
          <w:szCs w:val="20"/>
          <w:lang w:val="sl-SI"/>
        </w:rPr>
        <w:t xml:space="preserve">Ob razpravi o </w:t>
      </w:r>
      <w:r w:rsidR="00DA6638" w:rsidRPr="009D2D02">
        <w:rPr>
          <w:rFonts w:cs="Arial"/>
          <w:szCs w:val="20"/>
          <w:lang w:val="sl-SI"/>
        </w:rPr>
        <w:t>indeksacij</w:t>
      </w:r>
      <w:r w:rsidRPr="009D2D02">
        <w:rPr>
          <w:rFonts w:cs="Arial"/>
          <w:szCs w:val="20"/>
          <w:lang w:val="sl-SI"/>
        </w:rPr>
        <w:t>i pokojnin</w:t>
      </w:r>
      <w:r w:rsidR="00DA6638" w:rsidRPr="009D2D02">
        <w:rPr>
          <w:rFonts w:cs="Arial"/>
          <w:szCs w:val="20"/>
          <w:lang w:val="sl-SI"/>
        </w:rPr>
        <w:t xml:space="preserve"> </w:t>
      </w:r>
      <w:r w:rsidRPr="009D2D02">
        <w:rPr>
          <w:rFonts w:cs="Arial"/>
          <w:szCs w:val="20"/>
          <w:lang w:val="sl-SI"/>
        </w:rPr>
        <w:t xml:space="preserve">je bilo  - v kontekstu </w:t>
      </w:r>
      <w:r w:rsidR="00DA6638" w:rsidRPr="009D2D02">
        <w:rPr>
          <w:rFonts w:cs="Arial"/>
          <w:szCs w:val="20"/>
          <w:lang w:val="sl-SI"/>
        </w:rPr>
        <w:t xml:space="preserve">nedavno sprejete indeksacije socialnih transferjev v letu 2024 z inflacijo v celoti </w:t>
      </w:r>
      <w:r w:rsidRPr="009D2D02">
        <w:rPr>
          <w:rFonts w:cs="Arial"/>
          <w:szCs w:val="20"/>
          <w:lang w:val="sl-SI"/>
        </w:rPr>
        <w:t xml:space="preserve"> -</w:t>
      </w:r>
      <w:r w:rsidR="00DA6638" w:rsidRPr="009D2D02">
        <w:rPr>
          <w:rFonts w:cs="Arial"/>
          <w:szCs w:val="20"/>
          <w:lang w:val="sl-SI"/>
        </w:rPr>
        <w:t xml:space="preserve"> podobno kot že na več preteklih sejah opozorjeno</w:t>
      </w:r>
      <w:r w:rsidR="00A0685E" w:rsidRPr="009D2D02">
        <w:rPr>
          <w:rFonts w:cs="Arial"/>
          <w:szCs w:val="20"/>
          <w:lang w:val="sl-SI"/>
        </w:rPr>
        <w:t xml:space="preserve">, da </w:t>
      </w:r>
      <w:r w:rsidRPr="009D2D02">
        <w:rPr>
          <w:rFonts w:cs="Arial"/>
          <w:szCs w:val="20"/>
          <w:lang w:val="sl-SI"/>
        </w:rPr>
        <w:t>avtomatizem pri indeksaciji prispeva k vztrajnosti (persistentnosti) inflacije, tako je</w:t>
      </w:r>
      <w:r w:rsidR="00A07391">
        <w:rPr>
          <w:rFonts w:cs="Arial"/>
          <w:szCs w:val="20"/>
          <w:lang w:val="sl-SI"/>
        </w:rPr>
        <w:t xml:space="preserve">, recimo, odločitev o polni </w:t>
      </w:r>
      <w:r w:rsidRPr="009D2D02">
        <w:rPr>
          <w:rFonts w:cs="Arial"/>
          <w:szCs w:val="20"/>
          <w:lang w:val="sl-SI"/>
        </w:rPr>
        <w:t>indeksacij</w:t>
      </w:r>
      <w:r w:rsidR="00A07391">
        <w:rPr>
          <w:rFonts w:cs="Arial"/>
          <w:szCs w:val="20"/>
          <w:lang w:val="sl-SI"/>
        </w:rPr>
        <w:t xml:space="preserve">i </w:t>
      </w:r>
      <w:r w:rsidRPr="009D2D02">
        <w:rPr>
          <w:rFonts w:cs="Arial"/>
          <w:szCs w:val="20"/>
          <w:lang w:val="sl-SI"/>
        </w:rPr>
        <w:t xml:space="preserve">transferov sprožila zahteve po usklajevanju plač v javnem sektorju. Prav tako  </w:t>
      </w:r>
      <w:r w:rsidR="00A0685E" w:rsidRPr="009D2D02">
        <w:rPr>
          <w:rFonts w:cs="Arial"/>
          <w:szCs w:val="20"/>
          <w:lang w:val="sl-SI"/>
        </w:rPr>
        <w:t>so osnove za indeksacije raz</w:t>
      </w:r>
      <w:r w:rsidRPr="009D2D02">
        <w:rPr>
          <w:rFonts w:cs="Arial"/>
          <w:szCs w:val="20"/>
          <w:lang w:val="sl-SI"/>
        </w:rPr>
        <w:t>lične po posameznih transferjih</w:t>
      </w:r>
      <w:r w:rsidR="00DA6638" w:rsidRPr="009D2D02">
        <w:rPr>
          <w:rFonts w:cs="Arial"/>
          <w:szCs w:val="20"/>
          <w:lang w:val="sl-SI"/>
        </w:rPr>
        <w:t xml:space="preserve"> </w:t>
      </w:r>
      <w:r w:rsidRPr="009D2D02">
        <w:rPr>
          <w:rFonts w:cs="Arial"/>
          <w:szCs w:val="20"/>
          <w:lang w:val="sl-SI"/>
        </w:rPr>
        <w:t>in dohodkih</w:t>
      </w:r>
      <w:r>
        <w:rPr>
          <w:rFonts w:cs="Arial"/>
          <w:szCs w:val="20"/>
          <w:lang w:val="sl-SI"/>
        </w:rPr>
        <w:t>, kar vnaša nesorazmerna povišanja in porušenje razmerij med plačami in transferji tudi z vidika spodbud za delo.</w:t>
      </w:r>
      <w:r w:rsidR="006226A1">
        <w:rPr>
          <w:rFonts w:cs="Arial"/>
          <w:szCs w:val="20"/>
          <w:lang w:val="sl-SI"/>
        </w:rPr>
        <w:t xml:space="preserve"> Zato bi bil na tem področju potreben celovit pregled in ustrezna ureditev razmer.</w:t>
      </w:r>
    </w:p>
    <w:p w14:paraId="5C8AC5F4" w14:textId="72D00804" w:rsidR="00BD5A07" w:rsidRDefault="00BD5A07" w:rsidP="00BD5A07">
      <w:pPr>
        <w:spacing w:after="160" w:line="259" w:lineRule="auto"/>
        <w:rPr>
          <w:rFonts w:eastAsia="Calibri" w:cs="Arial"/>
          <w:szCs w:val="20"/>
          <w:lang w:val="sl-SI"/>
        </w:rPr>
      </w:pPr>
    </w:p>
    <w:p w14:paraId="52D907EB" w14:textId="77777777" w:rsidR="008D76E4" w:rsidRDefault="00420FE6" w:rsidP="00BD5A07">
      <w:pPr>
        <w:spacing w:after="160" w:line="259" w:lineRule="auto"/>
        <w:jc w:val="both"/>
        <w:rPr>
          <w:rFonts w:eastAsia="Calibri" w:cs="Arial"/>
          <w:szCs w:val="20"/>
          <w:lang w:val="sl-SI"/>
        </w:rPr>
      </w:pPr>
      <w:r>
        <w:rPr>
          <w:rFonts w:eastAsia="Calibri" w:cs="Arial"/>
          <w:szCs w:val="20"/>
          <w:lang w:val="sl-SI"/>
        </w:rPr>
        <w:t xml:space="preserve">Seja se je zaključila ob </w:t>
      </w:r>
      <w:r w:rsidR="003D5890">
        <w:rPr>
          <w:rFonts w:eastAsia="Calibri" w:cs="Arial"/>
          <w:szCs w:val="20"/>
          <w:lang w:val="sl-SI"/>
        </w:rPr>
        <w:t>18</w:t>
      </w:r>
      <w:r>
        <w:rPr>
          <w:rFonts w:eastAsia="Calibri" w:cs="Arial"/>
          <w:szCs w:val="20"/>
          <w:lang w:val="sl-SI"/>
        </w:rPr>
        <w:t>.</w:t>
      </w:r>
      <w:r w:rsidR="00EA66DA">
        <w:rPr>
          <w:rFonts w:eastAsia="Calibri" w:cs="Arial"/>
          <w:szCs w:val="20"/>
          <w:lang w:val="sl-SI"/>
        </w:rPr>
        <w:t>4</w:t>
      </w:r>
      <w:r>
        <w:rPr>
          <w:rFonts w:eastAsia="Calibri" w:cs="Arial"/>
          <w:szCs w:val="20"/>
          <w:lang w:val="sl-SI"/>
        </w:rPr>
        <w:t>0 uri.</w:t>
      </w:r>
    </w:p>
    <w:p w14:paraId="6B1199E3" w14:textId="77777777" w:rsidR="000865F4" w:rsidRDefault="000865F4" w:rsidP="00183BAF">
      <w:pPr>
        <w:spacing w:after="160" w:line="259" w:lineRule="auto"/>
        <w:rPr>
          <w:rFonts w:eastAsia="Calibri" w:cs="Arial"/>
          <w:szCs w:val="20"/>
          <w:lang w:val="sl-SI"/>
        </w:rPr>
      </w:pPr>
    </w:p>
    <w:p w14:paraId="1D49794D" w14:textId="77777777" w:rsidR="000865F4" w:rsidRDefault="000865F4" w:rsidP="00183BAF">
      <w:pPr>
        <w:spacing w:after="160" w:line="259" w:lineRule="auto"/>
        <w:rPr>
          <w:rFonts w:eastAsia="Calibri" w:cs="Arial"/>
          <w:b/>
          <w:szCs w:val="20"/>
          <w:lang w:val="sl-SI"/>
        </w:rPr>
      </w:pPr>
    </w:p>
    <w:p w14:paraId="721AE63C" w14:textId="77777777" w:rsidR="008D76E4" w:rsidRDefault="008D76E4">
      <w:pPr>
        <w:spacing w:line="276" w:lineRule="auto"/>
        <w:ind w:left="4248" w:firstLine="5"/>
        <w:rPr>
          <w:rFonts w:eastAsia="Calibri" w:cs="Arial"/>
          <w:szCs w:val="20"/>
          <w:lang w:val="sl-SI"/>
        </w:rPr>
      </w:pPr>
    </w:p>
    <w:p w14:paraId="0CFF711A" w14:textId="77777777" w:rsidR="008D76E4" w:rsidRDefault="008D76E4">
      <w:pPr>
        <w:spacing w:line="276" w:lineRule="auto"/>
        <w:ind w:left="4248" w:firstLine="5"/>
        <w:rPr>
          <w:rFonts w:eastAsia="Calibri" w:cs="Arial"/>
          <w:szCs w:val="20"/>
          <w:lang w:val="sl-SI"/>
        </w:rPr>
      </w:pPr>
      <w:bookmarkStart w:id="0" w:name="_GoBack"/>
      <w:bookmarkEnd w:id="0"/>
    </w:p>
    <w:p w14:paraId="3EA2BC1A" w14:textId="77777777" w:rsidR="008D76E4" w:rsidRDefault="008D76E4">
      <w:pPr>
        <w:spacing w:line="276" w:lineRule="auto"/>
        <w:ind w:left="4248" w:firstLine="5"/>
        <w:rPr>
          <w:rFonts w:eastAsia="Calibri" w:cs="Arial"/>
          <w:szCs w:val="20"/>
          <w:lang w:val="sl-SI"/>
        </w:rPr>
      </w:pPr>
    </w:p>
    <w:p w14:paraId="0416FA21" w14:textId="77777777" w:rsidR="008D76E4" w:rsidRDefault="008D76E4">
      <w:pPr>
        <w:spacing w:line="276" w:lineRule="auto"/>
        <w:ind w:left="4248" w:firstLine="5"/>
        <w:rPr>
          <w:rFonts w:eastAsia="Calibri" w:cs="Arial"/>
          <w:szCs w:val="20"/>
          <w:lang w:val="sl-SI"/>
        </w:rPr>
      </w:pPr>
    </w:p>
    <w:p w14:paraId="00867ED0" w14:textId="77777777" w:rsidR="008D76E4" w:rsidRDefault="00A02584" w:rsidP="00A02584">
      <w:pPr>
        <w:spacing w:line="276" w:lineRule="auto"/>
        <w:rPr>
          <w:rFonts w:eastAsia="Calibri" w:cs="Arial"/>
          <w:szCs w:val="20"/>
          <w:lang w:val="sl-SI"/>
        </w:rPr>
      </w:pPr>
      <w:r>
        <w:rPr>
          <w:rFonts w:eastAsia="Calibri" w:cs="Arial"/>
          <w:szCs w:val="20"/>
          <w:lang w:val="sl-SI"/>
        </w:rPr>
        <w:t xml:space="preserve">                                                                mag</w:t>
      </w:r>
      <w:r w:rsidR="00420FE6">
        <w:rPr>
          <w:rFonts w:eastAsia="Calibri" w:cs="Arial"/>
          <w:szCs w:val="20"/>
          <w:lang w:val="sl-SI"/>
        </w:rPr>
        <w:t xml:space="preserve">. </w:t>
      </w:r>
      <w:r>
        <w:rPr>
          <w:rFonts w:eastAsia="Calibri" w:cs="Arial"/>
          <w:szCs w:val="20"/>
          <w:lang w:val="sl-SI"/>
        </w:rPr>
        <w:t>Marijana Bednaš</w:t>
      </w:r>
    </w:p>
    <w:p w14:paraId="42BB953B" w14:textId="77777777" w:rsidR="008D76E4" w:rsidRDefault="00420FE6" w:rsidP="00A02584">
      <w:pPr>
        <w:spacing w:line="276" w:lineRule="auto"/>
        <w:ind w:left="3539"/>
        <w:rPr>
          <w:rFonts w:eastAsia="Calibri" w:cs="Arial"/>
          <w:b/>
          <w:szCs w:val="20"/>
          <w:lang w:val="sl-SI"/>
        </w:rPr>
      </w:pPr>
      <w:bookmarkStart w:id="1" w:name="_Hlk61014710"/>
      <w:r>
        <w:rPr>
          <w:rFonts w:eastAsia="Calibri" w:cs="Arial"/>
          <w:szCs w:val="20"/>
          <w:lang w:val="sl-SI"/>
        </w:rPr>
        <w:t>predsedni</w:t>
      </w:r>
      <w:r w:rsidR="00A02584">
        <w:rPr>
          <w:rFonts w:eastAsia="Calibri" w:cs="Arial"/>
          <w:szCs w:val="20"/>
          <w:lang w:val="sl-SI"/>
        </w:rPr>
        <w:t>ca</w:t>
      </w:r>
      <w:r>
        <w:rPr>
          <w:rFonts w:eastAsia="Calibri" w:cs="Arial"/>
          <w:szCs w:val="20"/>
          <w:lang w:val="sl-SI"/>
        </w:rPr>
        <w:t xml:space="preserve"> Strateškega sveta za </w:t>
      </w:r>
      <w:bookmarkEnd w:id="1"/>
      <w:r w:rsidR="00A02584">
        <w:rPr>
          <w:rFonts w:eastAsia="Calibri" w:cs="Arial"/>
          <w:szCs w:val="20"/>
          <w:lang w:val="sl-SI"/>
        </w:rPr>
        <w:t>makroekonomska vprašanja</w:t>
      </w:r>
    </w:p>
    <w:sectPr w:rsidR="008D76E4">
      <w:headerReference w:type="first" r:id="rId8"/>
      <w:pgSz w:w="11906" w:h="16838"/>
      <w:pgMar w:top="1701" w:right="1274" w:bottom="1134" w:left="1418" w:header="964"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E39282" w14:textId="77777777" w:rsidR="006B2036" w:rsidRDefault="006B2036">
      <w:pPr>
        <w:spacing w:line="240" w:lineRule="auto"/>
      </w:pPr>
      <w:r>
        <w:separator/>
      </w:r>
    </w:p>
  </w:endnote>
  <w:endnote w:type="continuationSeparator" w:id="0">
    <w:p w14:paraId="14F214B2" w14:textId="77777777" w:rsidR="006B2036" w:rsidRDefault="006B20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F73AE6" w14:textId="77777777" w:rsidR="006B2036" w:rsidRDefault="006B2036">
      <w:pPr>
        <w:spacing w:line="240" w:lineRule="auto"/>
      </w:pPr>
      <w:r>
        <w:separator/>
      </w:r>
    </w:p>
  </w:footnote>
  <w:footnote w:type="continuationSeparator" w:id="0">
    <w:p w14:paraId="3A939993" w14:textId="77777777" w:rsidR="006B2036" w:rsidRDefault="006B203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CB188" w14:textId="77777777" w:rsidR="008D76E4" w:rsidRDefault="00420FE6">
    <w:pPr>
      <w:pStyle w:val="Glava"/>
      <w:tabs>
        <w:tab w:val="clear" w:pos="4536"/>
        <w:tab w:val="clear" w:pos="9072"/>
        <w:tab w:val="left" w:pos="5112"/>
        <w:tab w:val="left" w:pos="8641"/>
      </w:tabs>
      <w:spacing w:before="340" w:line="240" w:lineRule="exact"/>
      <w:ind w:left="-765"/>
      <w:rPr>
        <w:rFonts w:cs="Arial"/>
        <w:sz w:val="16"/>
      </w:rPr>
    </w:pPr>
    <w:r>
      <w:rPr>
        <w:noProof/>
        <w:lang w:val="sl-SI" w:eastAsia="sl-SI"/>
      </w:rPr>
      <w:drawing>
        <wp:inline distT="0" distB="0" distL="0" distR="0" wp14:anchorId="1168FD39" wp14:editId="03C732BA">
          <wp:extent cx="2238375" cy="323850"/>
          <wp:effectExtent l="0" t="0" r="0" b="0"/>
          <wp:docPr id="1" name="Slika 9" descr="REPUBLIKA SLOVENIJA&#10;KABINET PREDSEDNIKA VL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9" descr="REPUBLIKA SLOVENIJA&#10;KABINET PREDSEDNIKA VLADE"/>
                  <pic:cNvPicPr>
                    <a:picLocks noChangeAspect="1" noChangeArrowheads="1"/>
                  </pic:cNvPicPr>
                </pic:nvPicPr>
                <pic:blipFill>
                  <a:blip r:embed="rId1"/>
                  <a:stretch>
                    <a:fillRect/>
                  </a:stretch>
                </pic:blipFill>
                <pic:spPr bwMode="auto">
                  <a:xfrm>
                    <a:off x="0" y="0"/>
                    <a:ext cx="2238375" cy="323850"/>
                  </a:xfrm>
                  <a:prstGeom prst="rect">
                    <a:avLst/>
                  </a:prstGeom>
                </pic:spPr>
              </pic:pic>
            </a:graphicData>
          </a:graphic>
        </wp:inline>
      </w:drawing>
    </w:r>
  </w:p>
  <w:p w14:paraId="57C3827A" w14:textId="5DD342FD" w:rsidR="008D76E4" w:rsidRDefault="00420FE6">
    <w:pPr>
      <w:pStyle w:val="Glava"/>
      <w:tabs>
        <w:tab w:val="clear" w:pos="4536"/>
        <w:tab w:val="clear" w:pos="9072"/>
        <w:tab w:val="left" w:pos="3544"/>
      </w:tabs>
      <w:spacing w:line="240" w:lineRule="exact"/>
      <w:rPr>
        <w:rFonts w:ascii="Republika" w:hAnsi="Republika" w:cs="Arial"/>
        <w:color w:val="54A1BC"/>
        <w:sz w:val="24"/>
      </w:rPr>
    </w:pPr>
    <w:r>
      <w:rPr>
        <w:rFonts w:ascii="Republika" w:hAnsi="Republika" w:cs="Arial"/>
        <w:color w:val="54A1BC"/>
        <w:sz w:val="24"/>
      </w:rPr>
      <w:t xml:space="preserve">Strateški svet za </w:t>
    </w:r>
    <w:r w:rsidR="00170078">
      <w:rPr>
        <w:rFonts w:ascii="Republika" w:hAnsi="Republika" w:cs="Arial"/>
        <w:color w:val="54A1BC"/>
        <w:sz w:val="24"/>
      </w:rPr>
      <w:t>makroekonomska vprašanja</w:t>
    </w:r>
    <w:r>
      <w:rPr>
        <w:rFonts w:ascii="Republika" w:hAnsi="Republika" w:cs="Arial"/>
        <w:color w:val="54A1BC"/>
        <w:sz w:val="24"/>
      </w:rPr>
      <w:tab/>
    </w:r>
    <w:r>
      <w:rPr>
        <w:rFonts w:ascii="Republika" w:hAnsi="Republika" w:cs="Arial"/>
        <w:color w:val="54A1BC"/>
        <w:sz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E6C86"/>
    <w:multiLevelType w:val="hybridMultilevel"/>
    <w:tmpl w:val="41C6BE82"/>
    <w:lvl w:ilvl="0" w:tplc="31608512">
      <w:start w:val="1"/>
      <w:numFmt w:val="bullet"/>
      <w:lvlText w:val="•"/>
      <w:lvlJc w:val="left"/>
      <w:pPr>
        <w:tabs>
          <w:tab w:val="num" w:pos="720"/>
        </w:tabs>
        <w:ind w:left="720" w:hanging="360"/>
      </w:pPr>
      <w:rPr>
        <w:rFonts w:ascii="Arial" w:hAnsi="Arial" w:hint="default"/>
      </w:rPr>
    </w:lvl>
    <w:lvl w:ilvl="1" w:tplc="9C90BD76" w:tentative="1">
      <w:start w:val="1"/>
      <w:numFmt w:val="bullet"/>
      <w:lvlText w:val="•"/>
      <w:lvlJc w:val="left"/>
      <w:pPr>
        <w:tabs>
          <w:tab w:val="num" w:pos="1440"/>
        </w:tabs>
        <w:ind w:left="1440" w:hanging="360"/>
      </w:pPr>
      <w:rPr>
        <w:rFonts w:ascii="Arial" w:hAnsi="Arial" w:hint="default"/>
      </w:rPr>
    </w:lvl>
    <w:lvl w:ilvl="2" w:tplc="E15885B6" w:tentative="1">
      <w:start w:val="1"/>
      <w:numFmt w:val="bullet"/>
      <w:lvlText w:val="•"/>
      <w:lvlJc w:val="left"/>
      <w:pPr>
        <w:tabs>
          <w:tab w:val="num" w:pos="2160"/>
        </w:tabs>
        <w:ind w:left="2160" w:hanging="360"/>
      </w:pPr>
      <w:rPr>
        <w:rFonts w:ascii="Arial" w:hAnsi="Arial" w:hint="default"/>
      </w:rPr>
    </w:lvl>
    <w:lvl w:ilvl="3" w:tplc="15DAD3CA" w:tentative="1">
      <w:start w:val="1"/>
      <w:numFmt w:val="bullet"/>
      <w:lvlText w:val="•"/>
      <w:lvlJc w:val="left"/>
      <w:pPr>
        <w:tabs>
          <w:tab w:val="num" w:pos="2880"/>
        </w:tabs>
        <w:ind w:left="2880" w:hanging="360"/>
      </w:pPr>
      <w:rPr>
        <w:rFonts w:ascii="Arial" w:hAnsi="Arial" w:hint="default"/>
      </w:rPr>
    </w:lvl>
    <w:lvl w:ilvl="4" w:tplc="7EA05A90" w:tentative="1">
      <w:start w:val="1"/>
      <w:numFmt w:val="bullet"/>
      <w:lvlText w:val="•"/>
      <w:lvlJc w:val="left"/>
      <w:pPr>
        <w:tabs>
          <w:tab w:val="num" w:pos="3600"/>
        </w:tabs>
        <w:ind w:left="3600" w:hanging="360"/>
      </w:pPr>
      <w:rPr>
        <w:rFonts w:ascii="Arial" w:hAnsi="Arial" w:hint="default"/>
      </w:rPr>
    </w:lvl>
    <w:lvl w:ilvl="5" w:tplc="B36A5C6C" w:tentative="1">
      <w:start w:val="1"/>
      <w:numFmt w:val="bullet"/>
      <w:lvlText w:val="•"/>
      <w:lvlJc w:val="left"/>
      <w:pPr>
        <w:tabs>
          <w:tab w:val="num" w:pos="4320"/>
        </w:tabs>
        <w:ind w:left="4320" w:hanging="360"/>
      </w:pPr>
      <w:rPr>
        <w:rFonts w:ascii="Arial" w:hAnsi="Arial" w:hint="default"/>
      </w:rPr>
    </w:lvl>
    <w:lvl w:ilvl="6" w:tplc="09F08A9A" w:tentative="1">
      <w:start w:val="1"/>
      <w:numFmt w:val="bullet"/>
      <w:lvlText w:val="•"/>
      <w:lvlJc w:val="left"/>
      <w:pPr>
        <w:tabs>
          <w:tab w:val="num" w:pos="5040"/>
        </w:tabs>
        <w:ind w:left="5040" w:hanging="360"/>
      </w:pPr>
      <w:rPr>
        <w:rFonts w:ascii="Arial" w:hAnsi="Arial" w:hint="default"/>
      </w:rPr>
    </w:lvl>
    <w:lvl w:ilvl="7" w:tplc="DD9090FA" w:tentative="1">
      <w:start w:val="1"/>
      <w:numFmt w:val="bullet"/>
      <w:lvlText w:val="•"/>
      <w:lvlJc w:val="left"/>
      <w:pPr>
        <w:tabs>
          <w:tab w:val="num" w:pos="5760"/>
        </w:tabs>
        <w:ind w:left="5760" w:hanging="360"/>
      </w:pPr>
      <w:rPr>
        <w:rFonts w:ascii="Arial" w:hAnsi="Arial" w:hint="default"/>
      </w:rPr>
    </w:lvl>
    <w:lvl w:ilvl="8" w:tplc="4F7CD90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BBA6ECE"/>
    <w:multiLevelType w:val="hybridMultilevel"/>
    <w:tmpl w:val="3FB80138"/>
    <w:lvl w:ilvl="0" w:tplc="08090001">
      <w:start w:val="1"/>
      <w:numFmt w:val="bullet"/>
      <w:lvlText w:val=""/>
      <w:lvlJc w:val="left"/>
      <w:pPr>
        <w:ind w:left="1080" w:hanging="360"/>
      </w:pPr>
      <w:rPr>
        <w:rFonts w:ascii="Symbol" w:hAnsi="Symbol"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2" w15:restartNumberingAfterBreak="0">
    <w:nsid w:val="26AC5783"/>
    <w:multiLevelType w:val="hybridMultilevel"/>
    <w:tmpl w:val="EC7CD5C6"/>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3D07463"/>
    <w:multiLevelType w:val="hybridMultilevel"/>
    <w:tmpl w:val="13EC82BE"/>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A951EAE"/>
    <w:multiLevelType w:val="multilevel"/>
    <w:tmpl w:val="473C3E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08F45FF"/>
    <w:multiLevelType w:val="hybridMultilevel"/>
    <w:tmpl w:val="2B3CEA0A"/>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B5811BF"/>
    <w:multiLevelType w:val="hybridMultilevel"/>
    <w:tmpl w:val="F67819D2"/>
    <w:lvl w:ilvl="0" w:tplc="08090015">
      <w:start w:val="1"/>
      <w:numFmt w:val="upp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7" w15:restartNumberingAfterBreak="0">
    <w:nsid w:val="69A47FB5"/>
    <w:multiLevelType w:val="multilevel"/>
    <w:tmpl w:val="33DE46E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4"/>
  </w:num>
  <w:num w:numId="2">
    <w:abstractNumId w:val="7"/>
  </w:num>
  <w:num w:numId="3">
    <w:abstractNumId w:val="0"/>
  </w:num>
  <w:num w:numId="4">
    <w:abstractNumId w:val="1"/>
  </w:num>
  <w:num w:numId="5">
    <w:abstractNumId w:val="6"/>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6E4"/>
    <w:rsid w:val="00013722"/>
    <w:rsid w:val="00023BF8"/>
    <w:rsid w:val="00035359"/>
    <w:rsid w:val="000501F2"/>
    <w:rsid w:val="00067F60"/>
    <w:rsid w:val="000769F7"/>
    <w:rsid w:val="000865F4"/>
    <w:rsid w:val="000943C9"/>
    <w:rsid w:val="000B0933"/>
    <w:rsid w:val="000E5131"/>
    <w:rsid w:val="000F0C41"/>
    <w:rsid w:val="001168CC"/>
    <w:rsid w:val="001468AA"/>
    <w:rsid w:val="00161DDA"/>
    <w:rsid w:val="0017005A"/>
    <w:rsid w:val="00170078"/>
    <w:rsid w:val="00176842"/>
    <w:rsid w:val="00176DBC"/>
    <w:rsid w:val="00183BAF"/>
    <w:rsid w:val="001B1EB0"/>
    <w:rsid w:val="001D247E"/>
    <w:rsid w:val="001E2A02"/>
    <w:rsid w:val="00204890"/>
    <w:rsid w:val="00205C1A"/>
    <w:rsid w:val="0021461D"/>
    <w:rsid w:val="00215F41"/>
    <w:rsid w:val="0023645F"/>
    <w:rsid w:val="00253B88"/>
    <w:rsid w:val="002577A6"/>
    <w:rsid w:val="00263A4B"/>
    <w:rsid w:val="00274111"/>
    <w:rsid w:val="002A1A0D"/>
    <w:rsid w:val="002B160D"/>
    <w:rsid w:val="002D25DD"/>
    <w:rsid w:val="002D3010"/>
    <w:rsid w:val="002F68CA"/>
    <w:rsid w:val="002F7AAA"/>
    <w:rsid w:val="003010F3"/>
    <w:rsid w:val="003106B8"/>
    <w:rsid w:val="0031225A"/>
    <w:rsid w:val="00313E90"/>
    <w:rsid w:val="0031537D"/>
    <w:rsid w:val="00317BF7"/>
    <w:rsid w:val="003243D1"/>
    <w:rsid w:val="00332C4E"/>
    <w:rsid w:val="00351333"/>
    <w:rsid w:val="00361474"/>
    <w:rsid w:val="003755D9"/>
    <w:rsid w:val="00385151"/>
    <w:rsid w:val="0039584D"/>
    <w:rsid w:val="003A67CD"/>
    <w:rsid w:val="003D52CA"/>
    <w:rsid w:val="003D5890"/>
    <w:rsid w:val="003E30D5"/>
    <w:rsid w:val="003E6541"/>
    <w:rsid w:val="00415DB8"/>
    <w:rsid w:val="00420FE6"/>
    <w:rsid w:val="00421706"/>
    <w:rsid w:val="004364EE"/>
    <w:rsid w:val="00441333"/>
    <w:rsid w:val="004704C2"/>
    <w:rsid w:val="00485916"/>
    <w:rsid w:val="00494B71"/>
    <w:rsid w:val="004B4C39"/>
    <w:rsid w:val="004B5D40"/>
    <w:rsid w:val="004F1010"/>
    <w:rsid w:val="004F5003"/>
    <w:rsid w:val="005017EF"/>
    <w:rsid w:val="00502022"/>
    <w:rsid w:val="00506A5C"/>
    <w:rsid w:val="00534A1C"/>
    <w:rsid w:val="00562E16"/>
    <w:rsid w:val="0056662D"/>
    <w:rsid w:val="005674A4"/>
    <w:rsid w:val="00570AEF"/>
    <w:rsid w:val="00576437"/>
    <w:rsid w:val="005775A4"/>
    <w:rsid w:val="00591FC7"/>
    <w:rsid w:val="0061078F"/>
    <w:rsid w:val="006226A1"/>
    <w:rsid w:val="00622886"/>
    <w:rsid w:val="006258A2"/>
    <w:rsid w:val="006308C5"/>
    <w:rsid w:val="00631469"/>
    <w:rsid w:val="00645652"/>
    <w:rsid w:val="00645A22"/>
    <w:rsid w:val="00655A05"/>
    <w:rsid w:val="006566CE"/>
    <w:rsid w:val="00674964"/>
    <w:rsid w:val="00675943"/>
    <w:rsid w:val="006839BD"/>
    <w:rsid w:val="00690CB0"/>
    <w:rsid w:val="006B2036"/>
    <w:rsid w:val="006E089A"/>
    <w:rsid w:val="006E698A"/>
    <w:rsid w:val="00710C40"/>
    <w:rsid w:val="00732F31"/>
    <w:rsid w:val="00744050"/>
    <w:rsid w:val="007459C6"/>
    <w:rsid w:val="00747A84"/>
    <w:rsid w:val="00767E8C"/>
    <w:rsid w:val="00774489"/>
    <w:rsid w:val="00787CD6"/>
    <w:rsid w:val="007C657B"/>
    <w:rsid w:val="007F1D4C"/>
    <w:rsid w:val="00833F6E"/>
    <w:rsid w:val="00854CA5"/>
    <w:rsid w:val="008920E1"/>
    <w:rsid w:val="008A61D8"/>
    <w:rsid w:val="008B72DE"/>
    <w:rsid w:val="008C3074"/>
    <w:rsid w:val="008D76E4"/>
    <w:rsid w:val="008F2AF6"/>
    <w:rsid w:val="0092107B"/>
    <w:rsid w:val="00926A3A"/>
    <w:rsid w:val="00941E7B"/>
    <w:rsid w:val="00960963"/>
    <w:rsid w:val="00962C01"/>
    <w:rsid w:val="0096349C"/>
    <w:rsid w:val="00972146"/>
    <w:rsid w:val="009728DD"/>
    <w:rsid w:val="00980EC3"/>
    <w:rsid w:val="00986C3C"/>
    <w:rsid w:val="009A00BE"/>
    <w:rsid w:val="009D2D02"/>
    <w:rsid w:val="009F227B"/>
    <w:rsid w:val="00A00328"/>
    <w:rsid w:val="00A02584"/>
    <w:rsid w:val="00A0685E"/>
    <w:rsid w:val="00A07391"/>
    <w:rsid w:val="00A24CB2"/>
    <w:rsid w:val="00A348B0"/>
    <w:rsid w:val="00A354B3"/>
    <w:rsid w:val="00A36D31"/>
    <w:rsid w:val="00A42FC3"/>
    <w:rsid w:val="00A54920"/>
    <w:rsid w:val="00A76CA3"/>
    <w:rsid w:val="00A84301"/>
    <w:rsid w:val="00A8688C"/>
    <w:rsid w:val="00A90D17"/>
    <w:rsid w:val="00A951D1"/>
    <w:rsid w:val="00AC2F06"/>
    <w:rsid w:val="00AD6D04"/>
    <w:rsid w:val="00AF5D91"/>
    <w:rsid w:val="00B01831"/>
    <w:rsid w:val="00B113D9"/>
    <w:rsid w:val="00B42F5C"/>
    <w:rsid w:val="00B518E8"/>
    <w:rsid w:val="00B64082"/>
    <w:rsid w:val="00B807FC"/>
    <w:rsid w:val="00B87162"/>
    <w:rsid w:val="00B87390"/>
    <w:rsid w:val="00BB3DC4"/>
    <w:rsid w:val="00BC2171"/>
    <w:rsid w:val="00BC5D2A"/>
    <w:rsid w:val="00BD5A07"/>
    <w:rsid w:val="00BF3760"/>
    <w:rsid w:val="00C02CB2"/>
    <w:rsid w:val="00C303B5"/>
    <w:rsid w:val="00C640CA"/>
    <w:rsid w:val="00C72595"/>
    <w:rsid w:val="00C7503C"/>
    <w:rsid w:val="00CB37D4"/>
    <w:rsid w:val="00CE0C45"/>
    <w:rsid w:val="00CE7155"/>
    <w:rsid w:val="00D034C6"/>
    <w:rsid w:val="00D10A6B"/>
    <w:rsid w:val="00D12BF5"/>
    <w:rsid w:val="00D30820"/>
    <w:rsid w:val="00D35D97"/>
    <w:rsid w:val="00D51425"/>
    <w:rsid w:val="00D5590D"/>
    <w:rsid w:val="00D7200B"/>
    <w:rsid w:val="00D72A04"/>
    <w:rsid w:val="00D750EB"/>
    <w:rsid w:val="00D802AB"/>
    <w:rsid w:val="00D93800"/>
    <w:rsid w:val="00DA0CE5"/>
    <w:rsid w:val="00DA6638"/>
    <w:rsid w:val="00DB120C"/>
    <w:rsid w:val="00DD5A48"/>
    <w:rsid w:val="00DE323E"/>
    <w:rsid w:val="00DF14BF"/>
    <w:rsid w:val="00E63164"/>
    <w:rsid w:val="00E72B27"/>
    <w:rsid w:val="00E848D5"/>
    <w:rsid w:val="00E92206"/>
    <w:rsid w:val="00E940DB"/>
    <w:rsid w:val="00E94A7B"/>
    <w:rsid w:val="00EA66DA"/>
    <w:rsid w:val="00EC0BE0"/>
    <w:rsid w:val="00ED5539"/>
    <w:rsid w:val="00EE11B2"/>
    <w:rsid w:val="00EF6846"/>
    <w:rsid w:val="00EF746D"/>
    <w:rsid w:val="00F3793D"/>
    <w:rsid w:val="00F43B1F"/>
    <w:rsid w:val="00F471AC"/>
    <w:rsid w:val="00F57A85"/>
    <w:rsid w:val="00F61547"/>
    <w:rsid w:val="00F71135"/>
    <w:rsid w:val="00F73425"/>
    <w:rsid w:val="00F80BBB"/>
    <w:rsid w:val="00F90847"/>
    <w:rsid w:val="00F90FE7"/>
    <w:rsid w:val="00F965B0"/>
    <w:rsid w:val="00FB169D"/>
    <w:rsid w:val="00FB1FD1"/>
    <w:rsid w:val="00FB58B3"/>
    <w:rsid w:val="00FB646D"/>
    <w:rsid w:val="00FC5E14"/>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52F6BE"/>
  <w15:docId w15:val="{AAD992EA-538E-4ECB-BB72-9DB82E02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47CE7"/>
    <w:pPr>
      <w:spacing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GlavaZnak">
    <w:name w:val="Glava Znak"/>
    <w:basedOn w:val="Privzetapisavaodstavka"/>
    <w:link w:val="Glava"/>
    <w:qFormat/>
    <w:rsid w:val="00B53BCB"/>
    <w:rPr>
      <w:rFonts w:ascii="Arial" w:eastAsia="Times New Roman" w:hAnsi="Arial" w:cs="Times New Roman"/>
      <w:sz w:val="20"/>
      <w:szCs w:val="24"/>
      <w:lang w:val="en-US"/>
    </w:rPr>
  </w:style>
  <w:style w:type="character" w:customStyle="1" w:styleId="NogaZnak">
    <w:name w:val="Noga Znak"/>
    <w:basedOn w:val="Privzetapisavaodstavka"/>
    <w:link w:val="Noga"/>
    <w:uiPriority w:val="99"/>
    <w:qFormat/>
    <w:rsid w:val="00B53BCB"/>
    <w:rPr>
      <w:rFonts w:ascii="Arial" w:eastAsia="Times New Roman" w:hAnsi="Arial" w:cs="Times New Roman"/>
      <w:sz w:val="20"/>
      <w:szCs w:val="24"/>
      <w:lang w:val="en-US"/>
    </w:rPr>
  </w:style>
  <w:style w:type="character" w:customStyle="1" w:styleId="BesedilooblakaZnak">
    <w:name w:val="Besedilo oblačka Znak"/>
    <w:basedOn w:val="Privzetapisavaodstavka"/>
    <w:link w:val="Besedilooblaka"/>
    <w:uiPriority w:val="99"/>
    <w:semiHidden/>
    <w:qFormat/>
    <w:rsid w:val="00223077"/>
    <w:rPr>
      <w:rFonts w:ascii="Segoe UI" w:eastAsia="Times New Roman" w:hAnsi="Segoe UI" w:cs="Segoe UI"/>
      <w:sz w:val="18"/>
      <w:szCs w:val="18"/>
      <w:lang w:val="en-US"/>
    </w:rPr>
  </w:style>
  <w:style w:type="character" w:styleId="Pripombasklic">
    <w:name w:val="annotation reference"/>
    <w:basedOn w:val="Privzetapisavaodstavka"/>
    <w:uiPriority w:val="99"/>
    <w:semiHidden/>
    <w:unhideWhenUsed/>
    <w:qFormat/>
    <w:rsid w:val="00BD3459"/>
    <w:rPr>
      <w:sz w:val="16"/>
      <w:szCs w:val="16"/>
    </w:rPr>
  </w:style>
  <w:style w:type="character" w:customStyle="1" w:styleId="PripombabesediloZnak">
    <w:name w:val="Pripomba – besedilo Znak"/>
    <w:basedOn w:val="Privzetapisavaodstavka"/>
    <w:link w:val="Pripombabesedilo"/>
    <w:uiPriority w:val="99"/>
    <w:qFormat/>
    <w:rsid w:val="00BD3459"/>
    <w:rPr>
      <w:rFonts w:ascii="Arial" w:eastAsia="Times New Roman" w:hAnsi="Arial" w:cs="Times New Roman"/>
      <w:sz w:val="20"/>
      <w:szCs w:val="20"/>
      <w:lang w:val="en-US"/>
    </w:rPr>
  </w:style>
  <w:style w:type="character" w:customStyle="1" w:styleId="ZadevapripombeZnak">
    <w:name w:val="Zadeva pripombe Znak"/>
    <w:basedOn w:val="PripombabesediloZnak"/>
    <w:link w:val="Zadevapripombe"/>
    <w:uiPriority w:val="99"/>
    <w:semiHidden/>
    <w:qFormat/>
    <w:rsid w:val="00BD3459"/>
    <w:rPr>
      <w:rFonts w:ascii="Arial" w:eastAsia="Times New Roman" w:hAnsi="Arial" w:cs="Times New Roman"/>
      <w:b/>
      <w:bCs/>
      <w:sz w:val="20"/>
      <w:szCs w:val="20"/>
      <w:lang w:val="en-US"/>
    </w:rPr>
  </w:style>
  <w:style w:type="paragraph" w:styleId="Naslov">
    <w:name w:val="Title"/>
    <w:basedOn w:val="Navaden"/>
    <w:next w:val="Telobesedila"/>
    <w:qFormat/>
    <w:pPr>
      <w:keepNext/>
      <w:spacing w:before="240" w:after="120"/>
    </w:pPr>
    <w:rPr>
      <w:rFonts w:ascii="Liberation Sans" w:eastAsia="Microsoft YaHei" w:hAnsi="Liberation Sans" w:cs="Lucida Sans"/>
      <w:sz w:val="28"/>
      <w:szCs w:val="28"/>
    </w:rPr>
  </w:style>
  <w:style w:type="paragraph" w:styleId="Telobesedila">
    <w:name w:val="Body Text"/>
    <w:basedOn w:val="Navaden"/>
    <w:pPr>
      <w:spacing w:after="140" w:line="276" w:lineRule="auto"/>
    </w:pPr>
  </w:style>
  <w:style w:type="paragraph" w:styleId="Seznam">
    <w:name w:val="List"/>
    <w:basedOn w:val="Telobesedila"/>
    <w:rPr>
      <w:rFonts w:cs="Lucida Sans"/>
    </w:rPr>
  </w:style>
  <w:style w:type="paragraph" w:styleId="Napis">
    <w:name w:val="caption"/>
    <w:basedOn w:val="Navaden"/>
    <w:qFormat/>
    <w:pPr>
      <w:suppressLineNumbers/>
      <w:spacing w:before="120" w:after="120"/>
    </w:pPr>
    <w:rPr>
      <w:rFonts w:cs="Lucida Sans"/>
      <w:i/>
      <w:iCs/>
      <w:sz w:val="24"/>
    </w:rPr>
  </w:style>
  <w:style w:type="paragraph" w:customStyle="1" w:styleId="Kazalo">
    <w:name w:val="Kazalo"/>
    <w:basedOn w:val="Navaden"/>
    <w:qFormat/>
    <w:pPr>
      <w:suppressLineNumbers/>
    </w:pPr>
    <w:rPr>
      <w:rFonts w:cs="Lucida Sans"/>
    </w:rPr>
  </w:style>
  <w:style w:type="paragraph" w:customStyle="1" w:styleId="datumtevilka">
    <w:name w:val="datum številka"/>
    <w:basedOn w:val="Navaden"/>
    <w:qFormat/>
    <w:rsid w:val="00B53BCB"/>
    <w:pPr>
      <w:tabs>
        <w:tab w:val="left" w:pos="1701"/>
      </w:tabs>
      <w:spacing w:line="260" w:lineRule="exact"/>
    </w:pPr>
    <w:rPr>
      <w:szCs w:val="20"/>
      <w:lang w:eastAsia="sl-SI"/>
    </w:rPr>
  </w:style>
  <w:style w:type="paragraph" w:customStyle="1" w:styleId="Glavainnoga">
    <w:name w:val="Glava in noga"/>
    <w:basedOn w:val="Navaden"/>
    <w:qFormat/>
  </w:style>
  <w:style w:type="paragraph" w:styleId="Glava">
    <w:name w:val="header"/>
    <w:basedOn w:val="Navaden"/>
    <w:link w:val="GlavaZnak"/>
    <w:unhideWhenUsed/>
    <w:rsid w:val="00B53BCB"/>
    <w:pPr>
      <w:tabs>
        <w:tab w:val="center" w:pos="4536"/>
        <w:tab w:val="right" w:pos="9072"/>
      </w:tabs>
      <w:spacing w:line="240" w:lineRule="auto"/>
    </w:pPr>
  </w:style>
  <w:style w:type="paragraph" w:styleId="Odstavekseznama">
    <w:name w:val="List Paragraph"/>
    <w:basedOn w:val="Navaden"/>
    <w:uiPriority w:val="34"/>
    <w:qFormat/>
    <w:rsid w:val="00B53BCB"/>
    <w:pPr>
      <w:ind w:left="720"/>
      <w:contextualSpacing/>
    </w:pPr>
  </w:style>
  <w:style w:type="paragraph" w:styleId="Noga">
    <w:name w:val="footer"/>
    <w:basedOn w:val="Navaden"/>
    <w:link w:val="NogaZnak"/>
    <w:uiPriority w:val="99"/>
    <w:unhideWhenUsed/>
    <w:rsid w:val="00B53BCB"/>
    <w:pPr>
      <w:tabs>
        <w:tab w:val="center" w:pos="4536"/>
        <w:tab w:val="right" w:pos="9072"/>
      </w:tabs>
      <w:spacing w:line="240" w:lineRule="auto"/>
    </w:pPr>
  </w:style>
  <w:style w:type="paragraph" w:styleId="Besedilooblaka">
    <w:name w:val="Balloon Text"/>
    <w:basedOn w:val="Navaden"/>
    <w:link w:val="BesedilooblakaZnak"/>
    <w:uiPriority w:val="99"/>
    <w:semiHidden/>
    <w:unhideWhenUsed/>
    <w:qFormat/>
    <w:rsid w:val="00223077"/>
    <w:pPr>
      <w:spacing w:line="240" w:lineRule="auto"/>
    </w:pPr>
    <w:rPr>
      <w:rFonts w:ascii="Segoe UI" w:hAnsi="Segoe UI" w:cs="Segoe UI"/>
      <w:sz w:val="18"/>
      <w:szCs w:val="18"/>
    </w:rPr>
  </w:style>
  <w:style w:type="paragraph" w:styleId="Revizija">
    <w:name w:val="Revision"/>
    <w:uiPriority w:val="99"/>
    <w:semiHidden/>
    <w:qFormat/>
    <w:rsid w:val="00BD3459"/>
    <w:rPr>
      <w:rFonts w:ascii="Arial" w:eastAsia="Times New Roman" w:hAnsi="Arial" w:cs="Times New Roman"/>
      <w:sz w:val="20"/>
      <w:szCs w:val="24"/>
      <w:lang w:val="en-US"/>
    </w:rPr>
  </w:style>
  <w:style w:type="paragraph" w:styleId="Pripombabesedilo">
    <w:name w:val="annotation text"/>
    <w:basedOn w:val="Navaden"/>
    <w:link w:val="PripombabesediloZnak"/>
    <w:uiPriority w:val="99"/>
    <w:unhideWhenUsed/>
    <w:qFormat/>
    <w:rsid w:val="00BD3459"/>
    <w:pPr>
      <w:spacing w:line="240" w:lineRule="auto"/>
    </w:pPr>
    <w:rPr>
      <w:szCs w:val="20"/>
    </w:rPr>
  </w:style>
  <w:style w:type="paragraph" w:styleId="Zadevapripombe">
    <w:name w:val="annotation subject"/>
    <w:basedOn w:val="Pripombabesedilo"/>
    <w:next w:val="Pripombabesedilo"/>
    <w:link w:val="ZadevapripombeZnak"/>
    <w:uiPriority w:val="99"/>
    <w:semiHidden/>
    <w:unhideWhenUsed/>
    <w:qFormat/>
    <w:rsid w:val="00BD3459"/>
    <w:rPr>
      <w:b/>
      <w:bCs/>
    </w:rPr>
  </w:style>
  <w:style w:type="paragraph" w:customStyle="1" w:styleId="Default">
    <w:name w:val="Default"/>
    <w:rsid w:val="006308C5"/>
    <w:pPr>
      <w:suppressAutoHyphens w:val="0"/>
      <w:autoSpaceDE w:val="0"/>
      <w:autoSpaceDN w:val="0"/>
      <w:adjustRightInd w:val="0"/>
    </w:pPr>
    <w:rPr>
      <w:rFonts w:ascii="Times New Roman" w:hAnsi="Times New Roman" w:cs="Times New Roman"/>
      <w:color w:val="000000"/>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501176">
      <w:bodyDiv w:val="1"/>
      <w:marLeft w:val="0"/>
      <w:marRight w:val="0"/>
      <w:marTop w:val="0"/>
      <w:marBottom w:val="0"/>
      <w:divBdr>
        <w:top w:val="none" w:sz="0" w:space="0" w:color="auto"/>
        <w:left w:val="none" w:sz="0" w:space="0" w:color="auto"/>
        <w:bottom w:val="none" w:sz="0" w:space="0" w:color="auto"/>
        <w:right w:val="none" w:sz="0" w:space="0" w:color="auto"/>
      </w:divBdr>
      <w:divsChild>
        <w:div w:id="128057470">
          <w:marLeft w:val="446"/>
          <w:marRight w:val="0"/>
          <w:marTop w:val="0"/>
          <w:marBottom w:val="0"/>
          <w:divBdr>
            <w:top w:val="none" w:sz="0" w:space="0" w:color="auto"/>
            <w:left w:val="none" w:sz="0" w:space="0" w:color="auto"/>
            <w:bottom w:val="none" w:sz="0" w:space="0" w:color="auto"/>
            <w:right w:val="none" w:sz="0" w:space="0" w:color="auto"/>
          </w:divBdr>
        </w:div>
        <w:div w:id="2004356992">
          <w:marLeft w:val="446"/>
          <w:marRight w:val="0"/>
          <w:marTop w:val="0"/>
          <w:marBottom w:val="0"/>
          <w:divBdr>
            <w:top w:val="none" w:sz="0" w:space="0" w:color="auto"/>
            <w:left w:val="none" w:sz="0" w:space="0" w:color="auto"/>
            <w:bottom w:val="none" w:sz="0" w:space="0" w:color="auto"/>
            <w:right w:val="none" w:sz="0" w:space="0" w:color="auto"/>
          </w:divBdr>
        </w:div>
        <w:div w:id="1913081267">
          <w:marLeft w:val="44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BA2303D-C04C-4422-9073-0B34AE7F0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1448</Words>
  <Characters>8258</Characters>
  <Application>Microsoft Office Word</Application>
  <DocSecurity>0</DocSecurity>
  <Lines>68</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Metka Paragi</dc:creator>
  <dc:description/>
  <cp:lastModifiedBy>Ana Šinkovec</cp:lastModifiedBy>
  <cp:revision>2</cp:revision>
  <cp:lastPrinted>2023-12-29T11:48:00Z</cp:lastPrinted>
  <dcterms:created xsi:type="dcterms:W3CDTF">2024-01-31T09:03:00Z</dcterms:created>
  <dcterms:modified xsi:type="dcterms:W3CDTF">2024-01-31T09:03:00Z</dcterms:modified>
  <dc:language>sl-SI</dc:language>
</cp:coreProperties>
</file>