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17ADCAE4" w:rsidR="00F01966" w:rsidRDefault="00F01966"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p>
    <w:p w14:paraId="09ADF517" w14:textId="22D4F179" w:rsidR="0073796B" w:rsidRPr="009D10D1" w:rsidRDefault="0073796B" w:rsidP="009D10D1">
      <w:pPr>
        <w:pStyle w:val="Naslov"/>
      </w:pPr>
      <w:r w:rsidRPr="009D10D1">
        <w:t>SPOROČILO ZA JAVNOST</w:t>
      </w:r>
    </w:p>
    <w:p w14:paraId="71A02687" w14:textId="37002DE2" w:rsidR="0073796B" w:rsidRPr="0039662C" w:rsidRDefault="00015491" w:rsidP="0039662C">
      <w:pPr>
        <w:pStyle w:val="Naslov1"/>
      </w:pPr>
      <w:r>
        <w:t>14</w:t>
      </w:r>
      <w:r w:rsidR="0073796B" w:rsidRPr="0039662C">
        <w:t xml:space="preserve">. </w:t>
      </w:r>
      <w:r w:rsidR="00D74A82">
        <w:t>red</w:t>
      </w:r>
      <w:r w:rsidR="00F03257">
        <w:t xml:space="preserve">na </w:t>
      </w:r>
      <w:r w:rsidR="0073796B" w:rsidRPr="0039662C">
        <w:t>seja Vlade Republike Slovenije</w:t>
      </w:r>
    </w:p>
    <w:p w14:paraId="27F30B92" w14:textId="356A85DA" w:rsidR="0073796B" w:rsidRDefault="00015491" w:rsidP="008B7AF2">
      <w:pPr>
        <w:pStyle w:val="DatumSZJ"/>
      </w:pPr>
      <w:r>
        <w:t>4</w:t>
      </w:r>
      <w:r w:rsidR="002856E5">
        <w:t>.</w:t>
      </w:r>
      <w:r w:rsidR="008220A3">
        <w:t xml:space="preserve"> </w:t>
      </w:r>
      <w:r>
        <w:t>oktobra</w:t>
      </w:r>
      <w:r w:rsidR="00B94D8D">
        <w:t xml:space="preserve"> </w:t>
      </w:r>
      <w:r w:rsidR="0073796B" w:rsidRPr="008B7AF2">
        <w:t>202</w:t>
      </w:r>
      <w:r w:rsidR="00F03257">
        <w:t>6</w:t>
      </w:r>
    </w:p>
    <w:p w14:paraId="3006328B" w14:textId="55AE017F" w:rsidR="005D3A1C" w:rsidRDefault="005D3A1C" w:rsidP="005D3A1C">
      <w:pPr>
        <w:pStyle w:val="Naslov2"/>
        <w:rPr>
          <w:color w:val="FF0000"/>
        </w:rPr>
      </w:pPr>
    </w:p>
    <w:p w14:paraId="2BAE5853" w14:textId="77777777" w:rsidR="00C5735C" w:rsidRPr="00C5735C" w:rsidRDefault="00C5735C" w:rsidP="00C5735C"/>
    <w:p w14:paraId="4A5DBF8E" w14:textId="12662856" w:rsidR="00C17EBC" w:rsidRPr="00C17EBC" w:rsidRDefault="00C17EBC" w:rsidP="00C17EBC">
      <w:pPr>
        <w:pStyle w:val="Naslov2"/>
      </w:pPr>
      <w:r w:rsidRPr="00C17EBC">
        <w:t>Vlada potrdila državna proračuna za prihodnji dve leti</w:t>
      </w:r>
    </w:p>
    <w:p w14:paraId="24711F77" w14:textId="190C0838" w:rsidR="00C17EBC" w:rsidRPr="00C17EBC" w:rsidRDefault="00C17EBC" w:rsidP="00C17EBC">
      <w:r w:rsidRPr="00C17EBC">
        <w:t xml:space="preserve">Vlada </w:t>
      </w:r>
      <w:r>
        <w:t xml:space="preserve">Republike Slovenije </w:t>
      </w:r>
      <w:r w:rsidRPr="00C17EBC">
        <w:t xml:space="preserve">je </w:t>
      </w:r>
      <w:r>
        <w:t>na današnji seji</w:t>
      </w:r>
      <w:r w:rsidRPr="00C17EBC">
        <w:t xml:space="preserve"> potrdila predlog sprememb državnega proračuna za leto 2027 in predlog državnega proračuna za leto 2028 skupaj s spremljajočimi proračunskimi dokumenti. Predloga sledita cilju ohranjanja primanjkljaja sektorja država pod mejo treh odstotkov bruto domačega proizvoda (BDP), v ospredju pa med drugim ostajajo ukrepi za razvoj Slovenije, decentralizacijo in debirokratizacijo.</w:t>
      </w:r>
    </w:p>
    <w:p w14:paraId="22D0EDF3" w14:textId="77777777" w:rsidR="00C17EBC" w:rsidRPr="00C17EBC" w:rsidRDefault="00C17EBC" w:rsidP="00C17EBC"/>
    <w:p w14:paraId="44455553" w14:textId="77777777" w:rsidR="00C17EBC" w:rsidRPr="00C17EBC" w:rsidRDefault="00C17EBC" w:rsidP="00C17EBC">
      <w:r w:rsidRPr="00C17EBC">
        <w:t xml:space="preserve">Vlada je pri pripravi proračunskih dokumentov za prihodnji dve leti poleg Srednjeročnega fiskalno-strukturnega načrta Republike Slovenije 2025-2028 upoštevala tudi jesensko gospodarsko napoved Urada Republike Slovenije za makroekonomske analize in razvoj ter napovedi predlagateljev finančnih načrtov glede izvajanja Sklada za obnovo, evropske kohezijske politike iz večletnega finančnega okvira za obdobje 2021-2027 in drugih evropskih sredstev. Vlada je imela v uvidu tudi začetek izvajanja novega večletnega finančnega okvira za obdobje 2028-2034, ki naj bi bil po predlogu Evropske komisije usmerjen v rezultate po vzoru Mehanizma za okrevanje in odpornost ter Skupne kmetijske politike. </w:t>
      </w:r>
    </w:p>
    <w:p w14:paraId="32E72705" w14:textId="77777777" w:rsidR="00C17EBC" w:rsidRPr="00C17EBC" w:rsidRDefault="00C17EBC" w:rsidP="00C17EBC"/>
    <w:p w14:paraId="68D0CACC" w14:textId="77777777" w:rsidR="00C17EBC" w:rsidRPr="00C17EBC" w:rsidRDefault="00C17EBC" w:rsidP="00C17EBC">
      <w:r w:rsidRPr="00C17EBC">
        <w:t xml:space="preserve">Vsebinsko v letih 2027 in 2028 v ospredju ostajajo ukrepi, namenjeni razvoju in blaginji Slovenije, pospešitvi gospodarske rasti, boju proti korupciji in organizirani kriminaliteti, decentralizaciji, debirokratizaciji ter krepitvi varnosti in obrambe. </w:t>
      </w:r>
    </w:p>
    <w:p w14:paraId="2D00E81A" w14:textId="77777777" w:rsidR="00C17EBC" w:rsidRPr="00C17EBC" w:rsidRDefault="00C17EBC" w:rsidP="00C17EBC"/>
    <w:p w14:paraId="16D4E7D1" w14:textId="77777777" w:rsidR="00C17EBC" w:rsidRPr="00C17EBC" w:rsidRDefault="00C17EBC" w:rsidP="00C17EBC">
      <w:r w:rsidRPr="00C17EBC">
        <w:t>Skladno s Koalicijsko pogodbo za mandat 2026-2030 bodo na javnofinančnem področju aktivnosti usmerjene v zagotavljanje stabilnih, vzdržnih in predvidljivih javnih financ, spoštovanje fiskalnih pravil Evropske unije (EU), postopno zniževanje dolga in učinkovito podporo črpanju evropskih sredstev.</w:t>
      </w:r>
    </w:p>
    <w:p w14:paraId="00CE0383" w14:textId="77777777" w:rsidR="00C17EBC" w:rsidRPr="00C17EBC" w:rsidRDefault="00C17EBC" w:rsidP="00C17EBC"/>
    <w:p w14:paraId="7A69701C" w14:textId="77777777" w:rsidR="00C17EBC" w:rsidRPr="00C17EBC" w:rsidRDefault="00C17EBC" w:rsidP="00C17EBC">
      <w:r w:rsidRPr="00C17EBC">
        <w:t>Aktivnosti bodo usmerjene tudi v zagotavljanje predvidljivega, konkurenčnega in razvojno naravnanega davčnega ter poslovnega okolja brez uvajanja novih davkov, razen v primeru sočasne razbremenitve na drugih davčnih področjih z namenom ohranjanja skupne davčne obremenitve ter zagotavljanja stabilnega in predvidljivega davčnega okolja, ob možnosti prilagoditve oziroma uvedbe obdavčitve posameznih dejavnosti glede na tržne razmere in primerljivo raven obdavčitve v državah EU, kjer obstaja utemeljen javnofinančni ali razvojni interes.</w:t>
      </w:r>
    </w:p>
    <w:p w14:paraId="39FED2DE" w14:textId="77777777" w:rsidR="00C17EBC" w:rsidRPr="00C17EBC" w:rsidRDefault="00C17EBC" w:rsidP="00C17EBC"/>
    <w:p w14:paraId="7FEC54DA" w14:textId="77777777" w:rsidR="00C17EBC" w:rsidRPr="00C17EBC" w:rsidRDefault="00C17EBC" w:rsidP="00C17EBC">
      <w:r w:rsidRPr="00C17EBC">
        <w:t>Za leto 2027 so prihodki načrtovani v višini 17 milijard evrov, kar je 6,7 odstotka več kot v lani sprejetem proračunu za prihodnje leto. Odhodki lahko dosežejo 19,4 milijarde evrov oziroma 6,9 odstotka več kot v sprejetem proračunu za leto 2027, proračunski primanjkljaj pa 2,3  milijarde evrov oziroma 2,9 odstotka BDP.</w:t>
      </w:r>
    </w:p>
    <w:p w14:paraId="288036F8" w14:textId="77777777" w:rsidR="00C17EBC" w:rsidRPr="00C17EBC" w:rsidRDefault="00C17EBC" w:rsidP="00C17EBC">
      <w:r w:rsidRPr="00C17EBC">
        <w:tab/>
      </w:r>
      <w:r w:rsidRPr="00C17EBC">
        <w:tab/>
      </w:r>
    </w:p>
    <w:p w14:paraId="59C980AA" w14:textId="77777777" w:rsidR="00C17EBC" w:rsidRPr="00C17EBC" w:rsidRDefault="00C17EBC" w:rsidP="00C17EBC">
      <w:r w:rsidRPr="00C17EBC">
        <w:t>Za leto 2028 so prihodki načrtovani v višini 17,7 milijarde evrov (3,8 odstotka več kot v predlogu sprememb proračuna za leto 2027), odhodki pa v višini 19,4 milijarde evrov (primerljivo predlogu sprememb proračuna za leto 2027). Primanjkljaj lahko leta 2028 doseže 1,7 milijarde evrov oziroma dva odstotka BDP.</w:t>
      </w:r>
    </w:p>
    <w:p w14:paraId="2259D8EB" w14:textId="77777777" w:rsidR="00C17EBC" w:rsidRPr="00C17EBC" w:rsidRDefault="00C17EBC" w:rsidP="00C17EBC"/>
    <w:p w14:paraId="6BE37D12" w14:textId="77777777" w:rsidR="00C17EBC" w:rsidRPr="00C17EBC" w:rsidRDefault="00C17EBC" w:rsidP="00C17EBC">
      <w:r w:rsidRPr="00C17EBC">
        <w:lastRenderedPageBreak/>
        <w:t xml:space="preserve">Predloga proračunov sledita srednjeročnemu cilju vzdržnosti javnega dolga in ohranjanja primanjkljaja sektorja država pod mejo treh odstotkov BDP. Z nadaljevanjem začrtane fiskalne poti bi predvidoma po letu 2030 lahko uravnotežili javne finance v skladu z obstoječim nacionalnim fiskalnim pravilom. </w:t>
      </w:r>
    </w:p>
    <w:p w14:paraId="1142033E" w14:textId="77777777" w:rsidR="00C17EBC" w:rsidRPr="00C17EBC" w:rsidRDefault="00C17EBC" w:rsidP="00C17EBC"/>
    <w:p w14:paraId="64AA7738" w14:textId="65CD907E" w:rsidR="006D303F" w:rsidRPr="00C17EBC" w:rsidRDefault="00C17EBC" w:rsidP="00C17EBC">
      <w:r w:rsidRPr="00C17EBC">
        <w:t>Vlada je danes potrdila tudi predlog Zakona o izvrševanju proračunov Republike Slovenije za leti 2027 in 2028, ki omogoča tekoče in nemoteno izvajanje proračunov, in določila dokončen predlog zaključnega računa državnega proračuna za leto 2025.</w:t>
      </w:r>
    </w:p>
    <w:p w14:paraId="1B1A390A" w14:textId="1A2D1F19" w:rsidR="006D303F" w:rsidRPr="001C3330" w:rsidRDefault="00C17EBC" w:rsidP="001C3330">
      <w:pPr>
        <w:pStyle w:val="Vir"/>
      </w:pPr>
      <w:r w:rsidRPr="00C17EBC">
        <w:t>Vir: Ministrstvo za finance</w:t>
      </w:r>
    </w:p>
    <w:p w14:paraId="7A5F38A0" w14:textId="594A835B" w:rsidR="00BF2C4B" w:rsidRPr="00BF2C4B" w:rsidRDefault="00BF2C4B" w:rsidP="00BF2C4B">
      <w:pPr>
        <w:pStyle w:val="Naslov2"/>
      </w:pPr>
      <w:r w:rsidRPr="00BF2C4B">
        <w:t>Vlada sprejela Zbirni kadrovski načrt oseb javnega prava za leti 2027 in 2028</w:t>
      </w:r>
    </w:p>
    <w:p w14:paraId="1F5D1FA4" w14:textId="1909541C" w:rsidR="00BF2C4B" w:rsidRPr="00BF2C4B" w:rsidRDefault="00BF2C4B" w:rsidP="00BF2C4B">
      <w:r w:rsidRPr="00BF2C4B">
        <w:t>Vlada je sprejela Zbirni kadrovski načrt (ZKN) oseb javnega prava iz drugega odstavka 21. člena Zakona o javnih uslužbencih za leti 2027 in 2028 in ga pošilja v Državni zbor kot sestavni del obrazložitve Predloga sprememb proračuna Republike Slovenije za leto 2027 in Predloga proračuna Republike Slovenije za leto 2028.</w:t>
      </w:r>
    </w:p>
    <w:p w14:paraId="5293A4F4" w14:textId="77777777" w:rsidR="00BF2C4B" w:rsidRPr="00BF2C4B" w:rsidRDefault="00BF2C4B" w:rsidP="00BF2C4B"/>
    <w:p w14:paraId="052BFE55" w14:textId="77777777" w:rsidR="00BF2C4B" w:rsidRPr="00BF2C4B" w:rsidRDefault="00BF2C4B" w:rsidP="00BF2C4B">
      <w:r w:rsidRPr="00BF2C4B">
        <w:t xml:space="preserve">Proračunski uporabniki sredstva za stroške dela zaposlenih javnih uslužbencev zagotavljajo v okviru sredstev za stroške dela v svojih finančnih načrtih. </w:t>
      </w:r>
    </w:p>
    <w:p w14:paraId="03C8C69E" w14:textId="77777777" w:rsidR="00BF2C4B" w:rsidRPr="00BF2C4B" w:rsidRDefault="00BF2C4B" w:rsidP="00BF2C4B"/>
    <w:p w14:paraId="487856AB" w14:textId="77777777" w:rsidR="00BF2C4B" w:rsidRPr="00BF2C4B" w:rsidRDefault="00BF2C4B" w:rsidP="00BF2C4B">
      <w:r w:rsidRPr="00BF2C4B">
        <w:t xml:space="preserve">Ministrstvo za notranje zadeve in javno upravo je ZKN pripravilo ob upoštevanju sklepa vlade, da dovoljeno število zaposlenih, ki se financirajo iz javnih sredstev, ne sme presegati dovoljenega števila zaposlitev iz teh virov, določenega v kadrovskih načrtih za leto 2026. </w:t>
      </w:r>
    </w:p>
    <w:p w14:paraId="4BA1AB99" w14:textId="77777777" w:rsidR="00BF2C4B" w:rsidRPr="00BF2C4B" w:rsidRDefault="00BF2C4B" w:rsidP="00BF2C4B"/>
    <w:p w14:paraId="352DC8AB" w14:textId="149DBDCC" w:rsidR="00BF2C4B" w:rsidRDefault="00BF2C4B" w:rsidP="00BF2C4B">
      <w:r w:rsidRPr="00BF2C4B">
        <w:t>Dovoljeno število zaposlitev po ZKN je 4.087 tako za leto 2027 kot tudi za leto 2028, torej brez povečanja dovoljenega števila zaposlenih.</w:t>
      </w:r>
    </w:p>
    <w:p w14:paraId="480ECF3E" w14:textId="0286EAB1" w:rsidR="006D303F" w:rsidRPr="00BF2C4B" w:rsidRDefault="00BF2C4B" w:rsidP="00BF2C4B">
      <w:pPr>
        <w:pStyle w:val="Vir"/>
      </w:pPr>
      <w:r>
        <w:t xml:space="preserve">Vir: Ministrstvo </w:t>
      </w:r>
      <w:r w:rsidRPr="006D303F">
        <w:t>za notranje zadeve in javno upravo</w:t>
      </w:r>
    </w:p>
    <w:p w14:paraId="2628A998" w14:textId="0FCB69F8" w:rsidR="00CB52B9" w:rsidRPr="00CB52B9" w:rsidRDefault="00CB52B9" w:rsidP="00CB52B9">
      <w:pPr>
        <w:pStyle w:val="Naslov2"/>
      </w:pPr>
      <w:r w:rsidRPr="00CB52B9">
        <w:t>Vlada je sprejela Skupni kadrovski načrt organov državne uprave za leti 2027 in 2028</w:t>
      </w:r>
    </w:p>
    <w:p w14:paraId="4D1D7E3B" w14:textId="7F7DF77F" w:rsidR="00CB52B9" w:rsidRPr="00CB52B9" w:rsidRDefault="00CB52B9" w:rsidP="00CB52B9">
      <w:r w:rsidRPr="00CB52B9">
        <w:t>Vlada je sprejela Skupni kadrovski načrt (SKN) organov državne uprave za leti 2027 in 2028 in ga pošilja v Državni zbor kot sestavni del obrazložitve Predloga sprememb proračuna Republike Slovenije za leto 2027 in Predloga proračuna Republike Slovenije za leto 2028.</w:t>
      </w:r>
    </w:p>
    <w:p w14:paraId="7F808701" w14:textId="77777777" w:rsidR="00CB52B9" w:rsidRPr="00CB52B9" w:rsidRDefault="00CB52B9" w:rsidP="00CB52B9"/>
    <w:p w14:paraId="00C83A69" w14:textId="77777777" w:rsidR="00CB52B9" w:rsidRPr="00CB52B9" w:rsidRDefault="00CB52B9" w:rsidP="00CB52B9">
      <w:r w:rsidRPr="00CB52B9">
        <w:t xml:space="preserve">Proračunski uporabniki sredstva za stroške dela zaposlenih javnih uslužbencev zagotavljajo v okviru sredstev za stroške dela v svojih finančnih načrtih. </w:t>
      </w:r>
    </w:p>
    <w:p w14:paraId="1C758A2A" w14:textId="77777777" w:rsidR="00CB52B9" w:rsidRPr="00CB52B9" w:rsidRDefault="00CB52B9" w:rsidP="00CB52B9"/>
    <w:p w14:paraId="644233B1" w14:textId="77777777" w:rsidR="00CB52B9" w:rsidRPr="00CB52B9" w:rsidRDefault="00CB52B9" w:rsidP="00CB52B9">
      <w:r w:rsidRPr="00CB52B9">
        <w:t xml:space="preserve">V okviru dovoljenega števila zaposlitev za posamezni organ državne uprave je določena posebna kvota dovoljenih zaposlitev, ki je namenjena izključno zaposlitvam pripravnikov. </w:t>
      </w:r>
    </w:p>
    <w:p w14:paraId="5AC5E8C0" w14:textId="77777777" w:rsidR="00CB52B9" w:rsidRPr="00CB52B9" w:rsidRDefault="00CB52B9" w:rsidP="00CB52B9"/>
    <w:p w14:paraId="757EEF01" w14:textId="1E8CC25E" w:rsidR="00CB52B9" w:rsidRPr="00CB52B9" w:rsidRDefault="00CB52B9" w:rsidP="00CB52B9">
      <w:r w:rsidRPr="00CB52B9">
        <w:t xml:space="preserve">Vlada nalaga predstojnikom organov državne uprave, da na podlagi medsebojnega dogovora zagotovijo možnost prenosa kvot za zaposlitev pripravnikov, če jih v svojem organu ne potrebujejo. </w:t>
      </w:r>
    </w:p>
    <w:p w14:paraId="21A3F0BA" w14:textId="77777777" w:rsidR="00CB52B9" w:rsidRPr="00CB52B9" w:rsidRDefault="00CB52B9" w:rsidP="00CB52B9"/>
    <w:p w14:paraId="2956D0AF" w14:textId="77777777" w:rsidR="00CB52B9" w:rsidRPr="00CB52B9" w:rsidRDefault="00CB52B9" w:rsidP="00CB52B9">
      <w:r w:rsidRPr="00CB52B9">
        <w:t xml:space="preserve">Če organ preseže dovoljeno število zaposlenih, določenih s SKN organov državne uprave zaradi zaposlitve pripravnika, ta zaposlitev ne šteje kot preseganje kadrovskega načrta. </w:t>
      </w:r>
    </w:p>
    <w:p w14:paraId="02909D7F" w14:textId="77777777" w:rsidR="00CB52B9" w:rsidRPr="00CB52B9" w:rsidRDefault="00CB52B9" w:rsidP="00CB52B9"/>
    <w:p w14:paraId="00F6D567" w14:textId="77777777" w:rsidR="00CB52B9" w:rsidRPr="00CB52B9" w:rsidRDefault="00CB52B9" w:rsidP="00CB52B9">
      <w:r w:rsidRPr="00CB52B9">
        <w:t xml:space="preserve">Če Policija in Uprava Republike Slovenije za izvrševanje kazenskih sankcij presegata dovoljeno število zaposlenih zaradi zaposlitve kandidata za policista ali kandidata za pravosodnega policista, ta zaposlitev ne šteje kot preseganje kadrovskega načrta. </w:t>
      </w:r>
    </w:p>
    <w:p w14:paraId="18656FBE" w14:textId="77777777" w:rsidR="00CB52B9" w:rsidRPr="00CB52B9" w:rsidRDefault="00CB52B9" w:rsidP="00CB52B9"/>
    <w:p w14:paraId="067C93A7" w14:textId="77777777" w:rsidR="00CB52B9" w:rsidRPr="00CB52B9" w:rsidRDefault="00CB52B9" w:rsidP="00CB52B9">
      <w:r w:rsidRPr="00CB52B9">
        <w:lastRenderedPageBreak/>
        <w:t>V okviru kvote SKN se za leti 2027 in 2028 določi minimalna kvota za zaposlitev vrhunskih športnikov in trenerjev, in sicer pri Finančni upravi Republike Slovenije 21, Policiji 59 in Slovenski vojski 103.</w:t>
      </w:r>
    </w:p>
    <w:p w14:paraId="743926E4" w14:textId="77777777" w:rsidR="00CB52B9" w:rsidRPr="00CB52B9" w:rsidRDefault="00CB52B9" w:rsidP="00CB52B9"/>
    <w:p w14:paraId="64EDBF2C" w14:textId="26554076" w:rsidR="00CB52B9" w:rsidRDefault="00CB52B9" w:rsidP="00CB52B9">
      <w:r w:rsidRPr="00CB52B9">
        <w:t>Vlada nalaga ministrstvom, da v okviru kvote dovoljenih zaposlitev za ministrstva in organe v sestavi posebno pozornost namenijo ustrezni kadrovski popolnitvi delovnih mest inšpektorjev.</w:t>
      </w:r>
    </w:p>
    <w:p w14:paraId="295E6BAB" w14:textId="77777777" w:rsidR="00CB52B9" w:rsidRPr="006D303F" w:rsidRDefault="00CB52B9" w:rsidP="00CB52B9">
      <w:pPr>
        <w:pStyle w:val="Vir"/>
      </w:pPr>
      <w:r>
        <w:t xml:space="preserve">Vir: Ministrstvo </w:t>
      </w:r>
      <w:r w:rsidRPr="006D303F">
        <w:t>za notranje zadeve in javno upravo</w:t>
      </w:r>
    </w:p>
    <w:p w14:paraId="2FB2F0ED" w14:textId="5E3D9CC8" w:rsidR="00101937" w:rsidRPr="00101937" w:rsidRDefault="00101937" w:rsidP="00101937">
      <w:pPr>
        <w:pStyle w:val="Naslov2"/>
      </w:pPr>
      <w:r w:rsidRPr="00101937">
        <w:t>Vlada se je seznanila z zbirnim predlogom skupnih kadrovskih načrtov pravosodnih organov za leti 2027 in 2028</w:t>
      </w:r>
    </w:p>
    <w:p w14:paraId="4456AEDD" w14:textId="531FA15B" w:rsidR="00101937" w:rsidRPr="00101937" w:rsidRDefault="00101937" w:rsidP="00101937">
      <w:r w:rsidRPr="00101937">
        <w:t>Vlada se je seznanila z Zbirnim predlogom skupnih kadrovskih načrtov pravosodnih organov za leti 2027 in 2028 ter ga predloži v obravnavo Državnemu zboru kot sestavni del Predloga sprememb proračuna Republike Slovenije za leto 2027 in Predloga proračuna Republike Slovenije za leto 2028. Zbirni predlog je na podlagi drugega odstavka 20. člena Uredbe o kadrovskih načrtih pripravilo Ministrstvo za pravosodje.</w:t>
      </w:r>
    </w:p>
    <w:p w14:paraId="4C7F3C83" w14:textId="77777777" w:rsidR="00101937" w:rsidRPr="00101937" w:rsidRDefault="00101937" w:rsidP="00101937"/>
    <w:p w14:paraId="48413A77" w14:textId="77777777" w:rsidR="00101937" w:rsidRPr="00101937" w:rsidRDefault="00101937" w:rsidP="00101937">
      <w:r w:rsidRPr="00101937">
        <w:t>Vrhovno sodišče Republike Slovenije za leti 2027 in 2028 predlaga povečanje Skupnega kadrovskega načrta za sodišča za štiri mesta javnih uslužbencev za nedoločen čas, in sicer po eno mesto pri Višjem sodišču v Ljubljani, Višjem sodišču v Mariboru, Višjem sodišču v Celju in Višjem sodišču v Kopru. Dovoljeno število zaposlenih se tako s 4802, kolikor jih določa veljavni Skupni kadrovski načrt za sodišča za leto 2026, poveča na 4806.</w:t>
      </w:r>
    </w:p>
    <w:p w14:paraId="096CCF03" w14:textId="77777777" w:rsidR="00101937" w:rsidRPr="00101937" w:rsidRDefault="00101937" w:rsidP="00101937"/>
    <w:p w14:paraId="2E4E4928" w14:textId="77777777" w:rsidR="00101937" w:rsidRPr="00101937" w:rsidRDefault="00101937" w:rsidP="00101937">
      <w:r w:rsidRPr="00101937">
        <w:t>Državno odvetništvo Republike Slovenije predlaga zmanjšanje skupnega kadrovskega načrta za leti 2027 in 2028, in sicer z 244 na 230 zaposlenih. Za državna tožilstva in Sodni svet se skupni kadrovski načrti glede na veljavne kadrovske načrte za leto 2026 ne spreminjajo. Dovoljeno število zaposlenih za državna tožilstva ostaja 669, za Sodni svet pa 14.</w:t>
      </w:r>
    </w:p>
    <w:p w14:paraId="0C595DAC" w14:textId="77777777" w:rsidR="00101937" w:rsidRPr="00101937" w:rsidRDefault="00101937" w:rsidP="00101937">
      <w:r w:rsidRPr="00101937">
        <w:t>Predlagane spremembe pomenijo zmanjšanje skupnega dovoljenega števila zaposlenih v pravosodnih organih s 5729 na 5719 zaposlenih.</w:t>
      </w:r>
    </w:p>
    <w:p w14:paraId="5B6B56AA" w14:textId="77777777" w:rsidR="00101937" w:rsidRPr="00101937" w:rsidRDefault="00101937" w:rsidP="00101937"/>
    <w:p w14:paraId="3FE8A707" w14:textId="77777777" w:rsidR="00101937" w:rsidRPr="00101937" w:rsidRDefault="00101937" w:rsidP="00101937">
      <w:r w:rsidRPr="00101937">
        <w:t>Gradivo vsebuje tudi pojasnila Vrhovnega sodišča Republike Slovenije o razlogih za nezasedenost posameznih delovnih mest in potrebah sodstva po kadrovskih virih. Večje odstopanje med dovoljenim in dejanskim številom zaposlenih na sodiščih je predvsem posledica dolgotrajnih postopkov zaposlovanja, večje fluktuacije zaposlenih, neugodne starostne strukture ter neuspešno zaključenih izbirnih postopkov.</w:t>
      </w:r>
    </w:p>
    <w:p w14:paraId="5B5C8744" w14:textId="77777777" w:rsidR="00101937" w:rsidRPr="00101937" w:rsidRDefault="00101937" w:rsidP="00101937"/>
    <w:p w14:paraId="1F185725" w14:textId="5FA9C2E9" w:rsidR="00101937" w:rsidRPr="00101937" w:rsidRDefault="00101937" w:rsidP="00101937">
      <w:r w:rsidRPr="00101937">
        <w:t>Navedene okoliščine pa ne spreminjajo dejstva, da je za nemoteno in učinkovito delovanje sodišč nujno zagotoviti možnost zapolnitve vseh delovnih mest v okviru dovoljenih kvot kadrovskega načrta. To je še posebej pomembno zaradi pravočasne izvedbe sodniške reforme, ustrezne umestitve novega Specializiranega tožilstva za pregon korupcije in organiziranega kriminala v pravosodni sistem ter drugih načrtovanih sistemskih in organizacijskih posodobitev, predvidenih tudi v okviru koalicijske pogodbe. Nezadostna zasedenost delovnih mest na sodiščih je sicer večletna problematika, vendar Ministrstvo za pravosodje ocenjuje, da se po uveljavitvi plačne reforme razmere postopoma izboljšujejo in da se kaže pozitiven trend pri pridobivanju in zadrževanju kadrov.</w:t>
      </w:r>
    </w:p>
    <w:p w14:paraId="28289292" w14:textId="0EA74FF2" w:rsidR="006D303F" w:rsidRPr="00101937" w:rsidRDefault="00101937" w:rsidP="00101937">
      <w:pPr>
        <w:pStyle w:val="Vir"/>
      </w:pPr>
      <w:r w:rsidRPr="00101937">
        <w:t>Vir: Ministrstvo za pravosodje</w:t>
      </w:r>
    </w:p>
    <w:p w14:paraId="4EF285A9" w14:textId="2545BF44" w:rsidR="006D303F" w:rsidRPr="006D303F" w:rsidRDefault="006D303F" w:rsidP="006D303F">
      <w:pPr>
        <w:pStyle w:val="Naslov2"/>
      </w:pPr>
      <w:r w:rsidRPr="006D303F">
        <w:t>Kadrovski načrti nevladnih uporabnikov državnega proračuna za leti 2027 in 2028</w:t>
      </w:r>
    </w:p>
    <w:p w14:paraId="680F4084" w14:textId="5CD2DA0B" w:rsidR="006D303F" w:rsidRPr="006D303F" w:rsidRDefault="006D303F" w:rsidP="006D303F">
      <w:r w:rsidRPr="006D303F">
        <w:t xml:space="preserve">Vlada je prejela kadrovske načrte nevladnih uporabnikov državnega proračuna za leti 2027 in 2028, zbirnik teh kadrovskih načrtov pa je sestavni del obrazložitve Predloga sprememb proračuna Republike Slovenije za leto 2027 in Predloga proračuna Republike Slovenije za leto 2028. </w:t>
      </w:r>
    </w:p>
    <w:p w14:paraId="2C2AF846" w14:textId="77777777" w:rsidR="006D303F" w:rsidRPr="006D303F" w:rsidRDefault="006D303F" w:rsidP="006D303F"/>
    <w:p w14:paraId="6E093322" w14:textId="545123F0" w:rsidR="006D303F" w:rsidRDefault="006D303F" w:rsidP="006D303F">
      <w:r w:rsidRPr="006D303F">
        <w:lastRenderedPageBreak/>
        <w:t>Predlog kadrovskega načrta za leti 2027 in 2028 je pripravljen upoštevaje sklep vlade, da se dovoljeno število zaposlenih ne povečuje glede na leto 2026.</w:t>
      </w:r>
    </w:p>
    <w:p w14:paraId="5D24DC55" w14:textId="4E4599E7" w:rsidR="006D303F" w:rsidRPr="006D303F" w:rsidRDefault="006D303F" w:rsidP="006D303F">
      <w:pPr>
        <w:pStyle w:val="Vir"/>
      </w:pPr>
      <w:r>
        <w:t xml:space="preserve">Vir: Ministrstvo </w:t>
      </w:r>
      <w:r w:rsidRPr="006D303F">
        <w:t>za notranje zadeve in javno upravo</w:t>
      </w:r>
    </w:p>
    <w:p w14:paraId="3A4A7FCB" w14:textId="46332446" w:rsidR="00E035F7" w:rsidRPr="00E035F7" w:rsidRDefault="00E035F7" w:rsidP="00E035F7">
      <w:pPr>
        <w:pStyle w:val="Naslov2"/>
      </w:pPr>
      <w:r w:rsidRPr="00E035F7">
        <w:t>Poročilo o stanju in gibanju davčnega dolga</w:t>
      </w:r>
    </w:p>
    <w:p w14:paraId="69630ACB" w14:textId="70F75DB5" w:rsidR="00E035F7" w:rsidRPr="00E035F7" w:rsidRDefault="00E035F7" w:rsidP="00E035F7">
      <w:r w:rsidRPr="00E035F7">
        <w:t>Vlada se seznanila s poročilom Finančne uprave (FURS) o stanju in gibanju davčnega dolga na dan 31. december 2025. Gre za poročilo, ki se nanaša na vse štiri javnofinančne blagajne - proračun države, Zavod za pokojninsko in invalidsko zavarovanje Slovenije (ZPIZ), Zavod za zdravstveno zavarovanje Slovenije (ZZZS) ter proračune občin. Vlada je sklenila, da se preuči možnost pobota davčnega dolga.</w:t>
      </w:r>
    </w:p>
    <w:p w14:paraId="17A205C9" w14:textId="77777777" w:rsidR="00E035F7" w:rsidRPr="00E035F7" w:rsidRDefault="00E035F7" w:rsidP="00E035F7"/>
    <w:p w14:paraId="3DC4A30C" w14:textId="77777777" w:rsidR="00E035F7" w:rsidRPr="00E035F7" w:rsidRDefault="00E035F7" w:rsidP="00E035F7">
      <w:r w:rsidRPr="00E035F7">
        <w:t>V letu 2025 je FURS pobral neto 26,6 milijarde evrov prihodkov za vse štiri blagajne javnega financiranja, kar je za 1,5 milijarde evrov ali 5,9 odstotka več kakor v letu pred tem.</w:t>
      </w:r>
    </w:p>
    <w:p w14:paraId="3BAFD196" w14:textId="77777777" w:rsidR="00E035F7" w:rsidRPr="00E035F7" w:rsidRDefault="00E035F7" w:rsidP="00E035F7"/>
    <w:p w14:paraId="6308333E" w14:textId="77777777" w:rsidR="00E035F7" w:rsidRPr="00E035F7" w:rsidRDefault="00E035F7" w:rsidP="00E035F7">
      <w:r w:rsidRPr="00E035F7">
        <w:t xml:space="preserve">Na dan 31. december 2025 je bil davčni dolg za vse blagajne javnega financiranja 861 milijon evrov. V letu 2025 se je davčni dolg znižal za 41 milijonov evrov ali 4,6 odstotka v primerjavi z letom prej. </w:t>
      </w:r>
    </w:p>
    <w:p w14:paraId="4CA2C3DD" w14:textId="77777777" w:rsidR="00E035F7" w:rsidRPr="00E035F7" w:rsidRDefault="00E035F7" w:rsidP="00E035F7">
      <w:r w:rsidRPr="00E035F7">
        <w:t xml:space="preserve">Na stanje davčnega dolga je v letu 2025 vplivalo več dejavnikov, med drugim za 1,7 milijarde EUR (5,8 odstotka) več odmerjenih in obračunanih davčnih obveznosti kot leto poprej. Uveden je bil tudi nov obvezni prispevek za dolgotrajno oskrbo. Posledično je bilo tudi v izterjavo prejeto nekoliko več neplačanih obveznosti, za katere so bili, s ciljem poplačila dolga, izvedeni različni ukrepi spodbujanja prostovoljnega plačila in izterjave. </w:t>
      </w:r>
    </w:p>
    <w:p w14:paraId="1B40D62C" w14:textId="77777777" w:rsidR="00E035F7" w:rsidRPr="00E035F7" w:rsidRDefault="00E035F7" w:rsidP="00E035F7"/>
    <w:p w14:paraId="21650424" w14:textId="77777777" w:rsidR="00E035F7" w:rsidRPr="00E035F7" w:rsidRDefault="00E035F7" w:rsidP="00E035F7">
      <w:r w:rsidRPr="00E035F7">
        <w:t>Pri spremljanju gibanja davčnega dolga je treba upoštevati tudi gibanje deleža dolga glede na letno pobrane javnofinančne prihodke FURS. Delež davčnega dolga za vse javnofinančne blagajne v vseh letno pobranih javnofinančnih prihodkih FURS se je v letu 2025 zmanjšal na 3,2 odstotka, medtem ko je v letu ustanovitve FURS, tj. letu 2014, obsegal 10,4 odstotka.</w:t>
      </w:r>
    </w:p>
    <w:p w14:paraId="3B5CAEB9" w14:textId="77777777" w:rsidR="00E035F7" w:rsidRPr="00E035F7" w:rsidRDefault="00E035F7" w:rsidP="00E035F7"/>
    <w:p w14:paraId="6DA7BA48" w14:textId="77777777" w:rsidR="00E035F7" w:rsidRPr="00E035F7" w:rsidRDefault="00E035F7" w:rsidP="00E035F7">
      <w:r w:rsidRPr="00E035F7">
        <w:t>Če pri obravnavi zaključnega računa pozornost namenimo samo dolgu, nastalemu in zapadlemu v letu 2025, je po stanju na dan 31. december 2025 obsegal za vse javnofinančne blagajne 259 milijonov evrov. Ob sestavi poročila se je po stanju na dan 31. marec 2025 v letu 2025 nastali dolg že zmanjšal na 131 milijonov evrov.</w:t>
      </w:r>
    </w:p>
    <w:p w14:paraId="56A25C82" w14:textId="77777777" w:rsidR="00E035F7" w:rsidRPr="00E035F7" w:rsidRDefault="00E035F7" w:rsidP="00E035F7"/>
    <w:p w14:paraId="2DC3C6E9" w14:textId="77777777" w:rsidR="00E035F7" w:rsidRPr="00E035F7" w:rsidRDefault="00E035F7" w:rsidP="00E035F7">
      <w:r w:rsidRPr="00E035F7">
        <w:t xml:space="preserve">S ciljem obvladovanja davčnega dolga je FURS izvajal številne ukrepe za spodbujanje prostovoljnega plačevanja in izterjave, na primer: opominjanje, pobote obveznosti z zapadlimi terjatvami, unovčitve predloženih zavarovanj, davčno izvršbo in druge zahtevnejše ukrepe uveljavljanja davčnega dolga in predlagal stečaje ali izbrise. </w:t>
      </w:r>
    </w:p>
    <w:p w14:paraId="4AB2B0C3" w14:textId="77777777" w:rsidR="00E035F7" w:rsidRPr="00E035F7" w:rsidRDefault="00E035F7" w:rsidP="00E035F7"/>
    <w:p w14:paraId="73D081E8" w14:textId="67777CD4" w:rsidR="00E035F7" w:rsidRDefault="00E035F7" w:rsidP="00E035F7">
      <w:r w:rsidRPr="00E035F7">
        <w:t xml:space="preserve">Davčni dolg po stanju 31. decembra 2025 je po možnostih izterjave razdeljen na aktivni dolg v vrednosti 451 milijonov evrov in pogojno izterljivi dolg v znesku 410 milijonov evrov. V strukturi davčnega dolga ima aktivni dolg 52,4-odstotni delež. FURS je pri izterjavi znatnega dela davčnega dolga zelo omejen. Če sodišče odloči, da se zoper dolžnika začne postopek zaradi insolventnosti, se za dolg ne sme voditi postopka izvršbe niti zavarovanja. Po stanju na dan 31. december 2025 je obseg pogojno izterljivega dolga, prijavljenega v </w:t>
      </w:r>
      <w:proofErr w:type="spellStart"/>
      <w:r w:rsidRPr="00E035F7">
        <w:t>insolvenčne</w:t>
      </w:r>
      <w:proofErr w:type="spellEnd"/>
      <w:r w:rsidRPr="00E035F7">
        <w:t xml:space="preserve"> postopke, znašal 242 milijonov evrov, kar predstavlja 28,2 odstotka davčnega dolga.</w:t>
      </w:r>
    </w:p>
    <w:p w14:paraId="2DA99935" w14:textId="03EB48E4" w:rsidR="00E035F7" w:rsidRDefault="00E035F7" w:rsidP="00E035F7">
      <w:pPr>
        <w:pStyle w:val="Vir"/>
      </w:pPr>
      <w:r>
        <w:t>Vir: Ministrstvo za finance</w:t>
      </w:r>
    </w:p>
    <w:p w14:paraId="601DD36F" w14:textId="77777777" w:rsidR="00E416CE" w:rsidRDefault="00E416CE" w:rsidP="00E416CE"/>
    <w:p w14:paraId="42B2A245" w14:textId="77777777" w:rsidR="00E416CE" w:rsidRDefault="00E416CE" w:rsidP="00E416CE"/>
    <w:p w14:paraId="001BC907" w14:textId="77777777" w:rsidR="00E416CE" w:rsidRPr="00E416CE" w:rsidRDefault="00E416CE" w:rsidP="00E416CE"/>
    <w:p w14:paraId="13FB0539" w14:textId="44A8A44A" w:rsidR="00076443" w:rsidRDefault="00076443" w:rsidP="00076443">
      <w:pPr>
        <w:pStyle w:val="Naslov2"/>
      </w:pPr>
      <w:r w:rsidRPr="00076443">
        <w:lastRenderedPageBreak/>
        <w:t>Poročilo o davčnih izdatkih v letu 2024</w:t>
      </w:r>
    </w:p>
    <w:p w14:paraId="20041601" w14:textId="04880368" w:rsidR="00076443" w:rsidRPr="00076443" w:rsidRDefault="00076443" w:rsidP="00076443">
      <w:r w:rsidRPr="00076443">
        <w:t>Vlada je sprejela poročilo o davčnih izdatkih v letu 2024, ki vključuje ocene zmanjšanja davčnih prihodkov na ravni različnih davkov.</w:t>
      </w:r>
    </w:p>
    <w:p w14:paraId="57CCE3FA" w14:textId="77777777" w:rsidR="00076443" w:rsidRPr="00076443" w:rsidRDefault="00076443" w:rsidP="00076443">
      <w:r w:rsidRPr="00076443">
        <w:t>Poročilo vsebuje prikaz davčnih izdatkov po posameznih vrstah davkov skupaj z oceno vpliva na javnofinančne prihodke. Pomembno je redno, analitično in objektivno spremljati vse vrste davčnih izdatkov in s tem vplivati na upravičenost določenih davčnih izdatkov. Pogosto se namreč pokaže, da so davčni izdatki le nadomestilo za neposredna plačila iz proračuna, kar zmanjšuje javnofinančno preglednost.</w:t>
      </w:r>
    </w:p>
    <w:p w14:paraId="6A52CFD3" w14:textId="77777777" w:rsidR="00076443" w:rsidRPr="00076443" w:rsidRDefault="00076443" w:rsidP="00076443">
      <w:r w:rsidRPr="00076443">
        <w:t>Glavne ugotovitve poročila so:</w:t>
      </w:r>
    </w:p>
    <w:p w14:paraId="05FBC1F9" w14:textId="77777777" w:rsidR="00076443" w:rsidRPr="00076443" w:rsidRDefault="00076443" w:rsidP="00076443">
      <w:r w:rsidRPr="00076443">
        <w:t>‒ obseg neposredno dodeljenih spodbud v obliki oprostitev in vračil davkov se povečuje, v letu 2024 se je znesek davčnih izdatkov povečal za 3 odstotke glede na leto 2023 oziroma za 18 odstotkov glede na leto 2022,</w:t>
      </w:r>
    </w:p>
    <w:p w14:paraId="264D2BA6" w14:textId="77777777" w:rsidR="00076443" w:rsidRPr="00076443" w:rsidRDefault="00076443" w:rsidP="00076443">
      <w:r w:rsidRPr="00076443">
        <w:t>‒ davčni izdatki so v letu 2024 znašali 3,4 milijarde evrov oziroma 5 odstotkov bruto domačega proizvoda (BDP), kar je za desetinko odstotne točke več kot leto prej,</w:t>
      </w:r>
    </w:p>
    <w:p w14:paraId="79905000" w14:textId="77777777" w:rsidR="00076443" w:rsidRPr="00076443" w:rsidRDefault="00076443" w:rsidP="00076443">
      <w:r w:rsidRPr="00076443">
        <w:t>‒ največji izpad javnofinančnih prihodkov v obliki davčnih izdatkov pomenijo nižja stopnja pri davku na dodano vrednost (DDV) ter olajšave in oprostitve pri dohodnini, skupaj 4 odstotke BDP v letu 2024,</w:t>
      </w:r>
    </w:p>
    <w:p w14:paraId="305A01E4" w14:textId="77777777" w:rsidR="00076443" w:rsidRPr="00076443" w:rsidRDefault="00076443" w:rsidP="00076443">
      <w:r w:rsidRPr="00076443">
        <w:t>‒ največja skupina davčnega izdatka pri DDV je nižja stopnja za hrano in pijačo, ki nanese 435 milijonov evrov izgubljenih javnofinančnih prihodkov v letu 2024,</w:t>
      </w:r>
    </w:p>
    <w:p w14:paraId="5DB52D57" w14:textId="0F366AA2" w:rsidR="00076443" w:rsidRDefault="00076443" w:rsidP="00076443">
      <w:r w:rsidRPr="00076443">
        <w:t>‒ pri dohodnini največja dva davčna izdatka (</w:t>
      </w:r>
      <w:proofErr w:type="spellStart"/>
      <w:r w:rsidRPr="00076443">
        <w:t>neobdavčitev</w:t>
      </w:r>
      <w:proofErr w:type="spellEnd"/>
      <w:r w:rsidRPr="00076443">
        <w:t xml:space="preserve"> določenih dohodkov in davčna oprostitev pri izplačilu regresa za letni dopust) skupaj znižata javnofinančne prihodke za 659 milijonov evrov.</w:t>
      </w:r>
    </w:p>
    <w:p w14:paraId="357C9E65" w14:textId="77DC759A" w:rsidR="00076443" w:rsidRPr="00076443" w:rsidRDefault="00076443" w:rsidP="00076443">
      <w:pPr>
        <w:pStyle w:val="Vir"/>
      </w:pPr>
      <w:r>
        <w:t>Vir: Ministrstvo za finance</w:t>
      </w:r>
    </w:p>
    <w:p w14:paraId="21106C2A" w14:textId="11EBB785" w:rsidR="006E3CA2" w:rsidRPr="006E3CA2" w:rsidRDefault="006E3CA2" w:rsidP="006E3CA2">
      <w:pPr>
        <w:pStyle w:val="Naslov2"/>
      </w:pPr>
      <w:r w:rsidRPr="006E3CA2">
        <w:t>Vlada se je seznanila s poročili skladov in agencij ter zdravstvene in pokojninske blagajne</w:t>
      </w:r>
    </w:p>
    <w:p w14:paraId="71045AAF" w14:textId="05CB4D57" w:rsidR="006E3CA2" w:rsidRPr="006E3CA2" w:rsidRDefault="006E3CA2" w:rsidP="006E3CA2">
      <w:r w:rsidRPr="006E3CA2">
        <w:t>Vlada se je seznanila z letnimi poročili skladov in agencij, katerih ustanovitelj je država, ter Zavoda za zdravstveno zavarovanje Slovenije in Zavoda za pokojninsko in invalidsko zavarovanje Slovenije, oba v obveznem delu zavarovanja, za leto 2025.</w:t>
      </w:r>
    </w:p>
    <w:p w14:paraId="4F17E170" w14:textId="77777777" w:rsidR="006E3CA2" w:rsidRPr="006E3CA2" w:rsidRDefault="006E3CA2" w:rsidP="006E3CA2"/>
    <w:p w14:paraId="623054E3" w14:textId="77777777" w:rsidR="006E3CA2" w:rsidRPr="006E3CA2" w:rsidRDefault="006E3CA2" w:rsidP="006E3CA2">
      <w:r w:rsidRPr="006E3CA2">
        <w:t>Gre za 28 letnih poročil, ki jih mora vlada predložiti državnemu zboru skupaj z zaključnim računom proračuna.</w:t>
      </w:r>
    </w:p>
    <w:p w14:paraId="73356214" w14:textId="77777777" w:rsidR="006E3CA2" w:rsidRPr="006E3CA2" w:rsidRDefault="006E3CA2" w:rsidP="006E3CA2"/>
    <w:p w14:paraId="0316C6C7" w14:textId="5F583821" w:rsidR="006E3CA2" w:rsidRPr="006E3CA2" w:rsidRDefault="006E3CA2" w:rsidP="006E3CA2">
      <w:r w:rsidRPr="006E3CA2">
        <w:t>Ministrstvo za finance je dokumentacijo pridobilo od Agencije Republike Slovenije za javnopravne evidence in storitve oziroma v sodelovanju z uporabniki proračuna.</w:t>
      </w:r>
    </w:p>
    <w:p w14:paraId="4124F5D6" w14:textId="42D7F78F" w:rsidR="006E3CA2" w:rsidRPr="006E3CA2" w:rsidRDefault="006E3CA2" w:rsidP="006E3CA2">
      <w:pPr>
        <w:pStyle w:val="Vir"/>
      </w:pPr>
      <w:r w:rsidRPr="006E3CA2">
        <w:t>Vir: Ministrstvo za finance</w:t>
      </w:r>
    </w:p>
    <w:p w14:paraId="735200DF" w14:textId="3D4507D5" w:rsidR="00C52BC3" w:rsidRPr="00C52BC3" w:rsidRDefault="00C52BC3" w:rsidP="00C52BC3">
      <w:pPr>
        <w:pStyle w:val="Naslov2"/>
      </w:pPr>
      <w:r w:rsidRPr="00C52BC3">
        <w:t>Seznanitev vlade s poročilom o zadolževanju občin</w:t>
      </w:r>
    </w:p>
    <w:p w14:paraId="70F17449" w14:textId="6DFCC214" w:rsidR="00C52BC3" w:rsidRPr="00C52BC3" w:rsidRDefault="00C52BC3" w:rsidP="00C52BC3">
      <w:r w:rsidRPr="00C52BC3">
        <w:t xml:space="preserve">Vlada se je </w:t>
      </w:r>
      <w:r w:rsidR="00D305C4">
        <w:t>s</w:t>
      </w:r>
      <w:r w:rsidRPr="00C52BC3">
        <w:t>eznanila s Poročilom o zadolževanju občin in pravnih oseb javnega sektorja na ravni občin v letu 2025 ter stanjem zadolženosti na dan 31. decembra 2025.</w:t>
      </w:r>
    </w:p>
    <w:p w14:paraId="7A06F7DF" w14:textId="77777777" w:rsidR="00C52BC3" w:rsidRPr="00C52BC3" w:rsidRDefault="00C52BC3" w:rsidP="00C52BC3"/>
    <w:p w14:paraId="786020D1" w14:textId="77777777" w:rsidR="00C52BC3" w:rsidRPr="00C52BC3" w:rsidRDefault="00C52BC3" w:rsidP="00C52BC3">
      <w:r w:rsidRPr="00C52BC3">
        <w:t>Skupna zadolženost občin in pravnih oseb javnega sektorja na ravni občin se je v letu 2025 v primerjavi z letom 2024 povečala za 33 milijonov evrov in je konec leta 2025 znašala 1,5 milijarde evrov oziroma 2,15 odstotka bruto domačega proizvoda (BDP). V strukturi skupne zadolžitve so 75 odstotkov predstavljali dolgovi občin in 25 odstotkov dolgovi pravnih oseb v občinah. Povprečni skupni dolg na prebivalca v letu 2025 je znašal 735 evrov.</w:t>
      </w:r>
    </w:p>
    <w:p w14:paraId="1AD7E70B" w14:textId="77777777" w:rsidR="00C52BC3" w:rsidRPr="00C52BC3" w:rsidRDefault="00C52BC3" w:rsidP="00C52BC3"/>
    <w:p w14:paraId="67C740E0" w14:textId="77777777" w:rsidR="00C52BC3" w:rsidRPr="00C52BC3" w:rsidRDefault="00C52BC3" w:rsidP="00C52BC3">
      <w:r w:rsidRPr="00C52BC3">
        <w:t xml:space="preserve">Na Ministrstvu za finance ugotavljamo, da obseg skupne zadolženosti občin in pravnih oseb javnega sektorja na ravni občin v letu 2025 ni zaskrbljujoč. Občine s pomočjo zadolževanja izvajajo ciljno usmerjene investicije, katerih namen je ustvarjanje novih delovnih mest, izboljšanje življenjskih pogojev prebivalcev ter krepitev gospodarske razvitosti na lokalni ravni. </w:t>
      </w:r>
    </w:p>
    <w:p w14:paraId="6210ADD6" w14:textId="77777777" w:rsidR="00C52BC3" w:rsidRPr="00C52BC3" w:rsidRDefault="00C52BC3" w:rsidP="00C52BC3"/>
    <w:p w14:paraId="19A8D5AE" w14:textId="0439F652" w:rsidR="00C52BC3" w:rsidRDefault="00C52BC3" w:rsidP="00C52BC3">
      <w:r w:rsidRPr="00C52BC3">
        <w:t>Takšne investicije prispevajo k vzpostavitvi kakovostne infrastrukture, spodbujanju podjetniških dejavnosti in trajnostnemu razvoju občin, kar posledično pozitivno vpliva na rast BDP ter dolgoročno spodbuja konkurenčnost in blaginjo posamezne lokalne skupnosti.</w:t>
      </w:r>
    </w:p>
    <w:p w14:paraId="15AC0B4B" w14:textId="77777777" w:rsidR="00C52BC3" w:rsidRPr="00E035F7" w:rsidRDefault="00C52BC3" w:rsidP="00C52BC3">
      <w:pPr>
        <w:pStyle w:val="Vir"/>
      </w:pPr>
      <w:r>
        <w:t>Vir: Ministrstvo za finance</w:t>
      </w:r>
    </w:p>
    <w:p w14:paraId="6583E39B" w14:textId="2929C9FB" w:rsidR="00071D0A" w:rsidRPr="00071D0A" w:rsidRDefault="00071D0A" w:rsidP="00071D0A">
      <w:pPr>
        <w:pStyle w:val="Naslov2"/>
      </w:pPr>
      <w:r w:rsidRPr="00071D0A">
        <w:t>Vlada se je seznanila z analizo plač v javnem sektorju za leto 2025</w:t>
      </w:r>
    </w:p>
    <w:p w14:paraId="42F39AD9" w14:textId="4A99ACD3" w:rsidR="00071D0A" w:rsidRDefault="00071D0A" w:rsidP="00071D0A">
      <w:pPr>
        <w:spacing w:line="240" w:lineRule="auto"/>
        <w:jc w:val="both"/>
        <w:rPr>
          <w:rFonts w:cs="Arial"/>
          <w:bCs/>
          <w:szCs w:val="20"/>
          <w:lang w:eastAsia="sl-SI"/>
        </w:rPr>
      </w:pPr>
      <w:r w:rsidRPr="009047E3">
        <w:rPr>
          <w:rFonts w:cs="Arial"/>
          <w:bCs/>
          <w:szCs w:val="20"/>
          <w:lang w:eastAsia="sl-SI"/>
        </w:rPr>
        <w:t xml:space="preserve">Vlada se je seznanila z Analizo plač v javnem sektorju za leto 2025 in </w:t>
      </w:r>
      <w:r>
        <w:rPr>
          <w:rFonts w:cs="Arial"/>
          <w:bCs/>
          <w:szCs w:val="20"/>
          <w:lang w:eastAsia="sl-SI"/>
        </w:rPr>
        <w:t xml:space="preserve">jo skupaj z </w:t>
      </w:r>
      <w:r w:rsidRPr="009047E3">
        <w:rPr>
          <w:rFonts w:cs="Arial"/>
          <w:bCs/>
          <w:szCs w:val="20"/>
          <w:lang w:eastAsia="sl-SI"/>
        </w:rPr>
        <w:t xml:space="preserve">mnenji reprezentativnih sindikatov javnega sektorja posreduje Državnemu zboru. </w:t>
      </w:r>
    </w:p>
    <w:p w14:paraId="16884343" w14:textId="77777777" w:rsidR="00071D0A" w:rsidRDefault="00071D0A" w:rsidP="00071D0A">
      <w:pPr>
        <w:spacing w:line="240" w:lineRule="auto"/>
        <w:jc w:val="both"/>
        <w:rPr>
          <w:rFonts w:cs="Arial"/>
          <w:bCs/>
          <w:szCs w:val="20"/>
          <w:lang w:eastAsia="sl-SI"/>
        </w:rPr>
      </w:pPr>
    </w:p>
    <w:p w14:paraId="04891F4F" w14:textId="77777777" w:rsidR="00071D0A" w:rsidRDefault="00071D0A" w:rsidP="00071D0A">
      <w:pPr>
        <w:spacing w:line="240" w:lineRule="auto"/>
        <w:jc w:val="both"/>
        <w:rPr>
          <w:rFonts w:cs="Arial"/>
          <w:noProof/>
          <w:szCs w:val="20"/>
        </w:rPr>
      </w:pPr>
      <w:r w:rsidRPr="00AC6B42">
        <w:rPr>
          <w:rFonts w:cs="Arial"/>
          <w:noProof/>
          <w:szCs w:val="20"/>
        </w:rPr>
        <w:t xml:space="preserve">Ministrstvo za </w:t>
      </w:r>
      <w:r>
        <w:rPr>
          <w:rFonts w:cs="Arial"/>
          <w:noProof/>
          <w:szCs w:val="20"/>
        </w:rPr>
        <w:t xml:space="preserve">notranje zadeve in </w:t>
      </w:r>
      <w:r w:rsidRPr="00AC6B42">
        <w:rPr>
          <w:rFonts w:cs="Arial"/>
          <w:noProof/>
          <w:szCs w:val="20"/>
        </w:rPr>
        <w:t>javno upravo</w:t>
      </w:r>
      <w:r>
        <w:rPr>
          <w:rFonts w:cs="Arial"/>
          <w:noProof/>
          <w:szCs w:val="20"/>
        </w:rPr>
        <w:t xml:space="preserve"> (MNZJU)</w:t>
      </w:r>
      <w:r w:rsidRPr="00AC6B42">
        <w:rPr>
          <w:rFonts w:cs="Arial"/>
          <w:noProof/>
          <w:szCs w:val="20"/>
        </w:rPr>
        <w:t xml:space="preserve"> </w:t>
      </w:r>
      <w:r>
        <w:rPr>
          <w:rFonts w:cs="Arial"/>
          <w:noProof/>
          <w:szCs w:val="20"/>
        </w:rPr>
        <w:t>v</w:t>
      </w:r>
      <w:r w:rsidRPr="00AC6B42">
        <w:rPr>
          <w:rFonts w:cs="Arial"/>
          <w:noProof/>
          <w:szCs w:val="20"/>
        </w:rPr>
        <w:t xml:space="preserve"> </w:t>
      </w:r>
      <w:r>
        <w:rPr>
          <w:rFonts w:cs="Arial"/>
          <w:noProof/>
          <w:szCs w:val="20"/>
        </w:rPr>
        <w:t>a</w:t>
      </w:r>
      <w:r w:rsidRPr="00AC6B42">
        <w:rPr>
          <w:rFonts w:cs="Arial"/>
          <w:noProof/>
          <w:szCs w:val="20"/>
        </w:rPr>
        <w:t>naliz</w:t>
      </w:r>
      <w:r>
        <w:rPr>
          <w:rFonts w:cs="Arial"/>
          <w:noProof/>
          <w:szCs w:val="20"/>
        </w:rPr>
        <w:t>i</w:t>
      </w:r>
      <w:r w:rsidRPr="00AC6B42">
        <w:rPr>
          <w:rFonts w:cs="Arial"/>
          <w:noProof/>
          <w:szCs w:val="20"/>
        </w:rPr>
        <w:t xml:space="preserve"> proučuje podatke proračunskih uporabnikov o osnovnih plačah, dodatkih, delovni uspešnosti, izplačilih za delo preko polnega delovnega časa in dežurstvu ter številu zaposlenih glede na časovno obdobje, po podskupinah dejavnosti iz registra proračunskih uporabnikov, plačnih podskupinah in tarifnih razredih. Analiza temelji na podatkih, ki jih proračunski uporabniki posredujejo v Informacijski sistem za  posredovanje in analizo podatkov o plačah, drugih izplačilih in številu zaposlenih v javnem sektorju</w:t>
      </w:r>
      <w:r>
        <w:rPr>
          <w:rFonts w:cs="Arial"/>
          <w:noProof/>
          <w:szCs w:val="20"/>
        </w:rPr>
        <w:t xml:space="preserve"> (ISPAP). </w:t>
      </w:r>
      <w:r w:rsidRPr="00857639">
        <w:rPr>
          <w:rFonts w:cs="Arial"/>
          <w:noProof/>
          <w:szCs w:val="20"/>
        </w:rPr>
        <w:t>Analiza se nanaša na leto 202</w:t>
      </w:r>
      <w:r>
        <w:rPr>
          <w:rFonts w:cs="Arial"/>
          <w:noProof/>
          <w:szCs w:val="20"/>
        </w:rPr>
        <w:t>5</w:t>
      </w:r>
      <w:r w:rsidRPr="00857639">
        <w:rPr>
          <w:rFonts w:cs="Arial"/>
          <w:noProof/>
          <w:szCs w:val="20"/>
        </w:rPr>
        <w:t xml:space="preserve"> v primerjavi z letom 202</w:t>
      </w:r>
      <w:r>
        <w:rPr>
          <w:rFonts w:cs="Arial"/>
          <w:noProof/>
          <w:szCs w:val="20"/>
        </w:rPr>
        <w:t>4</w:t>
      </w:r>
      <w:r w:rsidRPr="00857639">
        <w:rPr>
          <w:rFonts w:cs="Arial"/>
          <w:noProof/>
          <w:szCs w:val="20"/>
        </w:rPr>
        <w:t>.</w:t>
      </w:r>
      <w:r>
        <w:rPr>
          <w:rFonts w:cs="Arial"/>
          <w:noProof/>
          <w:szCs w:val="20"/>
        </w:rPr>
        <w:t xml:space="preserve"> Po obravnavi bo objavljena </w:t>
      </w:r>
      <w:hyperlink r:id="rId13" w:anchor="e341202" w:history="1">
        <w:r w:rsidRPr="009047E3">
          <w:rPr>
            <w:rStyle w:val="Hiperpovezava"/>
            <w:rFonts w:cs="Arial"/>
            <w:noProof/>
            <w:szCs w:val="20"/>
          </w:rPr>
          <w:t>na spletni strani MNZJU.</w:t>
        </w:r>
      </w:hyperlink>
    </w:p>
    <w:p w14:paraId="1B82D57F" w14:textId="77777777" w:rsidR="00071D0A" w:rsidRDefault="00071D0A" w:rsidP="00071D0A">
      <w:pPr>
        <w:spacing w:line="240" w:lineRule="auto"/>
        <w:jc w:val="both"/>
        <w:rPr>
          <w:rFonts w:cs="Arial"/>
          <w:noProof/>
          <w:szCs w:val="20"/>
        </w:rPr>
      </w:pPr>
    </w:p>
    <w:p w14:paraId="57CDE901" w14:textId="3C13BDAA" w:rsidR="00071D0A" w:rsidRDefault="00071D0A" w:rsidP="00071D0A">
      <w:pPr>
        <w:spacing w:line="240" w:lineRule="auto"/>
        <w:jc w:val="both"/>
        <w:rPr>
          <w:rFonts w:cs="Arial"/>
          <w:noProof/>
          <w:szCs w:val="20"/>
        </w:rPr>
      </w:pPr>
      <w:r>
        <w:rPr>
          <w:rFonts w:cs="Arial"/>
          <w:noProof/>
          <w:szCs w:val="20"/>
        </w:rPr>
        <w:t>MNZJU</w:t>
      </w:r>
      <w:r w:rsidRPr="00450723">
        <w:rPr>
          <w:rFonts w:cs="Arial"/>
          <w:noProof/>
          <w:szCs w:val="20"/>
        </w:rPr>
        <w:t xml:space="preserve"> enkrat letno v skladu </w:t>
      </w:r>
      <w:r>
        <w:rPr>
          <w:rFonts w:cs="Arial"/>
          <w:noProof/>
          <w:szCs w:val="20"/>
        </w:rPr>
        <w:t>z</w:t>
      </w:r>
      <w:r w:rsidRPr="00450723">
        <w:rPr>
          <w:rFonts w:cs="Arial"/>
          <w:noProof/>
          <w:szCs w:val="20"/>
        </w:rPr>
        <w:t xml:space="preserve"> metodologijo</w:t>
      </w:r>
      <w:r>
        <w:rPr>
          <w:rFonts w:cs="Arial"/>
          <w:noProof/>
          <w:szCs w:val="20"/>
        </w:rPr>
        <w:t>, predpisano</w:t>
      </w:r>
      <w:r w:rsidRPr="00450723">
        <w:rPr>
          <w:rFonts w:cs="Arial"/>
          <w:noProof/>
          <w:szCs w:val="20"/>
        </w:rPr>
        <w:t xml:space="preserve"> </w:t>
      </w:r>
      <w:r>
        <w:rPr>
          <w:rFonts w:cs="Arial"/>
          <w:noProof/>
          <w:szCs w:val="20"/>
        </w:rPr>
        <w:t xml:space="preserve">v </w:t>
      </w:r>
      <w:r w:rsidRPr="00450723">
        <w:rPr>
          <w:rFonts w:cs="Arial"/>
          <w:noProof/>
          <w:szCs w:val="20"/>
        </w:rPr>
        <w:t>Zakon</w:t>
      </w:r>
      <w:r>
        <w:rPr>
          <w:rFonts w:cs="Arial"/>
          <w:noProof/>
          <w:szCs w:val="20"/>
        </w:rPr>
        <w:t>u</w:t>
      </w:r>
      <w:r w:rsidRPr="00450723">
        <w:rPr>
          <w:rFonts w:cs="Arial"/>
          <w:noProof/>
          <w:szCs w:val="20"/>
        </w:rPr>
        <w:t xml:space="preserve"> o skupnih temeljih sistema plač v javnem sektorju</w:t>
      </w:r>
      <w:r>
        <w:rPr>
          <w:rFonts w:cs="Arial"/>
          <w:noProof/>
          <w:szCs w:val="20"/>
        </w:rPr>
        <w:t xml:space="preserve">, </w:t>
      </w:r>
      <w:r w:rsidRPr="00450723">
        <w:rPr>
          <w:rFonts w:cs="Arial"/>
          <w:noProof/>
          <w:szCs w:val="20"/>
        </w:rPr>
        <w:t>pripravi analizo gibanja plač v javnem sektorju in jo posreduje v mnenje reprezentativni</w:t>
      </w:r>
      <w:r>
        <w:rPr>
          <w:rFonts w:cs="Arial"/>
          <w:noProof/>
          <w:szCs w:val="20"/>
        </w:rPr>
        <w:t>m</w:t>
      </w:r>
      <w:r w:rsidRPr="00450723">
        <w:rPr>
          <w:rFonts w:cs="Arial"/>
          <w:noProof/>
          <w:szCs w:val="20"/>
        </w:rPr>
        <w:t xml:space="preserve"> sindikatom javnega sektorja. Vlada analizo skupaj z mnenjem sindikatov predloži Državnemu zboru skupaj z Zaključnim računom državnega proračuna Republike Slovenije</w:t>
      </w:r>
      <w:r>
        <w:rPr>
          <w:rFonts w:cs="Arial"/>
          <w:noProof/>
          <w:szCs w:val="20"/>
        </w:rPr>
        <w:t>.</w:t>
      </w:r>
    </w:p>
    <w:p w14:paraId="4BACFA94" w14:textId="19AB4B4F" w:rsidR="00A732B1" w:rsidRPr="00A732B1" w:rsidRDefault="00071D0A" w:rsidP="00A732B1">
      <w:pPr>
        <w:pStyle w:val="Vir"/>
      </w:pPr>
      <w:r>
        <w:t xml:space="preserve">Vir: Ministrstvo </w:t>
      </w:r>
      <w:r w:rsidRPr="006D303F">
        <w:t>za notranje zadeve in javno upravo</w:t>
      </w:r>
    </w:p>
    <w:sectPr w:rsidR="00A732B1" w:rsidRPr="00A732B1"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551F2" w14:textId="77777777" w:rsidR="00724E3C" w:rsidRDefault="00724E3C" w:rsidP="00750D01">
      <w:pPr>
        <w:spacing w:line="240" w:lineRule="auto"/>
      </w:pPr>
      <w:r>
        <w:separator/>
      </w:r>
    </w:p>
  </w:endnote>
  <w:endnote w:type="continuationSeparator" w:id="0">
    <w:p w14:paraId="7848F67D" w14:textId="77777777" w:rsidR="00724E3C" w:rsidRDefault="00724E3C"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D0352" w14:textId="77777777" w:rsidR="00724E3C" w:rsidRDefault="00724E3C" w:rsidP="00750D01">
      <w:pPr>
        <w:spacing w:line="240" w:lineRule="auto"/>
      </w:pPr>
      <w:r>
        <w:separator/>
      </w:r>
    </w:p>
  </w:footnote>
  <w:footnote w:type="continuationSeparator" w:id="0">
    <w:p w14:paraId="3B15A5BB" w14:textId="77777777" w:rsidR="00724E3C" w:rsidRDefault="00724E3C"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AD13257"/>
    <w:multiLevelType w:val="hybridMultilevel"/>
    <w:tmpl w:val="BA9200B4"/>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AD92088"/>
    <w:multiLevelType w:val="hybridMultilevel"/>
    <w:tmpl w:val="8DA201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E2D6DF9"/>
    <w:multiLevelType w:val="hybridMultilevel"/>
    <w:tmpl w:val="6276D6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CE301C"/>
    <w:multiLevelType w:val="hybridMultilevel"/>
    <w:tmpl w:val="70F850B2"/>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D547F21"/>
    <w:multiLevelType w:val="hybridMultilevel"/>
    <w:tmpl w:val="E7AC3BD4"/>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2700687"/>
    <w:multiLevelType w:val="hybridMultilevel"/>
    <w:tmpl w:val="5236662C"/>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B292655"/>
    <w:multiLevelType w:val="hybridMultilevel"/>
    <w:tmpl w:val="922E941E"/>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FFE428B"/>
    <w:multiLevelType w:val="hybridMultilevel"/>
    <w:tmpl w:val="A35EC1EC"/>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4629AA"/>
    <w:multiLevelType w:val="hybridMultilevel"/>
    <w:tmpl w:val="20A6D6B8"/>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176576364">
    <w:abstractNumId w:val="17"/>
  </w:num>
  <w:num w:numId="2" w16cid:durableId="984821814">
    <w:abstractNumId w:val="12"/>
  </w:num>
  <w:num w:numId="3" w16cid:durableId="150218247">
    <w:abstractNumId w:val="0"/>
  </w:num>
  <w:num w:numId="4" w16cid:durableId="1026903286">
    <w:abstractNumId w:val="13"/>
  </w:num>
  <w:num w:numId="5" w16cid:durableId="231817878">
    <w:abstractNumId w:val="5"/>
  </w:num>
  <w:num w:numId="6" w16cid:durableId="2110814889">
    <w:abstractNumId w:val="19"/>
  </w:num>
  <w:num w:numId="7" w16cid:durableId="695153758">
    <w:abstractNumId w:val="7"/>
  </w:num>
  <w:num w:numId="8" w16cid:durableId="853298866">
    <w:abstractNumId w:val="10"/>
  </w:num>
  <w:num w:numId="9" w16cid:durableId="1789348953">
    <w:abstractNumId w:val="4"/>
  </w:num>
  <w:num w:numId="10" w16cid:durableId="1415012333">
    <w:abstractNumId w:val="15"/>
  </w:num>
  <w:num w:numId="11" w16cid:durableId="886650520">
    <w:abstractNumId w:val="8"/>
  </w:num>
  <w:num w:numId="12" w16cid:durableId="1634292242">
    <w:abstractNumId w:val="14"/>
  </w:num>
  <w:num w:numId="13" w16cid:durableId="1385835999">
    <w:abstractNumId w:val="16"/>
  </w:num>
  <w:num w:numId="14" w16cid:durableId="335963663">
    <w:abstractNumId w:val="6"/>
  </w:num>
  <w:num w:numId="15" w16cid:durableId="1544781011">
    <w:abstractNumId w:val="1"/>
  </w:num>
  <w:num w:numId="16" w16cid:durableId="1325279547">
    <w:abstractNumId w:val="18"/>
  </w:num>
  <w:num w:numId="17" w16cid:durableId="1444761782">
    <w:abstractNumId w:val="2"/>
  </w:num>
  <w:num w:numId="18" w16cid:durableId="1224095421">
    <w:abstractNumId w:val="11"/>
  </w:num>
  <w:num w:numId="19" w16cid:durableId="2103604102">
    <w:abstractNumId w:val="3"/>
  </w:num>
  <w:num w:numId="20" w16cid:durableId="19914740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15491"/>
    <w:rsid w:val="000318E4"/>
    <w:rsid w:val="00050A56"/>
    <w:rsid w:val="000610D5"/>
    <w:rsid w:val="00071D0A"/>
    <w:rsid w:val="00076443"/>
    <w:rsid w:val="00076DF7"/>
    <w:rsid w:val="00085D04"/>
    <w:rsid w:val="00087069"/>
    <w:rsid w:val="00087A14"/>
    <w:rsid w:val="000928C7"/>
    <w:rsid w:val="00093041"/>
    <w:rsid w:val="00097B85"/>
    <w:rsid w:val="000B101A"/>
    <w:rsid w:val="000B1D39"/>
    <w:rsid w:val="000C4B9F"/>
    <w:rsid w:val="000D5520"/>
    <w:rsid w:val="000E0657"/>
    <w:rsid w:val="000E4F81"/>
    <w:rsid w:val="00101937"/>
    <w:rsid w:val="00110932"/>
    <w:rsid w:val="00110B8F"/>
    <w:rsid w:val="00111A16"/>
    <w:rsid w:val="00113F85"/>
    <w:rsid w:val="00122A23"/>
    <w:rsid w:val="00125753"/>
    <w:rsid w:val="0012724F"/>
    <w:rsid w:val="0013016C"/>
    <w:rsid w:val="00144DB8"/>
    <w:rsid w:val="001602C9"/>
    <w:rsid w:val="00161638"/>
    <w:rsid w:val="0016530C"/>
    <w:rsid w:val="001673A5"/>
    <w:rsid w:val="00167825"/>
    <w:rsid w:val="00173343"/>
    <w:rsid w:val="00196F0F"/>
    <w:rsid w:val="001B01DD"/>
    <w:rsid w:val="001B42F9"/>
    <w:rsid w:val="001C3330"/>
    <w:rsid w:val="001C3560"/>
    <w:rsid w:val="001C5F19"/>
    <w:rsid w:val="001D06DB"/>
    <w:rsid w:val="001D4277"/>
    <w:rsid w:val="001D69D6"/>
    <w:rsid w:val="001E6692"/>
    <w:rsid w:val="001F51BC"/>
    <w:rsid w:val="001F7F63"/>
    <w:rsid w:val="00202CA2"/>
    <w:rsid w:val="00203CAB"/>
    <w:rsid w:val="00203F5F"/>
    <w:rsid w:val="00215140"/>
    <w:rsid w:val="00220CDD"/>
    <w:rsid w:val="0022511A"/>
    <w:rsid w:val="00231021"/>
    <w:rsid w:val="00236C0A"/>
    <w:rsid w:val="002434F1"/>
    <w:rsid w:val="002501CE"/>
    <w:rsid w:val="00283886"/>
    <w:rsid w:val="00285156"/>
    <w:rsid w:val="002856E5"/>
    <w:rsid w:val="002C0766"/>
    <w:rsid w:val="002C21CF"/>
    <w:rsid w:val="002C36A6"/>
    <w:rsid w:val="002D5B5D"/>
    <w:rsid w:val="002E3F96"/>
    <w:rsid w:val="002E497C"/>
    <w:rsid w:val="002E735A"/>
    <w:rsid w:val="002F313C"/>
    <w:rsid w:val="002F3BE7"/>
    <w:rsid w:val="00302938"/>
    <w:rsid w:val="00317A76"/>
    <w:rsid w:val="0032428F"/>
    <w:rsid w:val="0033519E"/>
    <w:rsid w:val="00346E22"/>
    <w:rsid w:val="00351E1E"/>
    <w:rsid w:val="00357DC0"/>
    <w:rsid w:val="00361255"/>
    <w:rsid w:val="00363A41"/>
    <w:rsid w:val="00381018"/>
    <w:rsid w:val="003847C8"/>
    <w:rsid w:val="003877EB"/>
    <w:rsid w:val="00390DF7"/>
    <w:rsid w:val="0039662C"/>
    <w:rsid w:val="003A3742"/>
    <w:rsid w:val="003B4888"/>
    <w:rsid w:val="003C3C9A"/>
    <w:rsid w:val="003D1300"/>
    <w:rsid w:val="003D64D8"/>
    <w:rsid w:val="003E17B6"/>
    <w:rsid w:val="003E1B89"/>
    <w:rsid w:val="003E6170"/>
    <w:rsid w:val="003E69E8"/>
    <w:rsid w:val="003F4CC5"/>
    <w:rsid w:val="00415527"/>
    <w:rsid w:val="00422D5D"/>
    <w:rsid w:val="00431C65"/>
    <w:rsid w:val="00432937"/>
    <w:rsid w:val="004359ED"/>
    <w:rsid w:val="00435CF5"/>
    <w:rsid w:val="004403EC"/>
    <w:rsid w:val="00447B57"/>
    <w:rsid w:val="0045565C"/>
    <w:rsid w:val="00455B63"/>
    <w:rsid w:val="00460370"/>
    <w:rsid w:val="00465AB5"/>
    <w:rsid w:val="00472762"/>
    <w:rsid w:val="0047427A"/>
    <w:rsid w:val="004A00A8"/>
    <w:rsid w:val="004A7BFC"/>
    <w:rsid w:val="004A7CAD"/>
    <w:rsid w:val="004B4753"/>
    <w:rsid w:val="004B7346"/>
    <w:rsid w:val="004B7ED1"/>
    <w:rsid w:val="004C3F67"/>
    <w:rsid w:val="004C721D"/>
    <w:rsid w:val="00514121"/>
    <w:rsid w:val="00522637"/>
    <w:rsid w:val="00527867"/>
    <w:rsid w:val="00527AA5"/>
    <w:rsid w:val="005314D7"/>
    <w:rsid w:val="00544398"/>
    <w:rsid w:val="005458D4"/>
    <w:rsid w:val="005515BD"/>
    <w:rsid w:val="00560C9E"/>
    <w:rsid w:val="005740C1"/>
    <w:rsid w:val="0059143B"/>
    <w:rsid w:val="005A570D"/>
    <w:rsid w:val="005B5886"/>
    <w:rsid w:val="005C1523"/>
    <w:rsid w:val="005C7596"/>
    <w:rsid w:val="005D3A1C"/>
    <w:rsid w:val="005E1ABB"/>
    <w:rsid w:val="005E7D57"/>
    <w:rsid w:val="00614FFD"/>
    <w:rsid w:val="00626A98"/>
    <w:rsid w:val="006274BB"/>
    <w:rsid w:val="00631376"/>
    <w:rsid w:val="00634EFA"/>
    <w:rsid w:val="00635D43"/>
    <w:rsid w:val="006367B9"/>
    <w:rsid w:val="0064180E"/>
    <w:rsid w:val="006575E2"/>
    <w:rsid w:val="0066249C"/>
    <w:rsid w:val="006639F8"/>
    <w:rsid w:val="00664DA1"/>
    <w:rsid w:val="0067375D"/>
    <w:rsid w:val="00676F03"/>
    <w:rsid w:val="006906AF"/>
    <w:rsid w:val="00693BA3"/>
    <w:rsid w:val="006A51B4"/>
    <w:rsid w:val="006B3F12"/>
    <w:rsid w:val="006C1B31"/>
    <w:rsid w:val="006C6190"/>
    <w:rsid w:val="006D303F"/>
    <w:rsid w:val="006E3CA2"/>
    <w:rsid w:val="006E5667"/>
    <w:rsid w:val="006F29FA"/>
    <w:rsid w:val="0070324C"/>
    <w:rsid w:val="00706530"/>
    <w:rsid w:val="0071171B"/>
    <w:rsid w:val="007120FD"/>
    <w:rsid w:val="007130E1"/>
    <w:rsid w:val="00716545"/>
    <w:rsid w:val="00717E59"/>
    <w:rsid w:val="007219B5"/>
    <w:rsid w:val="00724E3C"/>
    <w:rsid w:val="0073796B"/>
    <w:rsid w:val="00750D01"/>
    <w:rsid w:val="0075264D"/>
    <w:rsid w:val="007643A0"/>
    <w:rsid w:val="007669A3"/>
    <w:rsid w:val="00767A18"/>
    <w:rsid w:val="00780E07"/>
    <w:rsid w:val="00781345"/>
    <w:rsid w:val="00784E57"/>
    <w:rsid w:val="0078701E"/>
    <w:rsid w:val="0079749C"/>
    <w:rsid w:val="007A6460"/>
    <w:rsid w:val="007A65D6"/>
    <w:rsid w:val="007B0ADD"/>
    <w:rsid w:val="007B515F"/>
    <w:rsid w:val="007C21FB"/>
    <w:rsid w:val="007E198F"/>
    <w:rsid w:val="007F5D6B"/>
    <w:rsid w:val="007F6444"/>
    <w:rsid w:val="007F6EE3"/>
    <w:rsid w:val="007F6EF7"/>
    <w:rsid w:val="00801A29"/>
    <w:rsid w:val="008220A3"/>
    <w:rsid w:val="00823125"/>
    <w:rsid w:val="008244C0"/>
    <w:rsid w:val="00827F75"/>
    <w:rsid w:val="008336E7"/>
    <w:rsid w:val="00836E94"/>
    <w:rsid w:val="00844BB8"/>
    <w:rsid w:val="00847AD3"/>
    <w:rsid w:val="00851FE1"/>
    <w:rsid w:val="008522C0"/>
    <w:rsid w:val="008624E8"/>
    <w:rsid w:val="008863D0"/>
    <w:rsid w:val="0088720B"/>
    <w:rsid w:val="008A16D8"/>
    <w:rsid w:val="008A1B35"/>
    <w:rsid w:val="008B6738"/>
    <w:rsid w:val="008B7AF2"/>
    <w:rsid w:val="008C0D30"/>
    <w:rsid w:val="008C4231"/>
    <w:rsid w:val="008C4BD1"/>
    <w:rsid w:val="008C4BFB"/>
    <w:rsid w:val="008D0216"/>
    <w:rsid w:val="008D139C"/>
    <w:rsid w:val="008D49BD"/>
    <w:rsid w:val="00905C96"/>
    <w:rsid w:val="009174DA"/>
    <w:rsid w:val="00933061"/>
    <w:rsid w:val="00933087"/>
    <w:rsid w:val="00945B27"/>
    <w:rsid w:val="009540E4"/>
    <w:rsid w:val="00955926"/>
    <w:rsid w:val="00974186"/>
    <w:rsid w:val="00981660"/>
    <w:rsid w:val="00983241"/>
    <w:rsid w:val="00985096"/>
    <w:rsid w:val="009900DE"/>
    <w:rsid w:val="00991CE2"/>
    <w:rsid w:val="009A41AA"/>
    <w:rsid w:val="009A6713"/>
    <w:rsid w:val="009B3707"/>
    <w:rsid w:val="009C2C98"/>
    <w:rsid w:val="009C2D77"/>
    <w:rsid w:val="009C562E"/>
    <w:rsid w:val="009D10D1"/>
    <w:rsid w:val="009F136D"/>
    <w:rsid w:val="009F37F4"/>
    <w:rsid w:val="009F4DB0"/>
    <w:rsid w:val="00A06971"/>
    <w:rsid w:val="00A30052"/>
    <w:rsid w:val="00A34FC4"/>
    <w:rsid w:val="00A445DF"/>
    <w:rsid w:val="00A521C4"/>
    <w:rsid w:val="00A5415F"/>
    <w:rsid w:val="00A60A37"/>
    <w:rsid w:val="00A60FBF"/>
    <w:rsid w:val="00A67305"/>
    <w:rsid w:val="00A726C3"/>
    <w:rsid w:val="00A732B1"/>
    <w:rsid w:val="00A7406B"/>
    <w:rsid w:val="00A7412B"/>
    <w:rsid w:val="00AA597E"/>
    <w:rsid w:val="00AB1DC2"/>
    <w:rsid w:val="00AD1AFD"/>
    <w:rsid w:val="00AE6CD6"/>
    <w:rsid w:val="00AF2612"/>
    <w:rsid w:val="00AF5FC8"/>
    <w:rsid w:val="00B022E5"/>
    <w:rsid w:val="00B06EAB"/>
    <w:rsid w:val="00B10433"/>
    <w:rsid w:val="00B23AA2"/>
    <w:rsid w:val="00B37A37"/>
    <w:rsid w:val="00B43836"/>
    <w:rsid w:val="00B478B9"/>
    <w:rsid w:val="00B47F61"/>
    <w:rsid w:val="00B53301"/>
    <w:rsid w:val="00B53594"/>
    <w:rsid w:val="00B55629"/>
    <w:rsid w:val="00B602CF"/>
    <w:rsid w:val="00B60F58"/>
    <w:rsid w:val="00B7057D"/>
    <w:rsid w:val="00B70F5B"/>
    <w:rsid w:val="00B753A8"/>
    <w:rsid w:val="00B84862"/>
    <w:rsid w:val="00B903E5"/>
    <w:rsid w:val="00B93882"/>
    <w:rsid w:val="00B94D8D"/>
    <w:rsid w:val="00BA743D"/>
    <w:rsid w:val="00BB1111"/>
    <w:rsid w:val="00BB4431"/>
    <w:rsid w:val="00BB73C0"/>
    <w:rsid w:val="00BD0A52"/>
    <w:rsid w:val="00BE5C43"/>
    <w:rsid w:val="00BF2C4B"/>
    <w:rsid w:val="00C17EBC"/>
    <w:rsid w:val="00C3152B"/>
    <w:rsid w:val="00C354D9"/>
    <w:rsid w:val="00C365A8"/>
    <w:rsid w:val="00C43D34"/>
    <w:rsid w:val="00C458C2"/>
    <w:rsid w:val="00C52BC3"/>
    <w:rsid w:val="00C5735C"/>
    <w:rsid w:val="00C666AC"/>
    <w:rsid w:val="00C843E1"/>
    <w:rsid w:val="00C97F7B"/>
    <w:rsid w:val="00CA0F2B"/>
    <w:rsid w:val="00CA5271"/>
    <w:rsid w:val="00CA5624"/>
    <w:rsid w:val="00CA6F2E"/>
    <w:rsid w:val="00CB52B9"/>
    <w:rsid w:val="00CB7ADA"/>
    <w:rsid w:val="00CC3123"/>
    <w:rsid w:val="00CC3530"/>
    <w:rsid w:val="00CC37B3"/>
    <w:rsid w:val="00CE21D5"/>
    <w:rsid w:val="00CE45D7"/>
    <w:rsid w:val="00CF099E"/>
    <w:rsid w:val="00D10EB4"/>
    <w:rsid w:val="00D14EEC"/>
    <w:rsid w:val="00D22282"/>
    <w:rsid w:val="00D245F7"/>
    <w:rsid w:val="00D305C4"/>
    <w:rsid w:val="00D42266"/>
    <w:rsid w:val="00D57275"/>
    <w:rsid w:val="00D60A92"/>
    <w:rsid w:val="00D64FA4"/>
    <w:rsid w:val="00D650E2"/>
    <w:rsid w:val="00D7373E"/>
    <w:rsid w:val="00D74A82"/>
    <w:rsid w:val="00D85532"/>
    <w:rsid w:val="00D9208E"/>
    <w:rsid w:val="00D95BC6"/>
    <w:rsid w:val="00D966FF"/>
    <w:rsid w:val="00D97B4B"/>
    <w:rsid w:val="00DA3B4D"/>
    <w:rsid w:val="00DA3BD5"/>
    <w:rsid w:val="00DA4C40"/>
    <w:rsid w:val="00DA5C0D"/>
    <w:rsid w:val="00DA5D7A"/>
    <w:rsid w:val="00DB55BA"/>
    <w:rsid w:val="00DC7F97"/>
    <w:rsid w:val="00DE199D"/>
    <w:rsid w:val="00DE1B54"/>
    <w:rsid w:val="00DE27BA"/>
    <w:rsid w:val="00E02AB3"/>
    <w:rsid w:val="00E035F7"/>
    <w:rsid w:val="00E05EEE"/>
    <w:rsid w:val="00E14AAE"/>
    <w:rsid w:val="00E20351"/>
    <w:rsid w:val="00E2036F"/>
    <w:rsid w:val="00E241A3"/>
    <w:rsid w:val="00E3207D"/>
    <w:rsid w:val="00E3507E"/>
    <w:rsid w:val="00E416CE"/>
    <w:rsid w:val="00E57CD1"/>
    <w:rsid w:val="00E6065F"/>
    <w:rsid w:val="00E65986"/>
    <w:rsid w:val="00E7132A"/>
    <w:rsid w:val="00E83E60"/>
    <w:rsid w:val="00E86C78"/>
    <w:rsid w:val="00E908BB"/>
    <w:rsid w:val="00E948BD"/>
    <w:rsid w:val="00EA1AF3"/>
    <w:rsid w:val="00EC012E"/>
    <w:rsid w:val="00EC68C2"/>
    <w:rsid w:val="00ED2EC7"/>
    <w:rsid w:val="00EE35F8"/>
    <w:rsid w:val="00EF1263"/>
    <w:rsid w:val="00F01966"/>
    <w:rsid w:val="00F03257"/>
    <w:rsid w:val="00F20884"/>
    <w:rsid w:val="00F21123"/>
    <w:rsid w:val="00F21419"/>
    <w:rsid w:val="00F21BAD"/>
    <w:rsid w:val="00F23144"/>
    <w:rsid w:val="00F240E9"/>
    <w:rsid w:val="00F30E33"/>
    <w:rsid w:val="00F31222"/>
    <w:rsid w:val="00F37C17"/>
    <w:rsid w:val="00F462C7"/>
    <w:rsid w:val="00F6430E"/>
    <w:rsid w:val="00F705DB"/>
    <w:rsid w:val="00F92545"/>
    <w:rsid w:val="00F93A56"/>
    <w:rsid w:val="00FA792D"/>
    <w:rsid w:val="00FB3496"/>
    <w:rsid w:val="00FC2D38"/>
    <w:rsid w:val="00FC71FD"/>
    <w:rsid w:val="00FD6F18"/>
    <w:rsid w:val="00FE5604"/>
    <w:rsid w:val="00FF2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paragraph" w:styleId="Naslov3">
    <w:name w:val="heading 3"/>
    <w:basedOn w:val="Navaden"/>
    <w:next w:val="Navaden"/>
    <w:link w:val="Naslov3Znak"/>
    <w:uiPriority w:val="9"/>
    <w:unhideWhenUsed/>
    <w:qFormat/>
    <w:rsid w:val="00BD0A52"/>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basedOn w:val="Navaden"/>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 w:type="character" w:customStyle="1" w:styleId="Naslov3Znak">
    <w:name w:val="Naslov 3 Znak"/>
    <w:basedOn w:val="Privzetapisavaodstavka"/>
    <w:link w:val="Naslov3"/>
    <w:uiPriority w:val="9"/>
    <w:rsid w:val="00BD0A52"/>
    <w:rPr>
      <w:rFonts w:asciiTheme="majorHAnsi" w:eastAsiaTheme="majorEastAsia" w:hAnsiTheme="majorHAnsi" w:cstheme="majorBidi"/>
      <w:color w:val="1F3763" w:themeColor="accent1" w:themeShade="7F"/>
      <w:sz w:val="24"/>
      <w:szCs w:val="24"/>
    </w:rPr>
  </w:style>
  <w:style w:type="character" w:styleId="Hiperpovezava">
    <w:name w:val="Hyperlink"/>
    <w:rsid w:val="00071D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si/teme/placni-siste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4DDD5E-BF2A-42E4-BF83-F29C09BA9F1D}">
  <ds:schemaRefs>
    <ds:schemaRef ds:uri="http://schemas.microsoft.com/sharepoint/v3/contenttype/forms"/>
  </ds:schemaRefs>
</ds:datastoreItem>
</file>

<file path=customXml/itemProps2.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customXml/itemProps4.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2602</Words>
  <Characters>14833</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2026-10-04T08:11:00Z</dcterms:created>
  <dcterms:modified xsi:type="dcterms:W3CDTF">2026-10-04T11:23:00Z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