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F57" w14:textId="17ADCAE4" w:rsidR="00F01966" w:rsidRDefault="00F01966" w:rsidP="0073796B">
      <w:pPr>
        <w:autoSpaceDE w:val="0"/>
        <w:autoSpaceDN w:val="0"/>
        <w:adjustRightInd w:val="0"/>
        <w:spacing w:line="240" w:lineRule="auto"/>
        <w:ind w:left="-1701"/>
        <w:sectPr w:rsidR="00F01966" w:rsidSect="00F01966">
          <w:headerReference w:type="default" r:id="rId11"/>
          <w:headerReference w:type="first" r:id="rId12"/>
          <w:pgSz w:w="11906" w:h="16838"/>
          <w:pgMar w:top="1128" w:right="1701" w:bottom="1134" w:left="1701" w:header="0" w:footer="794" w:gutter="0"/>
          <w:cols w:space="708"/>
          <w:titlePg/>
          <w:docGrid w:linePitch="360"/>
        </w:sectPr>
      </w:pPr>
    </w:p>
    <w:p w14:paraId="09ADF517" w14:textId="22D4F179" w:rsidR="0073796B" w:rsidRPr="009D10D1" w:rsidRDefault="0073796B" w:rsidP="009D10D1">
      <w:pPr>
        <w:pStyle w:val="Naslov"/>
      </w:pPr>
      <w:r w:rsidRPr="009D10D1">
        <w:t>SPOROČILO ZA JAVNOST</w:t>
      </w:r>
    </w:p>
    <w:p w14:paraId="71A02687" w14:textId="06AAD03F" w:rsidR="0073796B" w:rsidRPr="0039662C" w:rsidRDefault="001E6692" w:rsidP="0039662C">
      <w:pPr>
        <w:pStyle w:val="Naslov1"/>
      </w:pPr>
      <w:r>
        <w:t>8</w:t>
      </w:r>
      <w:r w:rsidR="0073796B" w:rsidRPr="0039662C">
        <w:t xml:space="preserve">. </w:t>
      </w:r>
      <w:r w:rsidR="00D74A82">
        <w:t>red</w:t>
      </w:r>
      <w:r w:rsidR="00F03257">
        <w:t xml:space="preserve">na </w:t>
      </w:r>
      <w:r w:rsidR="0073796B" w:rsidRPr="0039662C">
        <w:t>seja Vlade Republike Slovenije</w:t>
      </w:r>
    </w:p>
    <w:p w14:paraId="27F30B92" w14:textId="210DA8F8" w:rsidR="0073796B" w:rsidRDefault="001E6692" w:rsidP="008B7AF2">
      <w:pPr>
        <w:pStyle w:val="DatumSZJ"/>
      </w:pPr>
      <w:r>
        <w:t>27</w:t>
      </w:r>
      <w:r w:rsidR="002856E5">
        <w:t>.</w:t>
      </w:r>
      <w:r w:rsidR="008220A3">
        <w:t xml:space="preserve"> </w:t>
      </w:r>
      <w:r>
        <w:t>avgust</w:t>
      </w:r>
      <w:r w:rsidR="00B94D8D">
        <w:t xml:space="preserve"> </w:t>
      </w:r>
      <w:r w:rsidR="0073796B" w:rsidRPr="008B7AF2">
        <w:t>202</w:t>
      </w:r>
      <w:r w:rsidR="00F03257">
        <w:t>6</w:t>
      </w:r>
    </w:p>
    <w:p w14:paraId="7646627C" w14:textId="4426FDAE" w:rsidR="00202CA2" w:rsidRDefault="00202CA2" w:rsidP="00202CA2">
      <w:pPr>
        <w:pStyle w:val="Naslov2"/>
      </w:pPr>
      <w:r>
        <w:t xml:space="preserve">Vlada izdala Uredbo o obveznem prispevku za promocijo kmetijskih in živilskih proizvodov za zavezance sektorja sadja za obdobje 2027–2029 </w:t>
      </w:r>
    </w:p>
    <w:p w14:paraId="14A13ABA" w14:textId="77777777" w:rsidR="00202CA2" w:rsidRDefault="00202CA2" w:rsidP="00202CA2">
      <w:r>
        <w:t>Vlada je izdala Uredbo o obveznem prispevku za promocijo kmetijskih in živilskih proizvodov za zavezance sektorja sadja za obdobje 2027–2029, ki jo je pripravilo Ministrstvo za kmetijstvo, in jo objavi v Uradnem listu Republike Slovenije.</w:t>
      </w:r>
    </w:p>
    <w:p w14:paraId="08569DC8" w14:textId="77777777" w:rsidR="00202CA2" w:rsidRDefault="00202CA2" w:rsidP="00202CA2"/>
    <w:p w14:paraId="7DEFBB93" w14:textId="77777777" w:rsidR="00202CA2" w:rsidRDefault="00202CA2" w:rsidP="00202CA2">
      <w:r>
        <w:t>Promocija sektorja sadja v Sloveniji poteka že od leta 2018. Novo triletno obdobje bo tako nadaljevanje uspešno izvedenih promocijskih aktivnosti v obdobjih 2018–2020, 2021–2023 in 2024–2026. Cilj promocije je povečati prepoznavnost slovenskega sadja, spodbuditi njegovo porabo ter okrepiti konkurenčnost domačih pridelovalcev in predelovalcev.</w:t>
      </w:r>
    </w:p>
    <w:p w14:paraId="70FBDFE6" w14:textId="77777777" w:rsidR="00202CA2" w:rsidRDefault="00202CA2" w:rsidP="00202CA2"/>
    <w:p w14:paraId="09C9712B" w14:textId="77777777" w:rsidR="00202CA2" w:rsidRDefault="00202CA2" w:rsidP="00202CA2">
      <w:r>
        <w:t>Predlagana uredba določa višino prispevka za financiranje promocije, začetek njegovega obračunavanja in obdobje, za katerega se bo obračunaval. Prispevek znaša 20 evrov na hektar intenzivnega sadovnjaka ter 1,50 evra na tono sadja za predelavo, obračunaval pa se bo za leta 2027, 2028 in 2029. Višina prispevka temelji na predlogih in sklepih Sektorskega odbora za sadje.</w:t>
      </w:r>
    </w:p>
    <w:p w14:paraId="100746C8" w14:textId="77777777" w:rsidR="00202CA2" w:rsidRDefault="00202CA2" w:rsidP="00202CA2"/>
    <w:p w14:paraId="02331710" w14:textId="77777777" w:rsidR="00202CA2" w:rsidRDefault="00202CA2" w:rsidP="00202CA2">
      <w:r>
        <w:t>Sektor sadja je bil sicer v novo promocijsko obdobje že vključen z letos sprejeto Odredbo o vključitvi sektorja sadja v izvajanje promocije za obdobje 2027–2029. V naslednjem koraku bo sprejeta še odredba, ki bo podrobneje opredelila program promocijskih aktivnosti za prihodnje triletno obdobje.</w:t>
      </w:r>
    </w:p>
    <w:p w14:paraId="7D088153" w14:textId="77777777" w:rsidR="00202CA2" w:rsidRDefault="00202CA2" w:rsidP="00202CA2"/>
    <w:p w14:paraId="4A56360E" w14:textId="77777777" w:rsidR="00202CA2" w:rsidRDefault="00202CA2" w:rsidP="00202CA2">
      <w:r>
        <w:t xml:space="preserve">Promocijske aktivnosti bodo financirane po načelu partnerskega sodelovanja med sektorjem in državo. Za izvajanje promocije v obdobju od leta 2027 do prve polovice leta 2030 je predvidenih do 630.000 evrov. Polovico sredstev, do 315.000 evrov, bo zagotovil sektor sadja z obveznim prispevkom. Druga polovica, prav tako do 315.000 evrov, bo zagotovljena iz državnega proračuna. </w:t>
      </w:r>
    </w:p>
    <w:p w14:paraId="68648D07" w14:textId="77777777" w:rsidR="00202CA2" w:rsidRDefault="00202CA2" w:rsidP="00202CA2"/>
    <w:p w14:paraId="74832C7E" w14:textId="77777777" w:rsidR="00202CA2" w:rsidRDefault="00202CA2" w:rsidP="00202CA2">
      <w:r>
        <w:t>Nadaljevanje promocije bo omogočilo izvajanje aktivnosti za krepitev prepoznavnosti slovenskega sadja in proizvodov iz sadja ter ozaveščanje potrošnikov o pomenu izbire lokalno pridelane hrane.</w:t>
      </w:r>
    </w:p>
    <w:p w14:paraId="482E5127" w14:textId="674ECDA4" w:rsidR="00706530" w:rsidRDefault="00202CA2" w:rsidP="00202CA2">
      <w:pPr>
        <w:pStyle w:val="Vir"/>
      </w:pPr>
      <w:r>
        <w:t>Vir: Ministrstvo za kmetijstvo</w:t>
      </w:r>
    </w:p>
    <w:p w14:paraId="181E802F" w14:textId="354219BB" w:rsidR="00202CA2" w:rsidRDefault="00202CA2" w:rsidP="00202CA2">
      <w:pPr>
        <w:pStyle w:val="Naslov2"/>
      </w:pPr>
      <w:r>
        <w:t xml:space="preserve">Uredba o izvajanju uredbe (ES) o mejnih vrednostih ostankov pesticidov v ali na živilih in krmi rastlinskega in živalskega izvora </w:t>
      </w:r>
    </w:p>
    <w:p w14:paraId="5459145E" w14:textId="77777777" w:rsidR="00202CA2" w:rsidRDefault="00202CA2" w:rsidP="00202CA2">
      <w:r>
        <w:t>Vlada je izdala Uredbo o izvajanju uredbe (ES) o mejnih vrednostih ostankov pesticidov v ali na živilih in krmi rastlinskega in živalskega izvora.</w:t>
      </w:r>
    </w:p>
    <w:p w14:paraId="231E0AE3" w14:textId="77777777" w:rsidR="00202CA2" w:rsidRDefault="00202CA2" w:rsidP="00202CA2"/>
    <w:p w14:paraId="786F3CC0" w14:textId="013D2E18" w:rsidR="00202CA2" w:rsidRDefault="00202CA2" w:rsidP="00202CA2">
      <w:r>
        <w:t>Z uredbo, ki je bila pripravljena zaradi uskladitve z Zakonom o varni hrani in krmi, se vzpostavlja slovenski sistem izvajanja evropske Uredbe (ES) št. 396/2005, ki določa mejne vrednosti ostankov pesticidov v hrani in krmi. Uredba določa pristojne organe v Republiki Sloveniji, odgovorne za izvajanje evropskih pravil, ter prekrške za primere, ko so v živilih ali krmi presežene dovoljene mejne vrednosti ostankov pesticidov. Določa tudi globe za prekrške, pri čemer so te prilagojene velikosti posameznega subjekta.</w:t>
      </w:r>
    </w:p>
    <w:p w14:paraId="253936F4" w14:textId="77777777" w:rsidR="00202CA2" w:rsidRDefault="00202CA2" w:rsidP="00202CA2"/>
    <w:p w14:paraId="5E7A9373" w14:textId="1EFDEA49" w:rsidR="00202CA2" w:rsidRDefault="00202CA2" w:rsidP="00202CA2">
      <w:r>
        <w:t xml:space="preserve">Z uveljavitvijo nove uredbe preneha veljati prejšnja uredba, ki je v prilogi urejala metode vzorčenja in izvajanje evropske zakonodaje na tem področju. Metode vzorčenja bo od 1. januarja 2027 dalje urejala Izvedbena uredba Komisije (EU) 2026/765. </w:t>
      </w:r>
    </w:p>
    <w:p w14:paraId="03C7A8E7" w14:textId="1F778CCE" w:rsidR="00706530" w:rsidRDefault="00202CA2" w:rsidP="00202CA2">
      <w:pPr>
        <w:pStyle w:val="Vir"/>
      </w:pPr>
      <w:r>
        <w:lastRenderedPageBreak/>
        <w:t>Vir: Ministrstvo za kmetijstvo</w:t>
      </w:r>
    </w:p>
    <w:p w14:paraId="1002ABA0" w14:textId="3D6E0274" w:rsidR="00F6430E" w:rsidRDefault="00F6430E" w:rsidP="00F6430E">
      <w:pPr>
        <w:pStyle w:val="Naslov2"/>
      </w:pPr>
      <w:r>
        <w:t>Vlada izdala novelo uredbe o programih zdravstvenih storitev za leto 2026</w:t>
      </w:r>
    </w:p>
    <w:p w14:paraId="3C40239A" w14:textId="77777777" w:rsidR="00991CE2" w:rsidRDefault="00991CE2" w:rsidP="00991CE2">
      <w:r>
        <w:t>Uredba o spremembah in dopolnitvah Uredbe o programih storitev obveznega zdravstvenega zavarovanja, zmogljivostih, potrebnih za njegovo izvajanje, in obsegu sredstev za leto 2026</w:t>
      </w:r>
    </w:p>
    <w:p w14:paraId="03A29A73" w14:textId="5CC04860" w:rsidR="00991CE2" w:rsidRDefault="00991CE2" w:rsidP="00991CE2">
      <w:r>
        <w:t>določa širitve posameznih zdravstvenih programov, pri katerih je treba prednostno izboljšati dostopnost do zdravstvenih storitev. S tem namenom so na primarni ravni opredeljene širitve programov ambulant družinske medicine, dispanzerjev za ženske, fizioterapije in pedopsihiatrije, kar bo prispevalo k boljši dostopnosti zdravstvenih storitev v posameznih regijah.</w:t>
      </w:r>
    </w:p>
    <w:p w14:paraId="100BD68B" w14:textId="77777777" w:rsidR="00991CE2" w:rsidRDefault="00991CE2" w:rsidP="00991CE2"/>
    <w:p w14:paraId="31323EC8" w14:textId="77777777" w:rsidR="00991CE2" w:rsidRDefault="00991CE2" w:rsidP="00991CE2">
      <w:r>
        <w:t>Z enakim ciljem so opredeljene širitve na sekundarni ravni na področju diagnostičnih preiskav. Za Zdravstveni dom Maribor se določa pogodbeni obseg 3.500 MR preiskav letno, za Onkološki inštitut Ljubljana pa širitev programa PET-CT preiskav (magistralna priprava radiofarmaka) v obsegu 1.800 preiskav. Uredba prinaša tudi boljše vrednotenje posegov TAVI ter povečuje dostopnost do ortopedskih posegov z uvedbo plačevanja glede na število opravljenih posegov za vse izvajalce v javni zdravstveni mreži.</w:t>
      </w:r>
    </w:p>
    <w:p w14:paraId="6F9F3F8B" w14:textId="77777777" w:rsidR="00991CE2" w:rsidRDefault="00991CE2" w:rsidP="00991CE2"/>
    <w:p w14:paraId="4B559CE0" w14:textId="77777777" w:rsidR="00991CE2" w:rsidRDefault="00991CE2" w:rsidP="00991CE2">
      <w:r>
        <w:t>Uredba določa tudi financiranje širitev zmogljivosti domov za starejše (468 mest), ki ni bila vključena v prvotno uredbo za leto 2026. Ker nekatere od teh zmogljivosti delujejo že od začetka leta 2026, se s spremembo zagotavlja tudi ustrezna ureditev njihovega financiranja.</w:t>
      </w:r>
    </w:p>
    <w:p w14:paraId="395F3AE1" w14:textId="327D451A" w:rsidR="00706530" w:rsidRDefault="00F6430E" w:rsidP="00F6430E">
      <w:pPr>
        <w:pStyle w:val="Vir"/>
      </w:pPr>
      <w:r>
        <w:t>Vir: Ministrstvo za zdravje</w:t>
      </w:r>
    </w:p>
    <w:p w14:paraId="03EAF949" w14:textId="65CF71E1" w:rsidR="00706530" w:rsidRDefault="002E497C" w:rsidP="002E497C">
      <w:pPr>
        <w:pStyle w:val="Naslov2"/>
      </w:pPr>
      <w:r>
        <w:t xml:space="preserve">Vlada izdala spremembe </w:t>
      </w:r>
      <w:r w:rsidR="00706530">
        <w:t>Uredbe o državnem prostorskem načrtu za železniško progo Maribor–Šentilj</w:t>
      </w:r>
    </w:p>
    <w:p w14:paraId="10511C7A" w14:textId="77777777" w:rsidR="002E497C" w:rsidRDefault="002E497C" w:rsidP="002E497C">
      <w:r>
        <w:t>Vlada Republike Slovenije je izdala Uredbo o spremembah Uredbe o državnem prostorskem načrtu za železniško progo Maribor–Šentilj.</w:t>
      </w:r>
    </w:p>
    <w:p w14:paraId="12BE31FD" w14:textId="77777777" w:rsidR="002E497C" w:rsidRDefault="002E497C" w:rsidP="002E497C"/>
    <w:p w14:paraId="25907D32" w14:textId="77777777" w:rsidR="002E497C" w:rsidRDefault="002E497C" w:rsidP="002E497C">
      <w:r>
        <w:t>Namen sprememb uredbe o državnem prostorskem načrtu je prenehanje veljavnosti uredbe v delu na zemljiščih, kjer je bil po soglasju vlade iz 89. člena ZUreP-3 uveljavljen občinski prostorski akt. Za to se izvede kratek postopek sprememb in dopolnitev v skladu z drugim odstavkom 99. člena ZUreP-3.</w:t>
      </w:r>
    </w:p>
    <w:p w14:paraId="54688A20" w14:textId="331FA92D" w:rsidR="002E497C" w:rsidRDefault="002E497C" w:rsidP="002E497C">
      <w:pPr>
        <w:pStyle w:val="Vir"/>
      </w:pPr>
      <w:r>
        <w:t>Vir: Ministrstvo za okolje in prostor</w:t>
      </w:r>
    </w:p>
    <w:p w14:paraId="4F0A15A8" w14:textId="63276A72" w:rsidR="00631376" w:rsidRDefault="00631376" w:rsidP="00631376">
      <w:pPr>
        <w:pStyle w:val="Naslov2"/>
      </w:pPr>
      <w:r>
        <w:t>Vlada sprejela spremembo Uredbe o varnosti igrač</w:t>
      </w:r>
    </w:p>
    <w:p w14:paraId="1C75644A" w14:textId="77777777" w:rsidR="00631376" w:rsidRDefault="00631376" w:rsidP="00631376">
      <w:r>
        <w:t>Vlada je izdala Uredbo o spremembi in dopolnitvi Uredbe o varnosti igrač, s katero se veljavni slovenski predpis usklajuje s spremembami evropske zakonodaje na področju varnosti igrač.</w:t>
      </w:r>
    </w:p>
    <w:p w14:paraId="5E953968" w14:textId="77777777" w:rsidR="00631376" w:rsidRDefault="00631376" w:rsidP="00631376"/>
    <w:p w14:paraId="1DC83269" w14:textId="77777777" w:rsidR="00631376" w:rsidRDefault="00631376" w:rsidP="00631376">
      <w:r>
        <w:t xml:space="preserve">Z uredbo se določajo izjeme glede uporabe kobalta v igračah. Kobalt je lahko prisoten v igračah in delih igrač iz nerjavnega jekla kot nečistoča v niklju, v delih igrač, namenjenih prevajanju električnega toka, ter v </w:t>
      </w:r>
      <w:proofErr w:type="spellStart"/>
      <w:r>
        <w:t>neodimovih</w:t>
      </w:r>
      <w:proofErr w:type="spellEnd"/>
      <w:r>
        <w:t xml:space="preserve"> magnetih, vendar le, če jih otrok zaradi njihovih dimenzij, konstrukcije ali načina vgradnje ne more pogoltniti ali vdihniti.</w:t>
      </w:r>
    </w:p>
    <w:p w14:paraId="2442A1A4" w14:textId="77777777" w:rsidR="00631376" w:rsidRDefault="00631376" w:rsidP="00631376"/>
    <w:p w14:paraId="2B3FCC99" w14:textId="77777777" w:rsidR="00631376" w:rsidRDefault="00631376" w:rsidP="00631376">
      <w:r>
        <w:t>Sprememba uredbe bo pozitivno vplivala na varovanje javnega zdravja, saj se z vključitvijo nove snovi v uredbo dodatno zmanjšuje tveganje za zdravje ljudi, zlasti otrok.</w:t>
      </w:r>
    </w:p>
    <w:p w14:paraId="4B532908" w14:textId="4998D004" w:rsidR="00706530" w:rsidRDefault="00631376" w:rsidP="00631376">
      <w:pPr>
        <w:pStyle w:val="Vir"/>
      </w:pPr>
      <w:r>
        <w:t>Vir: Ministrstvo za zdravje</w:t>
      </w:r>
    </w:p>
    <w:p w14:paraId="751D90B9" w14:textId="03C52650" w:rsidR="00DA4C40" w:rsidRDefault="00DA4C40" w:rsidP="00DA4C40">
      <w:pPr>
        <w:pStyle w:val="Naslov2"/>
      </w:pPr>
      <w:r>
        <w:t>Vlada potrdila spremembe Uredbe o določitvi dogodkov, ob katerih se v letu 2027 izdajo priložnostni kovanci</w:t>
      </w:r>
    </w:p>
    <w:p w14:paraId="0A45F3AF" w14:textId="77777777" w:rsidR="00DA4C40" w:rsidRDefault="00DA4C40" w:rsidP="00DA4C40">
      <w:r>
        <w:lastRenderedPageBreak/>
        <w:t>Vlada je izdala spremenjeno Uredbo o določitvi dogodkov, ob katerih se v letu 2027 izdajo priložnostni kovanci, in jo bo objavila v Uradnem listu Republike Slovenije. Z navedeno uredbo je določeno, da se v letu 2027 izdajo priložnostni kovanci ob 100. obletnici smrti planinca in duhovnika Jakoba Aljaža.</w:t>
      </w:r>
    </w:p>
    <w:p w14:paraId="2027A6F6" w14:textId="77777777" w:rsidR="00DA4C40" w:rsidRDefault="00DA4C40" w:rsidP="00DA4C40"/>
    <w:p w14:paraId="38A23866" w14:textId="48B69966" w:rsidR="00DA4C40" w:rsidRDefault="00DA4C40" w:rsidP="00DA4C40">
      <w:r>
        <w:t>Leto 2027 ponuja izjemno priložnost za obeležitev 100. obletnice smrti Jakoba Aljaža, ene najpomembnejših osebnosti slovenskega narodnega, kulturnega in planinskega izročila. Jakob Aljaž je osebnost, ki s svojim delom presega posamezno zgodovinsko obdobje in geografsko okolje. Njegovo ime je neločljivo povezano s Triglavom, Aljaževim stolpom in razvojem slovenskega planinstva ter z zavestjo o pomenu slovenskega prostora in njegove kulturne ter naravne dediščine.</w:t>
      </w:r>
    </w:p>
    <w:p w14:paraId="3A798563" w14:textId="77777777" w:rsidR="00DA4C40" w:rsidRDefault="00DA4C40" w:rsidP="00DA4C40"/>
    <w:p w14:paraId="425A60E5" w14:textId="2C3CFB18" w:rsidR="00DA4C40" w:rsidRDefault="00DA4C40" w:rsidP="00DA4C40">
      <w:r>
        <w:t>Leto 2027 ponuja priložnost, da Slovenija ob 100. obletnici njegove smrti trajno počasti človeka, katerega dediščina ostaja živa in prepoznavna tudi danes. Aljažev stolp na Triglavu je eden najbolj prepoznavnih simbolov Slovenije, Jakob Aljaž pa osebnost, ki je s svojim delovanjem pomembno zaznamovala slovensko kulturno in narodno zavest.</w:t>
      </w:r>
    </w:p>
    <w:p w14:paraId="239C5515" w14:textId="204401BE" w:rsidR="00706530" w:rsidRDefault="00DA4C40" w:rsidP="00DA4C40">
      <w:pPr>
        <w:pStyle w:val="Vir"/>
      </w:pPr>
      <w:r>
        <w:t>Vir: Ministrstvo za finance</w:t>
      </w:r>
    </w:p>
    <w:p w14:paraId="67418BC3" w14:textId="5A0DDF15" w:rsidR="002C21CF" w:rsidRDefault="002C21CF" w:rsidP="002C21CF">
      <w:pPr>
        <w:pStyle w:val="Naslov2"/>
      </w:pPr>
      <w:r>
        <w:t>Vlada določila videz spominskega kovanca ob 100. obletnici rojstva ilustratorke Ančke Gošnik Godec</w:t>
      </w:r>
    </w:p>
    <w:p w14:paraId="6A050A9C" w14:textId="77777777" w:rsidR="002C21CF" w:rsidRDefault="002C21CF" w:rsidP="002C21CF">
      <w:r>
        <w:t xml:space="preserve">Vlada Republike Slovenije je določila videz spominskega kovanca ob 100. obletnici rojstva ilustratorke Ančke Gošnik Godec. </w:t>
      </w:r>
    </w:p>
    <w:p w14:paraId="49CB3F3F" w14:textId="77777777" w:rsidR="002C21CF" w:rsidRDefault="002C21CF" w:rsidP="002C21CF"/>
    <w:p w14:paraId="3F43F687" w14:textId="77777777" w:rsidR="002C21CF" w:rsidRDefault="002C21CF" w:rsidP="002C21CF">
      <w:r>
        <w:t xml:space="preserve">Na kovancu je upodobljena Muca Copatarica, eden izmed najbolj prepoznavnih likov iz opusa Ančke Gošnik Godec. Prikazana je z roko, naslonjeno na zid, kar izraža otroško igrivost in hkrati zrelo sproščenost lika, ki ga je ilustratorka vtisnila v vizualni spomin več generacij bralcev. V levem delu kovanca je na zidu napis »ANČKA GOŠNIK GODEC« in letnica njenega rojstva »1927«, v zgornjem desnem delu kovanca pa še država izdajateljica »SLOVENIJA« in letnica kovanja »2027«. Na kolobarju kovanca je razvrščenih dvanajst zvezd evropske zastave, na obodu kovanca pa je napis »SLOVENIJA« in vtisnjena pika. </w:t>
      </w:r>
    </w:p>
    <w:p w14:paraId="4341ACF8" w14:textId="77777777" w:rsidR="002C21CF" w:rsidRDefault="002C21CF" w:rsidP="002C21CF"/>
    <w:p w14:paraId="589BAD7A" w14:textId="2D557A4D" w:rsidR="002C21CF" w:rsidRDefault="002C21CF" w:rsidP="002C21CF">
      <w:r>
        <w:t>Obseg izdaje spominskega kovanca ob 100. obletnici rojstva ilustratorke Ančke Gošnik Godec je en milijon kovancev.</w:t>
      </w:r>
    </w:p>
    <w:p w14:paraId="09620E17" w14:textId="77777777" w:rsidR="002C21CF" w:rsidRDefault="002C21CF" w:rsidP="002C21CF"/>
    <w:p w14:paraId="675B01E7" w14:textId="49958D7F" w:rsidR="002C21CF" w:rsidRDefault="002C21CF" w:rsidP="002C21CF">
      <w:r>
        <w:t>Vlada Republike Slovenije nalaga Ministrstvu za finance, da v zvezi z motivom na spominskem kovancu ob 100. obletnici rojstva ilustratorke Ančke Gošnik Godec izvede postopke za pridobitev soglasja Sveta EU.</w:t>
      </w:r>
    </w:p>
    <w:p w14:paraId="1629683E" w14:textId="2964D9EE" w:rsidR="00706530" w:rsidRDefault="002C21CF" w:rsidP="002C21CF">
      <w:pPr>
        <w:pStyle w:val="Vir"/>
      </w:pPr>
      <w:r>
        <w:t>Vir: Ministrstvo za finance</w:t>
      </w:r>
    </w:p>
    <w:p w14:paraId="50E7F209" w14:textId="242A118F" w:rsidR="00317A76" w:rsidRDefault="00317A76" w:rsidP="00317A76">
      <w:pPr>
        <w:pStyle w:val="Naslov2"/>
      </w:pPr>
      <w:r>
        <w:t>CSD Koroška in Enota Slovenj Gradec na novi  lokaciji</w:t>
      </w:r>
    </w:p>
    <w:p w14:paraId="5BF473F5" w14:textId="6B3643D0" w:rsidR="00317A76" w:rsidRDefault="00317A76" w:rsidP="00317A76">
      <w:r>
        <w:t>Vlada je sprejela Sklep o spremembah Sklepa o ustanovitvi Centra za socialno delo Koroška in ga objavi v Uradnem listu Republike Slovenije.</w:t>
      </w:r>
    </w:p>
    <w:p w14:paraId="4C1153F2" w14:textId="77777777" w:rsidR="00317A76" w:rsidRDefault="00317A76" w:rsidP="00317A76"/>
    <w:p w14:paraId="45E0817B" w14:textId="23018B94" w:rsidR="00706530" w:rsidRDefault="00317A76" w:rsidP="00317A76">
      <w:r>
        <w:t>Spremembe sklepa o ustanovitvi navedenega javnega zavoda so potrebne zaradi selitve sedeža iz Centra za socialno delo Koroška in Enota Slovenj Gradec v nove poslovne prostore, ki so na naslovu Pod Gradom 4, 2380 Slovenj Gradec. Center se je preselil zaradi neprimernosti, dotrajanosti in nedostopnosti obstoječih poslovnih prostorov na prejšnjem naslovu.</w:t>
      </w:r>
    </w:p>
    <w:p w14:paraId="7B921E72" w14:textId="2E26E187" w:rsidR="00317A76" w:rsidRDefault="00317A76" w:rsidP="00317A76">
      <w:pPr>
        <w:pStyle w:val="Vir"/>
      </w:pPr>
      <w:r w:rsidRPr="00317A76">
        <w:t>Vir: Ministrstvo za demografijo, družino in socialne zadeve</w:t>
      </w:r>
    </w:p>
    <w:p w14:paraId="4E2A5AB3" w14:textId="206A83D5" w:rsidR="00DC7F97" w:rsidRDefault="00DC7F97" w:rsidP="00DC7F97">
      <w:pPr>
        <w:pStyle w:val="Naslov2"/>
      </w:pPr>
      <w:r>
        <w:lastRenderedPageBreak/>
        <w:t>Vlada prerazporeja sredstva državnega proračuna</w:t>
      </w:r>
    </w:p>
    <w:p w14:paraId="27CC2590" w14:textId="77777777" w:rsidR="00DC7F97" w:rsidRDefault="00DC7F97" w:rsidP="00DC7F97">
      <w:r>
        <w:t>Vlada je na današnji seji odločila o prerazporeditvah pravic porabe v letošnjem državnem proračunu.</w:t>
      </w:r>
    </w:p>
    <w:p w14:paraId="5DC9BBEF" w14:textId="77777777" w:rsidR="00DC7F97" w:rsidRDefault="00DC7F97" w:rsidP="00DC7F97"/>
    <w:p w14:paraId="1F3BA9A0" w14:textId="77777777" w:rsidR="00DC7F97" w:rsidRDefault="00DC7F97" w:rsidP="00DC7F97">
      <w:r>
        <w:t>Ministrstvo za infrastrukturo in energetiko prerazporeja pravice porabe v skupni višini 7,5 milijona evrov za financiranje projektov ukrepov trajnostne mobilnosti in projektov celostnih teritorialnih naložb, za katere so že pridobljene odločitve o podpori. Del sredstev se prerazporeja tudi za zagotovitev financiranja izgradnje kolesarske infrastrukture.</w:t>
      </w:r>
    </w:p>
    <w:p w14:paraId="499E3B99" w14:textId="77777777" w:rsidR="00DC7F97" w:rsidRDefault="00DC7F97" w:rsidP="00DC7F97"/>
    <w:p w14:paraId="4EE724E2" w14:textId="57328ED4" w:rsidR="00DC7F97" w:rsidRDefault="00DC7F97" w:rsidP="00DC7F97">
      <w:r>
        <w:t>Ministrstvo za izobraževanje, znanost in mladino prerazporeja pravice porabe znotraj finančnih načrtov v njegovi pristojnosti v višini 1,5 milijona evrov za nemoteno izvajanje programa Mreža lektoratov slovenskega jezika. Glavni razlog za povečanje stroškov je začetek uporabe novega Zakona o plačah in drugih prejemkih javnih uslužbencev in funkcionarjev, povezanih z delom v tujini, ki je zvišal stroške plač, dodatkov za delo v tujini in davčnih obveznosti.</w:t>
      </w:r>
    </w:p>
    <w:p w14:paraId="7884B6C2" w14:textId="147ED011" w:rsidR="00706530" w:rsidRDefault="00DC7F97" w:rsidP="00DC7F97">
      <w:pPr>
        <w:pStyle w:val="Vir"/>
      </w:pPr>
      <w:r>
        <w:t>Vir: Ministrstvo za finance</w:t>
      </w:r>
    </w:p>
    <w:p w14:paraId="0A9D1F1C" w14:textId="420B521B" w:rsidR="0078701E" w:rsidRDefault="0078701E" w:rsidP="0078701E">
      <w:pPr>
        <w:pStyle w:val="Naslov2"/>
      </w:pPr>
      <w:r>
        <w:t xml:space="preserve">Uvrstitev projekta »Posodobitev športnega objekta v ŠC Črenšovci« v veljavni Načrt razvojnih programov 2026–2029 </w:t>
      </w:r>
    </w:p>
    <w:p w14:paraId="69DD4A96" w14:textId="77777777" w:rsidR="0078701E" w:rsidRDefault="0078701E" w:rsidP="0078701E">
      <w:r>
        <w:t>Vlada je v veljavni Načrt razvojnih programov 2026–2029 uvrstila nov projekt »Posodobitev športnega objekta v ŠC Črenšovci«. Namen naložbe je zagotoviti ustrezne prostore za športne dejavnosti, saj je obstoječi objekt dotrajan in premajhen. Skupna vrednost projekta znaša 1.185.457,50 evrov, od tega bo 500 tisoč evrov na podlagi Javnega razpisa za izbor sofinanciranja investicij v športno infrastrukturo v letu 2026 prispevalo Ministrstvo za gospodarstvo, delo in šport.</w:t>
      </w:r>
    </w:p>
    <w:p w14:paraId="69833E32" w14:textId="77777777" w:rsidR="0078701E" w:rsidRDefault="0078701E" w:rsidP="0078701E"/>
    <w:p w14:paraId="6AF5FEF8" w14:textId="77777777" w:rsidR="0078701E" w:rsidRDefault="0078701E" w:rsidP="0078701E">
      <w:r>
        <w:t>Glavni cilj projekta je v športnem objektu ŠC Črenšovci pridobiti skupno dodatnih 394 kvadratnih metrov neto površin, od tega 177,82 kvadratnega metra v pritličju in 216,18 kvadratnega metra v nadstropju, kar bo doseženo z delno odstranitvijo, rekonstrukcijo in prizidavo objekta. Neto površina obstoječega objekta znaša 201,24 kvadratnega metra.</w:t>
      </w:r>
    </w:p>
    <w:p w14:paraId="7A436521" w14:textId="77777777" w:rsidR="0078701E" w:rsidRDefault="0078701E" w:rsidP="0078701E"/>
    <w:p w14:paraId="068B98B4" w14:textId="77777777" w:rsidR="0078701E" w:rsidRDefault="0078701E" w:rsidP="0078701E">
      <w:r>
        <w:t xml:space="preserve">Investicija se mora zaključiti najkasneje do 31. avgusta 2027. Sredstva za sofinanciranje pa morajo biti porabljena v letu 2026. </w:t>
      </w:r>
    </w:p>
    <w:p w14:paraId="7C53410F" w14:textId="77777777" w:rsidR="0078701E" w:rsidRDefault="0078701E" w:rsidP="0078701E">
      <w:pPr>
        <w:pStyle w:val="Vir"/>
      </w:pPr>
      <w:r>
        <w:t>Vir: Ministrstvo za gospodarstvo, delo in šport</w:t>
      </w:r>
    </w:p>
    <w:p w14:paraId="300275AC" w14:textId="07E6F642" w:rsidR="008863D0" w:rsidRDefault="008863D0" w:rsidP="008863D0">
      <w:pPr>
        <w:pStyle w:val="Naslov2"/>
      </w:pPr>
      <w:r>
        <w:t>Vlada je v veljavni Načrt razvojnih programov 2026–2029 uvrstila dva nova projekta za investicije na Zavodu Republike Slovenije za zaposlovanje</w:t>
      </w:r>
    </w:p>
    <w:p w14:paraId="0135FE92" w14:textId="77777777" w:rsidR="008863D0" w:rsidRDefault="008863D0" w:rsidP="008863D0">
      <w:r>
        <w:t xml:space="preserve">Projekt »Investicije v premoženje Zavoda Republike Slovenije za zaposlovanje (ZRSZ) 2026-2029« vsebuje sredstva za obnovo in dopolnitev pisarniške in druge opreme, zamenjavo službenih vozil, prenovo poslovnih prostorov, interventne prenove, obnovo omrežij, strojne opreme za strežnike in računalnike in licenčno programsko opremo na ZRSZ. Projekt »Nadgradnje programske opreme ZRSZ 2026-2029« pa zagotavlja sredstva za razvoj računalniških aplikacij na ZRSZ. </w:t>
      </w:r>
    </w:p>
    <w:p w14:paraId="0F73D1D4" w14:textId="77777777" w:rsidR="008863D0" w:rsidRDefault="008863D0" w:rsidP="008863D0"/>
    <w:p w14:paraId="69455AA0" w14:textId="77777777" w:rsidR="008863D0" w:rsidRDefault="008863D0" w:rsidP="008863D0">
      <w:r>
        <w:t xml:space="preserve">Namen investicijskega programa za področje investicij v premično in nepremično premoženje ZRSZ je zagotavljanje ustreznih delovnih pogojev pri izvajanju temeljnih dejavnosti ZRSZ za nudenje storitev, prijaznih uporabnikom. Namen investicijskega programa za področje nadgradenj je posodabljanje informacijskih sistemov, da bo možno varno in hitro opraviti naloge, določene z zakonodajo. </w:t>
      </w:r>
    </w:p>
    <w:p w14:paraId="24B2A2B3" w14:textId="77777777" w:rsidR="008863D0" w:rsidRDefault="008863D0" w:rsidP="008863D0"/>
    <w:p w14:paraId="741884D7" w14:textId="77777777" w:rsidR="008863D0" w:rsidRDefault="008863D0" w:rsidP="008863D0">
      <w:r>
        <w:t xml:space="preserve">Cilj investicij je vzpostaviti cenovno sprejemljivejše, učinkovitejše in uporabniku prijaznejše informacijsko okolje ter standardizirati, poenotiti in digitalizirati IKT-sisteme, zaledne aplikacije in spletne e-storitve ZRSZ. Investicije bodo prispevale k učinkovitejšemu delovanju, prihranku časa, </w:t>
      </w:r>
      <w:r>
        <w:lastRenderedPageBreak/>
        <w:t>znižanju stroškov ter ustreznemu poročanju o izvajanju programov evropske kohezijske politike. Hkrati bodo zagotovile ustrezne delovne pogoje ter varno in zdravo okolje za zaposlene in stranke. Z uporabo okolju prijaznih vozil, energetsko učinkovitih naprav in sodobnih tehnologij bodo pripomogle tudi k zmanjšanju porabe energije in ogljičnega odtisa ter poslovanju v skladu z Uredbo o zelenem javnem naročanju in načeli trajnosti.</w:t>
      </w:r>
    </w:p>
    <w:p w14:paraId="6BAD27CF" w14:textId="77777777" w:rsidR="008863D0" w:rsidRDefault="008863D0" w:rsidP="008863D0"/>
    <w:p w14:paraId="6CDD2C34" w14:textId="77777777" w:rsidR="008863D0" w:rsidRDefault="008863D0" w:rsidP="008863D0">
      <w:r>
        <w:t>Po reorganizaciji vlade na podlagi Zakona o spremembah Zakona o Vladi Republike Slovenije  je področje Direktorata za trg dela in zaposlovanje, ki je pripravilo predmetno dokumentacijo za uvrstitev projektov v Načrt razvojnih programov 2026–2029, prevzelo Ministrstvo za gospodarstvo, delo in šport. Izvrševanje proračuna Republike Slovenije se do rebalansa proračuna izvaja po organizacijski strukturi, ki je bila pred reorganizacijo vlade, zato so sredstva v višini 7.582.352,48 evrov zagotovljena na proračunskih postavkah Ministrstva za delo, družino, socialne zadeve in enake možnosti.</w:t>
      </w:r>
    </w:p>
    <w:p w14:paraId="1CB04ED1" w14:textId="77777777" w:rsidR="008863D0" w:rsidRDefault="008863D0" w:rsidP="008863D0">
      <w:pPr>
        <w:pStyle w:val="Vir"/>
      </w:pPr>
      <w:r>
        <w:t>Vir: Ministrstvo za gospodarstvo, delo in šport</w:t>
      </w:r>
    </w:p>
    <w:p w14:paraId="0589A5F2" w14:textId="186CFBD9" w:rsidR="00D57275" w:rsidRDefault="00D57275" w:rsidP="00D57275">
      <w:pPr>
        <w:pStyle w:val="Naslov2"/>
      </w:pPr>
      <w:r>
        <w:t>Vlada se je seznanila s poročilom o kakovosti v zdravstvu za leto 2025</w:t>
      </w:r>
    </w:p>
    <w:p w14:paraId="716C4273" w14:textId="65B29D30" w:rsidR="00D57275" w:rsidRDefault="00D57275" w:rsidP="00D57275">
      <w:r>
        <w:t>Vlada se je seznanila z Letnim poročilom o kakovosti v zdravstvu za leto 2025, ki ga je pripravila Javna agencija Republike Slovenije za kakovost v zdravstvu (JAKZ).</w:t>
      </w:r>
    </w:p>
    <w:p w14:paraId="613E1FE0" w14:textId="77777777" w:rsidR="00D57275" w:rsidRDefault="00D57275" w:rsidP="00D57275"/>
    <w:p w14:paraId="2759B602" w14:textId="77777777" w:rsidR="00D57275" w:rsidRDefault="00D57275" w:rsidP="00D57275">
      <w:r>
        <w:t xml:space="preserve">To je prvi nacionalni pregled stanja kakovosti in varnosti v slovenskem zdravstvenem sistemu in predstavlja pomembno izhodišče za nadaljnje delo vseh deležnikov na področju razvoja, spremljanja in upravljanja kakovosti in varnosti v zdravstvu v Sloveniji.   </w:t>
      </w:r>
    </w:p>
    <w:p w14:paraId="37A83834" w14:textId="77777777" w:rsidR="00D57275" w:rsidRDefault="00D57275" w:rsidP="00D57275"/>
    <w:p w14:paraId="4B80F5B0" w14:textId="77777777" w:rsidR="00D57275" w:rsidRDefault="00D57275" w:rsidP="00D57275">
      <w:r>
        <w:t>Od skupno 3.230 izvajalcev jih je poročilo oddalo 54 odstotkov, zaradi česar je sicer treba poročilo razumeti kot začetni vpogled v stanje kakovosti in varnosti v slovenskem zdravstvu.</w:t>
      </w:r>
    </w:p>
    <w:p w14:paraId="2D5E2FC3" w14:textId="77777777" w:rsidR="00D57275" w:rsidRDefault="00D57275" w:rsidP="00D57275"/>
    <w:p w14:paraId="115B28FB" w14:textId="77777777" w:rsidR="00D57275" w:rsidRDefault="00D57275" w:rsidP="00D57275">
      <w:r>
        <w:t xml:space="preserve">Analiza zbranih podatkov kaže, da ima večina izvajalcev formalno vzpostavljene temeljne elemente sistema kakovosti in varnosti, vključno z organizacijskimi strukturami, odgovornostmi in strategijami kakovosti. Hkrati pa poročilo opozarja na razkorak med formalno vzpostavljenimi sistemi in njihovo dejansko uporabo za izboljševanje zdravstvene obravnave ter na velike razlike v razvitosti sistemov kakovosti med izvajalci. </w:t>
      </w:r>
    </w:p>
    <w:p w14:paraId="713FD031" w14:textId="77777777" w:rsidR="00D57275" w:rsidRDefault="00D57275" w:rsidP="00D57275"/>
    <w:p w14:paraId="3822CBAE" w14:textId="77777777" w:rsidR="00D57275" w:rsidRDefault="00D57275" w:rsidP="00D57275">
      <w:r>
        <w:t>Kljub ugotovljenim pomanjkljivostim poročilo izpostavlja pomemben napredek pri vzpostavljanju enotnega nacionalnega sistema kakovosti in varnosti. V letu 2025 so bili vzpostavljeni prvi enotni sistem poročanja za vse izvajalce zdravstvene dejavnosti, začetna baza izvajalcev ter enotna metodologija ocenjevanja poročil. Povečala se je tudi ozaveščenost izvajalcev o pomenu sistematičnega spremljanja kakovosti in varnosti ter vključevanja tega področja v upravljanje zdravstvenih organizacij.</w:t>
      </w:r>
    </w:p>
    <w:p w14:paraId="29ECB0FF" w14:textId="77777777" w:rsidR="00D57275" w:rsidRDefault="00D57275" w:rsidP="00D57275"/>
    <w:p w14:paraId="784EF7DB" w14:textId="77777777" w:rsidR="00D57275" w:rsidRDefault="00D57275" w:rsidP="00D57275">
      <w:r>
        <w:t>Na podlagi predstavljenih ugotovitev JAKZ kot ključne izzive prihodnjih let opredeljuje učinkovito uporabo že vzpostavljenih sistemov kakovosti za izboljšanje varnosti pacientov, izidov zdravljenja in učinkovitosti zdravstvenih organizacij. V ospredju nadaljnjega razvoja so krepitev enotnega sistema kakovosti in varnosti ter nadaljnja digitalizacija spremljanja kakovosti zdravstvenih obravnav.</w:t>
      </w:r>
    </w:p>
    <w:p w14:paraId="088788DE" w14:textId="77777777" w:rsidR="00D57275" w:rsidRDefault="00D57275" w:rsidP="00D57275"/>
    <w:p w14:paraId="529A6D50" w14:textId="77777777" w:rsidR="00D57275" w:rsidRDefault="00D57275" w:rsidP="00D57275">
      <w:r>
        <w:t>Vlada meni, da poročilo predstavlja pomembno podlago za nadaljnji razvoj nacionalnega sistema kakovosti in varnosti v zdravstvu ter podpira nadaljnje aktivnosti za krepitev kulture kakovosti in varnosti, razvoj enotnih standardov in digitalizacijo sistema spremljanja kakovosti in varnosti zdravstvenih obravnav.</w:t>
      </w:r>
    </w:p>
    <w:p w14:paraId="15FAC265" w14:textId="0960668A" w:rsidR="00706530" w:rsidRDefault="00D57275" w:rsidP="00D57275">
      <w:pPr>
        <w:pStyle w:val="Vir"/>
      </w:pPr>
      <w:r>
        <w:t>Vir: Ministrstvo za zdravje</w:t>
      </w:r>
    </w:p>
    <w:p w14:paraId="56085EFF" w14:textId="61615412" w:rsidR="00196F0F" w:rsidRDefault="00196F0F" w:rsidP="00196F0F">
      <w:pPr>
        <w:pStyle w:val="Naslov2"/>
      </w:pPr>
      <w:r>
        <w:lastRenderedPageBreak/>
        <w:t>Letno poročilo Komisije za nadzor izvoza blaga z dvojno rabo za leto 2025</w:t>
      </w:r>
    </w:p>
    <w:p w14:paraId="6D42F525" w14:textId="77777777" w:rsidR="00196F0F" w:rsidRDefault="00196F0F" w:rsidP="00196F0F">
      <w:r>
        <w:t xml:space="preserve">Vlada se je seznanila z Letnim poročilom Komisije za nadzor izvoza blaga z dvojno rabo za obdobje od 1. januarja 2025 do 31. decembra 2025. </w:t>
      </w:r>
    </w:p>
    <w:p w14:paraId="3CC37E42" w14:textId="77777777" w:rsidR="00196F0F" w:rsidRDefault="00196F0F" w:rsidP="00196F0F"/>
    <w:p w14:paraId="32CF8085" w14:textId="77777777" w:rsidR="00196F0F" w:rsidRDefault="00196F0F" w:rsidP="00196F0F">
      <w:r>
        <w:t xml:space="preserve">Nadzor izvoza blaga z dvojno rabo je ključno orodje v boju proti širjenju orožja za množično uničevanje kot tudi širjenju konvencionalnega orožja na občutljiva in krizna področja ali področja pod vojaškim embargom. Blago z dvojno rabo predstavlja blago, programsko opremo in tehnologijo, ki se lahko uporablja v civilne ali v vojaške namene ter vključuje blago iz širokega področja sektorjev, kot so jedrski, biološki in kemični sektor ter oprema za predelavo materialov, elektronika, računalniki, telekomunikacije, šifriranje, senzorji in laserji, navigacija in letalska elektronika, pomorska oprema ter oprema za zračna plovila in pogon. Blago z dvojno rabo je civilno blago in praviloma namenjeno ter uporabljeno v civilne namene, zaradi svojih lastnosti ali tehničnih karakteristik pa se lahko uporabi tudi v vojaške namene. </w:t>
      </w:r>
    </w:p>
    <w:p w14:paraId="5D824049" w14:textId="77777777" w:rsidR="00196F0F" w:rsidRDefault="00196F0F" w:rsidP="00196F0F"/>
    <w:p w14:paraId="68E925C8" w14:textId="77777777" w:rsidR="00196F0F" w:rsidRDefault="00196F0F" w:rsidP="00196F0F">
      <w:r>
        <w:t xml:space="preserve">Komisija za nadzor izvoza blaga z dvojno rabo (KNIBDR) je leta 2025 sodelovala na 181 elektronskih ter petih rednih in dopisnih sejah, na katerih je podajala mnenja o izvozu tega blaga. Obravnavano blago je uvrščeno v Prilogo I Uredbe (EU) 2021/821, seznam pa temelji na mednarodnih izvoznih režimih, kot so </w:t>
      </w:r>
      <w:proofErr w:type="spellStart"/>
      <w:r>
        <w:t>Wassenaarska</w:t>
      </w:r>
      <w:proofErr w:type="spellEnd"/>
      <w:r>
        <w:t xml:space="preserve"> ureditev, Skupina jedrskih dobaviteljic, Avstralska skupina in Režim nadzora raketne tehnologije.</w:t>
      </w:r>
    </w:p>
    <w:p w14:paraId="535B4DC2" w14:textId="77777777" w:rsidR="00196F0F" w:rsidRDefault="00196F0F" w:rsidP="00196F0F"/>
    <w:p w14:paraId="70C2FF17" w14:textId="77777777" w:rsidR="00196F0F" w:rsidRDefault="00196F0F" w:rsidP="00196F0F">
      <w:r>
        <w:t>KNIBDR je v letu 2025 podala mnenja o individualnih dovoljenjih za izvoz blaga z dvojno rabo in globalnem izvoznem dovoljenju. Opravljala je tudi druge naloge, določene z odlokom.</w:t>
      </w:r>
    </w:p>
    <w:p w14:paraId="03C0F99D" w14:textId="77777777" w:rsidR="00196F0F" w:rsidRDefault="00196F0F" w:rsidP="00196F0F"/>
    <w:p w14:paraId="1D34B103" w14:textId="77777777" w:rsidR="00196F0F" w:rsidRDefault="00196F0F" w:rsidP="00196F0F">
      <w:r>
        <w:t>KNIBDR se v svojih  nalogah drži podanih kriterijev glede morebitne zlorabe blaga, programske opreme in tehnologije v vojaške namene ali namene povezane z orožji za množično uničevanje. Hkrati pa skrbi za konkurenčnost in dolgoročno poslovanje slovenskih izvoznikov ob sočasnem obvladovanju varnostnih tveganj njihovih izvozov.</w:t>
      </w:r>
    </w:p>
    <w:p w14:paraId="4903578B" w14:textId="77777777" w:rsidR="00196F0F" w:rsidRDefault="00196F0F" w:rsidP="00196F0F">
      <w:pPr>
        <w:pStyle w:val="Vir"/>
      </w:pPr>
      <w:r>
        <w:t>Vir: Ministrstvo za gospodarstvo, delo in šport</w:t>
      </w:r>
    </w:p>
    <w:p w14:paraId="028403AC" w14:textId="797E38E5" w:rsidR="00CA6F2E" w:rsidRDefault="00CA6F2E" w:rsidP="00CA6F2E">
      <w:pPr>
        <w:pStyle w:val="Naslov2"/>
      </w:pPr>
      <w:r>
        <w:t>Vlada Republike Slovenije je sprejela Poročilo o uresničevanju Akcijskega programa za invalide 2022–2030 v letu 2025</w:t>
      </w:r>
    </w:p>
    <w:p w14:paraId="5BE4F4B2" w14:textId="17959DFD" w:rsidR="00CA6F2E" w:rsidRDefault="00CA6F2E" w:rsidP="00CA6F2E">
      <w:r>
        <w:t>Vlada je 14. oktobra 2021 sprejela Akcijski program za invalide 2022–2030 (API 2022–2030). Namen API 2022–2030 je spodbujati, varovati in zagotavljati polnopravno in enakovredno uživanje človekovih pravic invalidov ter spodbujati spoštovanje njihovega dostojanstva. Program obsega trinajst temeljnih ciljev in 120 ukrepov, ki celovito naslavljajo različna področja življenja invalidov.</w:t>
      </w:r>
    </w:p>
    <w:p w14:paraId="798C2A46" w14:textId="77777777" w:rsidR="00CA6F2E" w:rsidRDefault="00CA6F2E" w:rsidP="00CA6F2E"/>
    <w:p w14:paraId="113EC8ED" w14:textId="77777777" w:rsidR="00CA6F2E" w:rsidRDefault="00CA6F2E" w:rsidP="00CA6F2E">
      <w:r>
        <w:t>Za spremljanje uresničevanja API 2022–2030 je bila imenovana Komisija za spremljanje uresničevanja Akcijskega programa za invalide 2022–2030, ki jo sestavljajo predstavniki resornih ministrstev, strokovnih organizacij, Nacionalnega sveta invalidskih organizacij Slovenije, drugih invalidskih organizacij ter Zveze društev upokojencev Slovenije. Iz poročila izhaja, da so se v letu 2025 aktivnosti izvajale na vseh ključnih področjih invalidskih politik.</w:t>
      </w:r>
    </w:p>
    <w:p w14:paraId="30AEEB90" w14:textId="77777777" w:rsidR="00CA6F2E" w:rsidRDefault="00CA6F2E" w:rsidP="00CA6F2E"/>
    <w:p w14:paraId="1E643C29" w14:textId="77777777" w:rsidR="00CA6F2E" w:rsidRDefault="00CA6F2E" w:rsidP="00CA6F2E">
      <w:r>
        <w:t xml:space="preserve">Med pomembnejšimi vsebinskimi poudarki so zakonodajne in sistemske spremembe na področju dostopnosti, uporabe jezika gluhoslepih, pokojninskega in invalidskega zavarovanja, invalidskih organizacij, socialne ekonomije ter razvoja storitev v skupnosti. </w:t>
      </w:r>
    </w:p>
    <w:p w14:paraId="62C28B7A" w14:textId="77777777" w:rsidR="00CA6F2E" w:rsidRDefault="00CA6F2E" w:rsidP="00CA6F2E"/>
    <w:p w14:paraId="77F42F39" w14:textId="77777777" w:rsidR="00CA6F2E" w:rsidRDefault="00CA6F2E" w:rsidP="00CA6F2E">
      <w:r>
        <w:t xml:space="preserve">Poročilo izkazuje obsežno izvajanje programov, projektov in drugih dejavnosti na različnih področjih. V letu 2025 je bilo izvedenih veliko število strokovnih dogodkov, raziskovalnih aktivnosti in projektov ter kampanj ozaveščanja, ki prispevajo k večji prepoznavnosti pravic invalidov in njihovemu vključevanju v družbo. </w:t>
      </w:r>
    </w:p>
    <w:p w14:paraId="29C87288" w14:textId="77777777" w:rsidR="00CA6F2E" w:rsidRDefault="00CA6F2E" w:rsidP="00CA6F2E"/>
    <w:p w14:paraId="1B1B09C0" w14:textId="09DE86AE" w:rsidR="00706530" w:rsidRDefault="00CA6F2E" w:rsidP="00CA6F2E">
      <w:r>
        <w:t>Pomembno vlogo pri izvajanju ukrepov imajo invalidske organizacije in strokovne institucije, ki sodelujejo pri izvajanju programov, projektov in dejavnosti ter prispevajo k uresničevanju ciljev API 2022–2030. Poročevalci, predvsem invalidske organizacije, ob tem izpostavljajo tudi nekatere izzive pri uresničevanju posameznih ciljev, zlasti na področju dostopnosti, razvoja storitev v skupnosti ter zagotavljanja pogojev za samostojno življenje invalidov.</w:t>
      </w:r>
    </w:p>
    <w:p w14:paraId="629E5194" w14:textId="77777777" w:rsidR="00CA6F2E" w:rsidRPr="00A26619" w:rsidRDefault="00CA6F2E" w:rsidP="00CA6F2E">
      <w:pPr>
        <w:pStyle w:val="Vir"/>
      </w:pPr>
      <w:r w:rsidRPr="00A26619">
        <w:t xml:space="preserve">Vir: Ministrstvo za demografijo, družino in socialne zadeve </w:t>
      </w:r>
    </w:p>
    <w:p w14:paraId="0EEA0283" w14:textId="5B7F7DC8" w:rsidR="000B101A" w:rsidRDefault="000B101A" w:rsidP="000B101A">
      <w:pPr>
        <w:pStyle w:val="Naslov2"/>
      </w:pPr>
      <w:r>
        <w:t>Vlada dala soglasje k letnemu poročilu AKOS za leto 2025</w:t>
      </w:r>
    </w:p>
    <w:p w14:paraId="426F0566" w14:textId="320A4782" w:rsidR="000B101A" w:rsidRDefault="000B101A" w:rsidP="000B101A">
      <w:r>
        <w:t>Vlada Republike Slovenije (Vlada) je na današnji seji dala soglasje k Letnemu poročilu Agencije za komunikacijska omrežja in storitve Republike Slovenije (AKOS) za leto 2025.</w:t>
      </w:r>
    </w:p>
    <w:p w14:paraId="382F0188" w14:textId="77777777" w:rsidR="000B101A" w:rsidRDefault="000B101A" w:rsidP="000B101A"/>
    <w:p w14:paraId="7E5A9253" w14:textId="77777777" w:rsidR="000B101A" w:rsidRDefault="000B101A" w:rsidP="000B101A">
      <w:r>
        <w:t>AKOS je neodvisen regulatorni organ, ki ureja in nadzira trg elektronskih komunikacij, upravlja ter nadzira radiofrekvenčni spekter Republike Slovenije, opravlja naloge na področju radijskih in televizijskih dejavnosti, nadzira trg poštnih storitev in storitve železniškega prometa. Poleg tega opravlja naloge nacionalnega koordinatorja za digitalne storitve in sodeluje pri izvajanju Akta o umetni inteligenci.</w:t>
      </w:r>
    </w:p>
    <w:p w14:paraId="73AC64C6" w14:textId="77777777" w:rsidR="000B101A" w:rsidRDefault="000B101A" w:rsidP="000B101A"/>
    <w:p w14:paraId="37A2EC0D" w14:textId="77777777" w:rsidR="000B101A" w:rsidRDefault="000B101A" w:rsidP="000B101A">
      <w:r>
        <w:t>Po oceni Ministrstva za notranje zadeve in javno upravo je AKOS v letu 2025 poslovala v skladu s programom dela in finančnim načrtom ter opravila glavnino načrtovanih aktivnosti. Med drugim je izvedla 250 inšpekcijskih nadzorov in prekrškovnih postopkov ter obravnavala 984 uporabniških sporov.</w:t>
      </w:r>
    </w:p>
    <w:p w14:paraId="00468CC3" w14:textId="77777777" w:rsidR="000B101A" w:rsidRDefault="000B101A" w:rsidP="000B101A"/>
    <w:p w14:paraId="2D92C6BE" w14:textId="77777777" w:rsidR="000B101A" w:rsidRDefault="000B101A" w:rsidP="000B101A">
      <w:r>
        <w:t>Pomemben del aktivnosti je bil namenjen tudi umetni inteligenci, kjer je AKOS sodeloval pri pripravi nacionalne zakonodaje za izvajanje Akta o umetni inteligenci ter pri delu Evropskega odbora za umetno inteligenco.</w:t>
      </w:r>
    </w:p>
    <w:p w14:paraId="72DF3FD0" w14:textId="77777777" w:rsidR="000B101A" w:rsidRDefault="000B101A" w:rsidP="000B101A"/>
    <w:p w14:paraId="79A00027" w14:textId="77777777" w:rsidR="000B101A" w:rsidRDefault="000B101A" w:rsidP="000B101A">
      <w:r>
        <w:t>Skladno z Zakonom o elektronskih komunikacijah bo Vlada letno poročilo poslala v seznanitev Državnemu zboru Republike Slovenije.</w:t>
      </w:r>
    </w:p>
    <w:p w14:paraId="0A32C019" w14:textId="3EC6A2FF" w:rsidR="000B101A" w:rsidRDefault="000B101A" w:rsidP="000B101A">
      <w:pPr>
        <w:pStyle w:val="Vir"/>
      </w:pPr>
      <w:r w:rsidRPr="000B101A">
        <w:t>Vir: Ministrstvo za notranje zadeve in javno upravo</w:t>
      </w:r>
    </w:p>
    <w:p w14:paraId="5CA47FA1" w14:textId="5837EA2D" w:rsidR="001D06DB" w:rsidRDefault="001D06DB" w:rsidP="001D06DB">
      <w:pPr>
        <w:pStyle w:val="Naslov2"/>
      </w:pPr>
      <w:r>
        <w:t>Vlada sprejela stališče o začasnih ukrepih za liberalizacijo trgovine za armenske proizvode</w:t>
      </w:r>
    </w:p>
    <w:p w14:paraId="64E24D6F" w14:textId="77777777" w:rsidR="001D06DB" w:rsidRDefault="001D06DB" w:rsidP="001D06DB">
      <w:r>
        <w:t>Vlada Republike Slovenije je sprejela stališče Republike Slovenije do predloga evropske uredbe o začasnih ukrepih za liberalizacijo trgovine, ki se uporabljajo za armenske proizvode.</w:t>
      </w:r>
    </w:p>
    <w:p w14:paraId="58C196A8" w14:textId="77777777" w:rsidR="001D06DB" w:rsidRDefault="001D06DB" w:rsidP="001D06DB"/>
    <w:p w14:paraId="15BD8420" w14:textId="77777777" w:rsidR="001D06DB" w:rsidRDefault="001D06DB" w:rsidP="001D06DB">
      <w:r>
        <w:t>Slovenija se glede na geopolitične razmere v Armeniji strinja s predlogom in poudarja pomen</w:t>
      </w:r>
    </w:p>
    <w:p w14:paraId="228271FB" w14:textId="77777777" w:rsidR="001D06DB" w:rsidRDefault="001D06DB" w:rsidP="001D06DB">
      <w:r>
        <w:t>vključitve zaščitnega mehanizma, ki omogoča začasno prekinitev liberalizacije trgovine. Ob tem opozarja, da morajo vsi proizvodi, uvoženi iz Armenije v Evropsko unijo, izpolnjevati njene sanitarne in fitosanitarne standarde.</w:t>
      </w:r>
    </w:p>
    <w:p w14:paraId="015B6010" w14:textId="77777777" w:rsidR="001D06DB" w:rsidRDefault="001D06DB" w:rsidP="001D06DB"/>
    <w:p w14:paraId="2980E9EE" w14:textId="77777777" w:rsidR="001D06DB" w:rsidRDefault="001D06DB" w:rsidP="001D06DB">
      <w:r>
        <w:t xml:space="preserve">Predlagana uredba predvideva liberalizacijo uvoza določenega industrijskega in kmetijskega blaga iz Armenije. Ukinitev carinskih dajatev za določene kmetijske izdelke, kot so kumare, grozdje, hruške, marelice, breskve, češnje, slive in jagode, je predvidena v obsegu tarifnih kvot. Predlog uredbe vključuje tudi zaščitno klavzulo, ki bi se aktivirala v primeru povečanega uvoza  iz Armenije, in možnost začasnega suspenza, če Armenija ne bi izpolnjevala zahtev, določenih v uredbi. </w:t>
      </w:r>
    </w:p>
    <w:p w14:paraId="519B1811" w14:textId="77777777" w:rsidR="001D06DB" w:rsidRDefault="001D06DB" w:rsidP="001D06DB"/>
    <w:p w14:paraId="45F729E4" w14:textId="77777777" w:rsidR="001D06DB" w:rsidRDefault="001D06DB" w:rsidP="001D06DB">
      <w:r>
        <w:lastRenderedPageBreak/>
        <w:t>Ukrep, ki naj bi veljal dve leti, bo prispeval h krepitvi trgovinskih tokov iz Armenije v EU ter podpiral razvoj njenega gospodarskega potenciala in izboljšanje trgovinskega sodelovanja med EU in Armenijo.</w:t>
      </w:r>
    </w:p>
    <w:p w14:paraId="759731BF" w14:textId="77777777" w:rsidR="001D06DB" w:rsidRDefault="001D06DB" w:rsidP="001D06DB">
      <w:pPr>
        <w:pStyle w:val="Vir"/>
      </w:pPr>
      <w:r>
        <w:t>Vir: Ministrstvo za gospodarstvo, delo in šport</w:t>
      </w:r>
    </w:p>
    <w:p w14:paraId="769B173F" w14:textId="7BAB8903" w:rsidR="003D1300" w:rsidRDefault="003D1300" w:rsidP="003D1300">
      <w:pPr>
        <w:pStyle w:val="Naslov2"/>
      </w:pPr>
      <w:r>
        <w:t>Vlada določila predlog stališča do predloga Akta o kibernetski varnosti 2</w:t>
      </w:r>
    </w:p>
    <w:p w14:paraId="36D7C978" w14:textId="77777777" w:rsidR="003D1300" w:rsidRDefault="003D1300" w:rsidP="003D1300">
      <w:r>
        <w:t>Vlada Republike Slovenije je določila predlog stališča do predloga Akta o kibernetski varnosti 2, s katerim Evropska unija prenavlja pravila o delovanju Agencije Evropske unije za kibernetsko varnost (ENISA), evropskem certifikacijskem okviru za kibernetsko varnost in varnosti dobavnih verig informacijsko-komunikacijskih tehnologij.</w:t>
      </w:r>
    </w:p>
    <w:p w14:paraId="06232836" w14:textId="77777777" w:rsidR="003D1300" w:rsidRDefault="003D1300" w:rsidP="003D1300"/>
    <w:p w14:paraId="0F58C48F" w14:textId="1743265B" w:rsidR="003D1300" w:rsidRDefault="003D1300" w:rsidP="003D1300">
      <w:r>
        <w:t>Republika Slovenija pozdravlja poudarek predloga na krepitvi kibernetske odpornosti Evropske unije, zmanjševanju administrativnih bremen in večji usklajenosti pravil na notranjem trgu. Predlog predstavlja priložnost za pametnejšo in bolj usklajeno regulacijo, ki bolje povezuje varnost, konkurenčnost, odpornost ključnih storitev in evropsko solidarnost. Ob tem poudarja, da mora ENISA ohraniti podporno, tehnično in koordinativno vlogo, medtem ko mora operativna odgovornost za odzivanje na incidente ostati pri pristojnih skupinah CSIRT držav članic, CERT-EU in drugih pristojnih organih.</w:t>
      </w:r>
    </w:p>
    <w:p w14:paraId="2416A616" w14:textId="77777777" w:rsidR="003D1300" w:rsidRDefault="003D1300" w:rsidP="003D1300"/>
    <w:p w14:paraId="5B794BC2" w14:textId="0DCA471C" w:rsidR="003D1300" w:rsidRDefault="003D1300" w:rsidP="003D1300">
      <w:r>
        <w:t>Predlog uredbe temelji na treh ključnih področjih: prenovi mandata ENISA, posodobitvi evropskega certifikacijskega okvira za kibernetsko varnost in vzpostavitvi poenotenega evropskega okvira za varnost dobavnih verig informacijsko-komunikacijskih tehnologij.</w:t>
      </w:r>
    </w:p>
    <w:p w14:paraId="39217AA1" w14:textId="77777777" w:rsidR="003D1300" w:rsidRDefault="003D1300" w:rsidP="003D1300"/>
    <w:p w14:paraId="575C38F4" w14:textId="13EE5437" w:rsidR="003D1300" w:rsidRDefault="003D1300" w:rsidP="003D1300">
      <w:r>
        <w:t>Slovenija podpira reformo evropskega certifikacijskega okvira in si bo prizadevala, da certifikacija ostane prostovoljna, sorazmerna, tehnično izvedljiva in dostopna tudi za mala in srednja podjetja (MSP), manjše ponudnike ali nacionalne organe z omejenimi zmogljivostmi. Zavzema se za učinkovito priznavanje certifikatov po celotnem notranjem trgu EU, jasnejše postopke in večjo vlogo držav članic pri pripravi certifikacijskih shem.</w:t>
      </w:r>
    </w:p>
    <w:p w14:paraId="0916B132" w14:textId="77777777" w:rsidR="003D1300" w:rsidRDefault="003D1300" w:rsidP="003D1300"/>
    <w:p w14:paraId="0801BC90" w14:textId="546A3240" w:rsidR="003D1300" w:rsidRDefault="003D1300" w:rsidP="003D1300">
      <w:r>
        <w:t>Slovenija podpira enoten evropski pristop k varnosti dobavnih verig informacijsko-komunikacijskih tehnologij (IKT), ki bo prispeval k večji zaščiti ključnih storitev, kritične infrastrukture ter subjektov v bistvenih in pomembnih sektorjih.</w:t>
      </w:r>
    </w:p>
    <w:p w14:paraId="656152AD" w14:textId="77777777" w:rsidR="003D1300" w:rsidRDefault="003D1300" w:rsidP="003D1300"/>
    <w:p w14:paraId="45ABA492" w14:textId="46988CE0" w:rsidR="003D1300" w:rsidRDefault="003D1300" w:rsidP="003D1300">
      <w:r>
        <w:t>Slovenija v širšem okviru povezanih ukrepov za poenostavitev podpira tudi vzpostavitev enotne vstopne točke za poročanje o incidentih, če bo ta zavezancem omogočila izpolnjevanje obveznosti z enim poročilom namesto več ločenih poročil ter bo varna in interoperabilna z nacionalnimi sistemi.</w:t>
      </w:r>
    </w:p>
    <w:p w14:paraId="64D56115" w14:textId="77777777" w:rsidR="003D1300" w:rsidRDefault="003D1300" w:rsidP="003D1300">
      <w:r>
        <w:t>Predlog uredbe predvideva organizacijske, normativne, kadrovske in tehnične prilagoditve v državah članicah. Slovenija bo v nadaljnjih pogajanjih zagovarjala rešitve, ki bodo sorazmerne, finančno vzdržne in podprte z ustreznimi evropskimi finančnimi in strokovnimi mehanizmi.</w:t>
      </w:r>
    </w:p>
    <w:p w14:paraId="5DE75B54" w14:textId="77777777" w:rsidR="003D1300" w:rsidRDefault="003D1300" w:rsidP="003D1300"/>
    <w:p w14:paraId="1648AD13" w14:textId="61ADA6DD" w:rsidR="00706530" w:rsidRDefault="003D1300" w:rsidP="003D1300">
      <w:r>
        <w:t>Predlog stališča Republike Slovenije bo vlada poslala v obravnavo Državnemu zboru Republike Slovenije.</w:t>
      </w:r>
    </w:p>
    <w:p w14:paraId="28E74B0F" w14:textId="309B6444" w:rsidR="003D1300" w:rsidRDefault="003D1300" w:rsidP="003D1300">
      <w:pPr>
        <w:pStyle w:val="Vir"/>
      </w:pPr>
      <w:r w:rsidRPr="003D1300">
        <w:t>Vir: Urad za informacijsko varnost</w:t>
      </w:r>
    </w:p>
    <w:p w14:paraId="417F1A6B" w14:textId="3550AE64" w:rsidR="00B93882" w:rsidRDefault="00B93882" w:rsidP="00B93882">
      <w:pPr>
        <w:pStyle w:val="Naslov2"/>
      </w:pPr>
      <w:r>
        <w:t>Vlada določila predlog stališča do predloga sprememb direktive NIS2</w:t>
      </w:r>
    </w:p>
    <w:p w14:paraId="44255516" w14:textId="77777777" w:rsidR="00B93882" w:rsidRDefault="00B93882" w:rsidP="00B93882">
      <w:r>
        <w:t xml:space="preserve">Vlada Republike Slovenije je določila predlog stališča do predloga direktive o spremembi Direktive (EU) 2022/2555 (NIS2), katere namen je s ciljno usmerjenimi spremembami poenostaviti posamezne </w:t>
      </w:r>
      <w:r>
        <w:lastRenderedPageBreak/>
        <w:t>vidike okvira NIS2, povečati pravno varnost, zmanjšati razdrobljenost izvajanja med državami članicami in zagotoviti usklajenost s predlaganim Aktom o kibernetski varnosti 2 (CSA2).</w:t>
      </w:r>
    </w:p>
    <w:p w14:paraId="78C5256D" w14:textId="77777777" w:rsidR="00B93882" w:rsidRDefault="00B93882" w:rsidP="00B93882"/>
    <w:p w14:paraId="673DFB24" w14:textId="26D948A8" w:rsidR="00B93882" w:rsidRDefault="00B93882" w:rsidP="00B93882">
      <w:r>
        <w:t xml:space="preserve">Slovenija podpira rešitve, ki zmanjšujejo podvajanje obveznosti, prispevajo k enotnemu notranjemu trgu in krepijo čezmejno operativno sodelovanje na področju kibernetske varnosti. Hkrati poudarja pomen spoštovanja nacionalnih pristojnosti, zagotavljanja visoke ravni zaupnosti in varnosti obdelave </w:t>
      </w:r>
      <w:proofErr w:type="spellStart"/>
      <w:r>
        <w:t>incidentnih</w:t>
      </w:r>
      <w:proofErr w:type="spellEnd"/>
      <w:r>
        <w:t xml:space="preserve"> podatkov ter izvedljivosti nalog za pristojne organe in skupine CSIRT.</w:t>
      </w:r>
    </w:p>
    <w:p w14:paraId="48F9DEBD" w14:textId="77777777" w:rsidR="00B93882" w:rsidRDefault="00B93882" w:rsidP="00B93882"/>
    <w:p w14:paraId="4FD87F3A" w14:textId="3E39C2FB" w:rsidR="00B93882" w:rsidRDefault="00B93882" w:rsidP="00B93882">
      <w:r>
        <w:t>Predlog prinaša ciljno usmerjene spremembe glede področja uporabe in razvrščanja bistvenih in pomembnih subjektov, ukrepov za obvladovanje tveganj za kibernetsko varnost, harmoniziranega zbiranja podatkov o napadih z izsiljevalskim programom (</w:t>
      </w:r>
      <w:proofErr w:type="spellStart"/>
      <w:r>
        <w:t>ransomware</w:t>
      </w:r>
      <w:proofErr w:type="spellEnd"/>
      <w:r>
        <w:t>), čezmejnega sodelovanja in medsebojne pomoči ter uporabe certifikacije kot dokazila skladnosti. Slovenija si bo prizadevala za jasno in izvedljivo opredelitev področja uporabe in razvrstitev subjektov, sorazmerne zahteve za bistvene in pomembne subjekte in pravno varnost pri izvajanju novih pravil.</w:t>
      </w:r>
    </w:p>
    <w:p w14:paraId="77F0504E" w14:textId="3F95A42B" w:rsidR="00706530" w:rsidRDefault="00B93882" w:rsidP="00B93882">
      <w:pPr>
        <w:pStyle w:val="Vir"/>
      </w:pPr>
      <w:r>
        <w:t>Vir: Urad za informacijsko varnost</w:t>
      </w:r>
    </w:p>
    <w:p w14:paraId="4E0C000D" w14:textId="2DDDA848" w:rsidR="00E241A3" w:rsidRDefault="00E241A3" w:rsidP="00E241A3">
      <w:pPr>
        <w:pStyle w:val="Naslov2"/>
      </w:pPr>
      <w:r>
        <w:t xml:space="preserve">Memorandum o soglasju glede delovanja </w:t>
      </w:r>
      <w:r w:rsidR="007A65D6">
        <w:t>p</w:t>
      </w:r>
      <w:r>
        <w:t>oveljstva večnacionalne divizije jug</w:t>
      </w:r>
    </w:p>
    <w:p w14:paraId="475E8028" w14:textId="52201651" w:rsidR="00E241A3" w:rsidRDefault="00E241A3" w:rsidP="00E241A3">
      <w:r>
        <w:t xml:space="preserve">Vlada je potrdila besedilo Memoranduma o soglasju med ministrstvi za obrambo in Vrhovnim poveljstvom zavezniških sil za Evropo (SHAPE) o delovanju, popolnjevanju, financiranju, upravljanju in podpori </w:t>
      </w:r>
      <w:r w:rsidR="007A65D6">
        <w:t>p</w:t>
      </w:r>
      <w:r>
        <w:t>oveljstva večnacionalne divizije jug, podpisanega v Monsu 9. januarja 2026.</w:t>
      </w:r>
    </w:p>
    <w:p w14:paraId="0F675D3E" w14:textId="77777777" w:rsidR="00E241A3" w:rsidRDefault="00E241A3" w:rsidP="00E241A3"/>
    <w:p w14:paraId="0B70DDC8" w14:textId="77777777" w:rsidR="00E241A3" w:rsidRDefault="00E241A3" w:rsidP="00E241A3">
      <w:r>
        <w:t>Memorandum o soglasju vsebuje določbe glede statusa poveljstva in statusa osebja, dodeljenega poveljstvu, določa administrativne postopke za nameščanje, financiranje, popolnjevanje, upravljanje in logistično podporo poveljstvu ter delitev stroškov med udeleženci poveljstva.</w:t>
      </w:r>
    </w:p>
    <w:p w14:paraId="050FA7CB" w14:textId="03F8F55C" w:rsidR="00E241A3" w:rsidRDefault="00E241A3" w:rsidP="00E241A3">
      <w:pPr>
        <w:pStyle w:val="Vir"/>
      </w:pPr>
      <w:r>
        <w:t>Vir: Ministrstvo za obrambo</w:t>
      </w:r>
    </w:p>
    <w:p w14:paraId="34FF34BF" w14:textId="4347A413" w:rsidR="00E57CD1" w:rsidRDefault="00E57CD1" w:rsidP="00E57CD1">
      <w:pPr>
        <w:pStyle w:val="Naslov2"/>
      </w:pPr>
      <w:r>
        <w:t>Informacija o sklenitvi upravnega dogovora glede sodelovanja Združenega kraljestva v projektu vojaške mobilnosti</w:t>
      </w:r>
    </w:p>
    <w:p w14:paraId="712B5F66" w14:textId="447078C0" w:rsidR="00E57CD1" w:rsidRDefault="00E57CD1" w:rsidP="00E57CD1">
      <w:r>
        <w:t>Vlada se je seznanila z informacijo o nameravani sklenitvi upravnega dogovora med člani projekta ter ministrstvom za obrambo Združenega kraljestva, ki se nanaša na projekt vojaška mobilnost v okviru stalnega strukturnega sodelovanja EU in potrdila njegovo besedilo.</w:t>
      </w:r>
    </w:p>
    <w:p w14:paraId="27F7B209" w14:textId="77777777" w:rsidR="00E57CD1" w:rsidRDefault="00E57CD1" w:rsidP="00E57CD1"/>
    <w:p w14:paraId="6475BEFC" w14:textId="77777777" w:rsidR="00E57CD1" w:rsidRDefault="00E57CD1" w:rsidP="00E57CD1">
      <w:r>
        <w:t>Stalno strukturno sodelovanje na področju varnosti in obrambe Evropske unije (PESCO) državam članicam Evropske unije omogoča tesnejše sodelovanje na področju varnosti in obrambe. PESCO projekt Vojaška mobilnost predstavlja platformo za usklajevanje in usmerjanje dela na področju vojaške mobilnosti s ciljem izboljšanja vojaške mobilnosti v Evropi.</w:t>
      </w:r>
    </w:p>
    <w:p w14:paraId="142CC0D6" w14:textId="77777777" w:rsidR="00E57CD1" w:rsidRDefault="00E57CD1" w:rsidP="00E57CD1"/>
    <w:p w14:paraId="13EE8BD1" w14:textId="77777777" w:rsidR="00E57CD1" w:rsidRDefault="00E57CD1" w:rsidP="00E57CD1">
      <w:r>
        <w:t>Na področju vojaške mobilnosti je bilo na lastno prošnjo in v skladu s pravili soglasno k sodelovanju povabljeno tudi Združeno kraljestvo, ki ni članica Evropske unije. Člani projekta bodo z ministrstvom za obrambo Združenega kraljestva sklenili upravni dogovor, ki bo določal pravice in obveznosti Združenega kraljestva v projektu.</w:t>
      </w:r>
    </w:p>
    <w:p w14:paraId="4C2092E0" w14:textId="41767BA3" w:rsidR="00706530" w:rsidRDefault="00E57CD1" w:rsidP="00E57CD1">
      <w:pPr>
        <w:pStyle w:val="Vir"/>
      </w:pPr>
      <w:r>
        <w:t>Vir: Ministrstvo za obrambo</w:t>
      </w:r>
    </w:p>
    <w:p w14:paraId="2141645A" w14:textId="102A43BE" w:rsidR="00706530" w:rsidRDefault="008A1B35" w:rsidP="008A1B35">
      <w:pPr>
        <w:pStyle w:val="Naslov2"/>
      </w:pPr>
      <w:r>
        <w:t>M</w:t>
      </w:r>
      <w:r w:rsidR="00706530">
        <w:t>nenj</w:t>
      </w:r>
      <w:r>
        <w:t>e vlade</w:t>
      </w:r>
      <w:r w:rsidR="00706530">
        <w:t xml:space="preserve"> </w:t>
      </w:r>
      <w:r>
        <w:t>k</w:t>
      </w:r>
      <w:r w:rsidR="00706530">
        <w:t xml:space="preserve"> </w:t>
      </w:r>
      <w:r>
        <w:t>p</w:t>
      </w:r>
      <w:r w:rsidR="00706530">
        <w:t xml:space="preserve">redlogu </w:t>
      </w:r>
      <w:r>
        <w:t>Z</w:t>
      </w:r>
      <w:r w:rsidR="00706530">
        <w:t>akona o ukrepih pri dolgotrajni oskrbi</w:t>
      </w:r>
    </w:p>
    <w:p w14:paraId="453D0825" w14:textId="77777777" w:rsidR="008A1B35" w:rsidRDefault="008A1B35" w:rsidP="008A1B35">
      <w:r>
        <w:t>Vlada je sprejela mnenje o Predlogu zakona o ukrepih pri dolgotrajni oskrbi, ki ga je Državnemu zboru predložila skupina poslank in poslancev (prvopodpisani Luka Mesec)</w:t>
      </w:r>
    </w:p>
    <w:p w14:paraId="516E5034" w14:textId="77777777" w:rsidR="008A1B35" w:rsidRDefault="008A1B35" w:rsidP="008A1B35"/>
    <w:p w14:paraId="1007AFCA" w14:textId="2049BBA9" w:rsidR="008A1B35" w:rsidRDefault="008A1B35" w:rsidP="008A1B35">
      <w:r>
        <w:lastRenderedPageBreak/>
        <w:t xml:space="preserve">Po mnenju </w:t>
      </w:r>
      <w:r w:rsidR="003B4888">
        <w:t>v</w:t>
      </w:r>
      <w:r>
        <w:t>lade predlog zakona uvaja neenako obravnavo primerljivih oseb, saj privilegira posameznike, ki so že vključeni v institucionalno varstvo, v primerjavi z drugimi vlagatelji. Predlagana ureditev ustvarja dvojni sistem vstopa v dolgotrajno oskrbo, ki temelji na različnih metodologijah in ni primerljiv, kar povečuje tveganje za neenakopravno obravnavo. Predlog zakona prav tako povzroča dodatno administrativno breme, pravno negotovost in ni ustrezno finančno utemeljen. Vlada ocenjuje, da predlog zakona ne predstavlja primerne podlage za reševanje izpostavljenih vprašanj ter da bi njegova uveljavitev povzročila več sistemskih, pravnih in izvedbenih težav, kot bi jih odpravila, zato predloga zakona ne podpira in meni, da ni primeren za nadaljnjo obravnavo</w:t>
      </w:r>
      <w:r w:rsidR="003B4888">
        <w:t>.</w:t>
      </w:r>
    </w:p>
    <w:p w14:paraId="6EEB8E9B" w14:textId="55C239D9" w:rsidR="003B4888" w:rsidRDefault="003B4888" w:rsidP="003B4888">
      <w:pPr>
        <w:pStyle w:val="Vir"/>
      </w:pPr>
      <w:r w:rsidRPr="003B4888">
        <w:t>Vir: Ministrstvo za demografijo, družino in socialne zadeve</w:t>
      </w:r>
    </w:p>
    <w:p w14:paraId="0DA4DA3E" w14:textId="616BD4BC" w:rsidR="000B101A" w:rsidRDefault="000B101A" w:rsidP="000B101A">
      <w:pPr>
        <w:pStyle w:val="Naslov2"/>
      </w:pPr>
      <w:r>
        <w:t xml:space="preserve">Vlada sprejela mnenje o predlogu novele Zakona o referendumu in ljudski iniciativi </w:t>
      </w:r>
    </w:p>
    <w:p w14:paraId="456A5554" w14:textId="14A1D7F2" w:rsidR="000B101A" w:rsidRDefault="000B101A" w:rsidP="000B101A">
      <w:r>
        <w:t xml:space="preserve">Vlada Republike Slovenije je sprejela mnenje o </w:t>
      </w:r>
      <w:r w:rsidR="00E241A3">
        <w:t>p</w:t>
      </w:r>
      <w:r>
        <w:t>redlogu zakona o spremembah in dopolnitvah Zakona o referendumu in ljudski iniciativi (ZRLI-G), ki ga je Državnemu zboru Republike Slovenije v obravnavo in sprejem po skrajšanem postopku predložila skupina poslank in poslancev (prvopodpisana Tereza Novak), in ga pošlje Državnemu zboru Republike Slovenije.</w:t>
      </w:r>
    </w:p>
    <w:p w14:paraId="1B585D7F" w14:textId="77777777" w:rsidR="000B101A" w:rsidRDefault="000B101A" w:rsidP="000B101A"/>
    <w:p w14:paraId="28078CC8" w14:textId="77777777" w:rsidR="000B101A" w:rsidRDefault="000B101A" w:rsidP="000B101A">
      <w:r>
        <w:t xml:space="preserve">Med predlaganimi spremembami zakona je uvedba dveh stalno določenih dni v koledarskem letu, na katera bi se izvajalo glasovanje na referendumih, razpisanih v posameznem koledarskem letu. </w:t>
      </w:r>
    </w:p>
    <w:p w14:paraId="44B09E9C" w14:textId="77777777" w:rsidR="000B101A" w:rsidRDefault="000B101A" w:rsidP="000B101A"/>
    <w:p w14:paraId="46C1AB3A" w14:textId="77777777" w:rsidR="000B101A" w:rsidRDefault="000B101A" w:rsidP="000B101A">
      <w:r>
        <w:t>Vlada ocenjuje, da je veljaven zakonski okvir glede rokov za razpis referenduma primeren in že omogoča, da se ob določenih pogojih na en dan razpiše več referendumov, zato predloga zakona ne podpira.</w:t>
      </w:r>
    </w:p>
    <w:p w14:paraId="0ED2A0C5" w14:textId="77777777" w:rsidR="000B101A" w:rsidRDefault="000B101A" w:rsidP="000B101A"/>
    <w:p w14:paraId="416E7118" w14:textId="77777777" w:rsidR="000B101A" w:rsidRDefault="000B101A" w:rsidP="000B101A">
      <w:r>
        <w:t xml:space="preserve">Opozori tudi, da bi se z uvedbo dveh referendumskih dni lahko nesorazmerno podaljšali zakonodajni postopki ter roki za uveljavitve zakonov. </w:t>
      </w:r>
    </w:p>
    <w:p w14:paraId="44F58328" w14:textId="77777777" w:rsidR="000B101A" w:rsidRDefault="000B101A" w:rsidP="000B101A"/>
    <w:p w14:paraId="19B55C6B" w14:textId="77777777" w:rsidR="000B101A" w:rsidRDefault="000B101A" w:rsidP="000B101A">
      <w:r>
        <w:t xml:space="preserve">Vlada v mnenju med drugim pojasni, da so v Zakonu o referendumu in o ljudski iniciativi1 (ZRLI) določeni številni roki, v katerih se morajo izvajati oziroma opraviti referendumska opravila. </w:t>
      </w:r>
    </w:p>
    <w:p w14:paraId="5DA721E7" w14:textId="77777777" w:rsidR="000B101A" w:rsidRDefault="000B101A" w:rsidP="000B101A"/>
    <w:p w14:paraId="6FCC7B20" w14:textId="77777777" w:rsidR="000B101A" w:rsidRDefault="000B101A" w:rsidP="000B101A">
      <w:r>
        <w:t xml:space="preserve">Pomembno je, da se referendumski postopek odvija hitro in da si posamezne faze oziroma opravila kontinuirano sledijo. </w:t>
      </w:r>
    </w:p>
    <w:p w14:paraId="129C5D29" w14:textId="77777777" w:rsidR="000B101A" w:rsidRDefault="000B101A" w:rsidP="000B101A"/>
    <w:p w14:paraId="13AE9BFA" w14:textId="77777777" w:rsidR="000B101A" w:rsidRDefault="000B101A" w:rsidP="000B101A">
      <w:r>
        <w:t>Če bi bilo na isti dan razpisanih več referendumov, bi njihova izvedba predstavljala znaten organizacijski izziv za organe, pristojne za izvedbo referendumskih opravil, hkrati pa bi lahko zaradi nepreglednosti in nejasnosti povzročila težave tudi volivcem.</w:t>
      </w:r>
    </w:p>
    <w:p w14:paraId="74279B55" w14:textId="77777777" w:rsidR="000B101A" w:rsidRDefault="000B101A" w:rsidP="000B101A"/>
    <w:p w14:paraId="58550176" w14:textId="2E7F0BDC" w:rsidR="00706530" w:rsidRDefault="000B101A" w:rsidP="000B101A">
      <w:r>
        <w:t>Vlada zaradi navedenega meni, da je bolj primerna veljavna ureditev, ki DZ v vsakem posamičnem primeru prepušča odločitev, da pri razpisu referenduma odloči po pravilu, da od dneva razpisa referenduma do dneva glasovanja ne sme preteči manj kakor 30 dni in ne več kot 1 leto.</w:t>
      </w:r>
    </w:p>
    <w:p w14:paraId="5025FB96" w14:textId="70BC2A09" w:rsidR="00706530" w:rsidRDefault="000B101A" w:rsidP="000B101A">
      <w:pPr>
        <w:pStyle w:val="Vir"/>
      </w:pPr>
      <w:r w:rsidRPr="000B101A">
        <w:t>Vir: Ministrstvo za notranje zadeve in javno upravo</w:t>
      </w:r>
    </w:p>
    <w:p w14:paraId="141FD3E1" w14:textId="6B77B488" w:rsidR="00BD0A52" w:rsidRDefault="00BD0A52" w:rsidP="00BD0A52">
      <w:pPr>
        <w:pStyle w:val="Naslov2"/>
      </w:pPr>
      <w:r>
        <w:t>Vlada ne podpira uvedbe kavcijskega sistema za embalažo pijač</w:t>
      </w:r>
    </w:p>
    <w:p w14:paraId="1960A518" w14:textId="6235CD1B" w:rsidR="00BD0A52" w:rsidRDefault="00BD0A52" w:rsidP="00BD0A52">
      <w:r>
        <w:t>Vlada Republike Slovenije je na današnji seji podprla mnenje Državnega sveta Republike Slovenije, ki ne podpira nadaljnje obravnave predloga Zakona o kavcijskem sistemu za embalažo pijač (ZKSEP-1).</w:t>
      </w:r>
    </w:p>
    <w:p w14:paraId="2BAA39AD" w14:textId="77777777" w:rsidR="00BD0A52" w:rsidRDefault="00BD0A52" w:rsidP="00BD0A52"/>
    <w:p w14:paraId="3C735EEA" w14:textId="77777777" w:rsidR="00BD0A52" w:rsidRDefault="00BD0A52" w:rsidP="00BD0A52">
      <w:r>
        <w:t xml:space="preserve">Državni svet sicer priznava, da je cilj predloga izboljšati zbiranje in recikliranje plastenk ter pločevink in prispevati k doseganju evropskih okoljskih ciljev, vendar ocenjuje, da predlagana ureditev odpira </w:t>
      </w:r>
      <w:r>
        <w:lastRenderedPageBreak/>
        <w:t>številna vsebinska, organizacijska, finančna in izvedbena vprašanja. Po njegovem mnenju predlog v sedanji obliki ni dovolj strokovno usklajen in bi zahteval dodatno razpravo z vsemi ključnimi deležniki.</w:t>
      </w:r>
    </w:p>
    <w:p w14:paraId="310D1246" w14:textId="77777777" w:rsidR="00BD0A52" w:rsidRDefault="00BD0A52" w:rsidP="00BD0A52"/>
    <w:p w14:paraId="5D82C40C" w14:textId="77777777" w:rsidR="00BD0A52" w:rsidRDefault="00BD0A52" w:rsidP="00BD0A52">
      <w:r>
        <w:t>Uradni podatki kažejo, da Slovenija z obstoječim sistemom ločenega zbiranja odpadkov že dosega oziroma se približuje evropskim ciljem glede zbiranja plastenk in pločevink. Doseženi rezultati so posledica dolgoletnih vlaganj v infrastrukturo, učinkovitega sistema ločenega zbiranja ter visoke stopnje ozaveščenosti prebivalcev.</w:t>
      </w:r>
    </w:p>
    <w:p w14:paraId="7CA7D82C" w14:textId="77777777" w:rsidR="00BD0A52" w:rsidRDefault="00BD0A52" w:rsidP="00BD0A52"/>
    <w:p w14:paraId="4E1D0BB1" w14:textId="1E5F5258" w:rsidR="00BD0A52" w:rsidRDefault="00BD0A52" w:rsidP="00BD0A52">
      <w:r>
        <w:t>Po oceni Državnega sveta bi uvedba kavcijskega sistema lahko povzročila dodatne stroške za trgovce, občine, komunalna podjetja in potrošnike, podvajanje infrastrukture ter logistične in organizacijske zaplete. Negativno bi lahko vplivala tudi na ekonomsko vzdržnost obstoječega sistema ravnanja z odpadki. Zato Državni svet meni, da bi bilo bolj smiselno nadalje nadgrajevati in optimizirati obstoječi sistem ločenega zbiranja odpadne embalaže.</w:t>
      </w:r>
    </w:p>
    <w:p w14:paraId="4B565AF2" w14:textId="77777777" w:rsidR="00BD0A52" w:rsidRDefault="00BD0A52" w:rsidP="00BD0A52"/>
    <w:p w14:paraId="4AEBC0FE" w14:textId="77777777" w:rsidR="00BD0A52" w:rsidRDefault="00BD0A52" w:rsidP="00BD0A52">
      <w:r>
        <w:t>Vlada se zaveda pomena učinkovite okoljske politike, doseganja okoljskih ciljev ter zagotavljanja kroženja recikliranih materialov in njihove ponovne uporabe v novih proizvodih, s čimer se zmanjšuje poraba naravnih virov.</w:t>
      </w:r>
    </w:p>
    <w:p w14:paraId="31F1DC14" w14:textId="77777777" w:rsidR="00BD0A52" w:rsidRDefault="00BD0A52" w:rsidP="00BD0A52"/>
    <w:p w14:paraId="5157AA43" w14:textId="49E6AFC4" w:rsidR="00BD0A52" w:rsidRDefault="00BD0A52" w:rsidP="00BD0A52">
      <w:r>
        <w:t>Cilji glede ločenega zbiranja in vsebnosti reciklirane plastike so določeni v Direktivi (EU) 2019/904 o zmanjšanju vpliva nekaterih plastičnih proizvodov na okolje in Uredbi (EU) 2025/40 o embalaži in odpadni embalaži. V skladu z njima mora Slovenija zagotoviti:</w:t>
      </w:r>
    </w:p>
    <w:p w14:paraId="2B2BABF3" w14:textId="77777777" w:rsidR="00BD0A52" w:rsidRDefault="00BD0A52" w:rsidP="00BD0A52"/>
    <w:p w14:paraId="17DD2EF8" w14:textId="77777777" w:rsidR="00BD0A52" w:rsidRDefault="00BD0A52" w:rsidP="00BD0A52">
      <w:pPr>
        <w:pStyle w:val="Odstavekseznama"/>
        <w:numPr>
          <w:ilvl w:val="0"/>
          <w:numId w:val="17"/>
        </w:numPr>
      </w:pPr>
      <w:r>
        <w:t>Do 1. januarja 2029 mora Slovenija ločeno zbrati najmanj 90 % skupne mase plastenk, ki so bile dane na trg.</w:t>
      </w:r>
    </w:p>
    <w:p w14:paraId="6F714A3B" w14:textId="77777777" w:rsidR="00BD0A52" w:rsidRDefault="00BD0A52" w:rsidP="00BD0A52">
      <w:pPr>
        <w:pStyle w:val="Odstavekseznama"/>
        <w:numPr>
          <w:ilvl w:val="0"/>
          <w:numId w:val="17"/>
        </w:numPr>
      </w:pPr>
      <w:r>
        <w:t>Do 1. januarja 2029 mora ločeno zbrati najmanj 90 % skupne mase pločevink, ki so bile dane na trg.</w:t>
      </w:r>
    </w:p>
    <w:p w14:paraId="65B98A1C" w14:textId="3A6929B1" w:rsidR="00BD0A52" w:rsidRDefault="00BD0A52" w:rsidP="00BD0A52">
      <w:pPr>
        <w:pStyle w:val="Odstavekseznama"/>
        <w:numPr>
          <w:ilvl w:val="0"/>
          <w:numId w:val="17"/>
        </w:numPr>
      </w:pPr>
      <w:r>
        <w:t>Plastenke morajo biti izdelane tudi iz reciklirane plastike. Povprečni delež reciklirane plastike v vseh plastenkah, danih na trg, mora znašati najmanj:</w:t>
      </w:r>
    </w:p>
    <w:p w14:paraId="19F443AC" w14:textId="0A5F8ADC" w:rsidR="00BD0A52" w:rsidRDefault="00BD0A52" w:rsidP="00BD0A52">
      <w:pPr>
        <w:pStyle w:val="Odstavekseznama"/>
        <w:numPr>
          <w:ilvl w:val="0"/>
          <w:numId w:val="18"/>
        </w:numPr>
      </w:pPr>
      <w:r>
        <w:t xml:space="preserve">30 % leta 2025, </w:t>
      </w:r>
    </w:p>
    <w:p w14:paraId="4AD4CC64" w14:textId="62098CE6" w:rsidR="00BD0A52" w:rsidRDefault="00BD0A52" w:rsidP="00BD0A52">
      <w:pPr>
        <w:pStyle w:val="Odstavekseznama"/>
        <w:numPr>
          <w:ilvl w:val="0"/>
          <w:numId w:val="18"/>
        </w:numPr>
      </w:pPr>
      <w:r>
        <w:t>65 % leta 2040.</w:t>
      </w:r>
    </w:p>
    <w:p w14:paraId="60B1E6ED" w14:textId="4B263561" w:rsidR="00BD0A52" w:rsidRDefault="00BD0A52" w:rsidP="00BD0A52">
      <w:r>
        <w:tab/>
      </w:r>
    </w:p>
    <w:p w14:paraId="23F500B2" w14:textId="77777777" w:rsidR="00BD0A52" w:rsidRDefault="00BD0A52" w:rsidP="00BD0A52">
      <w:r>
        <w:t>Pomembna razlika: pri prvih dveh točkah gre za delež zbrane embalaže glede na njeno maso, pri tretji pa za delež recikliranega materiala v novih plastenkah.</w:t>
      </w:r>
    </w:p>
    <w:p w14:paraId="0928640A" w14:textId="77777777" w:rsidR="00BD0A52" w:rsidRDefault="00BD0A52" w:rsidP="00BD0A52"/>
    <w:p w14:paraId="6D929006" w14:textId="77777777" w:rsidR="00BD0A52" w:rsidRDefault="00BD0A52" w:rsidP="00BD0A52">
      <w:r>
        <w:t>Uredba (EU) 2025/40, ki se neposredno uporablja tudi v slovenskem pravnem redu, določa pogoje, pod katerimi mora država članica uvesti kavcijski sistem. Slovenija bi ga morala uvesti, če:</w:t>
      </w:r>
    </w:p>
    <w:p w14:paraId="2AAC1F75" w14:textId="0B9A146E" w:rsidR="00BD0A52" w:rsidRDefault="00BD0A52" w:rsidP="00BD0A52">
      <w:pPr>
        <w:pStyle w:val="Odstavekseznama"/>
        <w:numPr>
          <w:ilvl w:val="0"/>
          <w:numId w:val="19"/>
        </w:numPr>
      </w:pPr>
      <w:r>
        <w:t xml:space="preserve">v letu 2026 ne bi dosegla več kot 80-odstotnega deleža ločeno zbranih odpadnih plastenk in pločevink pijač; </w:t>
      </w:r>
    </w:p>
    <w:p w14:paraId="283F86EC" w14:textId="3F5D1856" w:rsidR="00BD0A52" w:rsidRDefault="00BD0A52" w:rsidP="00BD0A52">
      <w:pPr>
        <w:pStyle w:val="Odstavekseznama"/>
        <w:numPr>
          <w:ilvl w:val="0"/>
          <w:numId w:val="19"/>
        </w:numPr>
      </w:pPr>
      <w:r>
        <w:t xml:space="preserve">bi dosegla 80-odstotni prag in izvajala ukrepe iz potrjenega izvedbenega načrta, vendar nato tri zaporedna leta ne bi dosegla 90-odstotnega okoljskega cilja; </w:t>
      </w:r>
    </w:p>
    <w:p w14:paraId="2827E726" w14:textId="65E3E12C" w:rsidR="00BD0A52" w:rsidRDefault="00BD0A52" w:rsidP="00BD0A52">
      <w:pPr>
        <w:pStyle w:val="Odstavekseznama"/>
        <w:numPr>
          <w:ilvl w:val="0"/>
          <w:numId w:val="19"/>
        </w:numPr>
      </w:pPr>
      <w:r>
        <w:t xml:space="preserve">Evropska komisija ne bi potrdila izvedbenega načrta. </w:t>
      </w:r>
    </w:p>
    <w:p w14:paraId="1DDB675C" w14:textId="77777777" w:rsidR="00BD0A52" w:rsidRDefault="00BD0A52" w:rsidP="00BD0A52"/>
    <w:p w14:paraId="05190400" w14:textId="77777777" w:rsidR="00BD0A52" w:rsidRDefault="00BD0A52" w:rsidP="00BD0A52">
      <w:r>
        <w:t>Podatki Agencije Republike Slovenije za okolje kažejo, da je delež ločeno zbranih odpadnih plastenk pijač leta 2023 znašal 80 odstotkov, leta 2024 90,7 odstotka, leta 2025 pa 86 odstotkov. Podatki za leti 2024 in 2025 še niso dokončni in uradno potrjeni, vendar kažejo, da se učinkovitost obstoječega sistema izboljšuje.</w:t>
      </w:r>
    </w:p>
    <w:p w14:paraId="22E2E2FF" w14:textId="77777777" w:rsidR="00BD0A52" w:rsidRDefault="00BD0A52" w:rsidP="00BD0A52"/>
    <w:p w14:paraId="2BBB23BB" w14:textId="49E64B48" w:rsidR="00BD0A52" w:rsidRDefault="00BD0A52" w:rsidP="00BD0A52">
      <w:r>
        <w:t>Vlada zato po preučitvi razpoložljivega gradiva in analizi aktualnih rezultatov ne podpira nadaljnje obravnave Predloga zakona o kavcijskem sistemu za embalažo pijač. Trend zadnjih treh let namreč kaže na uspešno izboljševanje ravnanja z odpadno embalažo, zato uvedba kavcijskega sistema po trenutnih ocenah najmanj do leta 2031 ne bo potrebna. Ob nadaljnjem doseganju predpisanih okoljskih ciljev pa se lahko izkaže, da njegova uvedba ne bo potrebna niti pozneje.</w:t>
      </w:r>
    </w:p>
    <w:p w14:paraId="7188510F" w14:textId="45568B75" w:rsidR="00706530" w:rsidRDefault="00BD0A52" w:rsidP="00BD0A52">
      <w:pPr>
        <w:pStyle w:val="Vir"/>
      </w:pPr>
      <w:r>
        <w:lastRenderedPageBreak/>
        <w:t>Vir: Ministrstvo za okolje in prostor</w:t>
      </w:r>
    </w:p>
    <w:p w14:paraId="1412D46F" w14:textId="185B4516" w:rsidR="00422D5D" w:rsidRDefault="00422D5D" w:rsidP="00422D5D">
      <w:pPr>
        <w:pStyle w:val="Naslov2"/>
      </w:pPr>
      <w:r>
        <w:t xml:space="preserve">Vlada o razrešitvi direktorice in imenovanju vršilke dolžnosti direktorice za davke </w:t>
      </w:r>
    </w:p>
    <w:p w14:paraId="316C68A3" w14:textId="551A72E1" w:rsidR="00422D5D" w:rsidRDefault="00422D5D" w:rsidP="00422D5D">
      <w:r>
        <w:t>Vlada je na današnji seji razrešila mag. Tino Humar s položaja generalne direktorice Direktorata za sistem davčnih, carinskih in drugih javnih prihodkov. Ob enem je izdala odločbo za imenovanje Barbare Prislan za vršilko dolžnosti generalnega direktorja Direktorata za sistem davčnih, carinskih in drugih javnih prihodkov na Ministrstvu za finance.</w:t>
      </w:r>
    </w:p>
    <w:p w14:paraId="49E5F56C" w14:textId="77777777" w:rsidR="00422D5D" w:rsidRDefault="00422D5D" w:rsidP="00422D5D"/>
    <w:p w14:paraId="26F7058A" w14:textId="77777777" w:rsidR="00422D5D" w:rsidRDefault="00422D5D" w:rsidP="00422D5D">
      <w:r>
        <w:t xml:space="preserve">Zakon o javnih uslužbencih določa, da funkcionar oziroma organ, pristojen za imenovanje, lahko na predlog funkcionarja, pristojnega za predlaganje imenovanja, v enem letu od nastopa funkcije razreši generalnega direktorja v ministrstvu, predstojnika vladne službe, generalnega sekretarja v ministrstvu, predstojnika organa v sestavi ministrstva, načelnika upravne enote in direktorja občinske uprave oziroma tajnika občine, ne glede na razloge iz drugega odstavka tega člena. </w:t>
      </w:r>
    </w:p>
    <w:p w14:paraId="5929DA8A" w14:textId="77777777" w:rsidR="00422D5D" w:rsidRDefault="00422D5D" w:rsidP="00422D5D"/>
    <w:p w14:paraId="6D9C4E2E" w14:textId="77777777" w:rsidR="00422D5D" w:rsidRDefault="00422D5D" w:rsidP="00422D5D">
      <w:r>
        <w:t>Zakon o javnih uslužbencih prav tako določa, da se naslednji dan po prenehanju položaja in do imenovanja novega uradnika na položaj brez javnega natečaja imenuje vršilec dolžnosti za največ šest mesecev.</w:t>
      </w:r>
    </w:p>
    <w:p w14:paraId="019C7014" w14:textId="77777777" w:rsidR="00422D5D" w:rsidRDefault="00422D5D" w:rsidP="00422D5D"/>
    <w:p w14:paraId="20702CC1" w14:textId="77777777" w:rsidR="00422D5D" w:rsidRDefault="00422D5D" w:rsidP="00422D5D">
      <w:r>
        <w:t xml:space="preserve">Vlada je za vršilko dolžnosti generalnega direktorja Direktorata za sistem davčnih, carinskih in drugih javnih prihodkov na Ministrstvu za finance, od 7. septembra 2026 do imenovanja novega generalnega direktorja, vendar največ za šest mesecev, to je najdlje do 6. marca 2027, tako imenovala Barbaro Prislan. </w:t>
      </w:r>
    </w:p>
    <w:p w14:paraId="40DDB406" w14:textId="0A71AD47" w:rsidR="00706530" w:rsidRDefault="00422D5D" w:rsidP="00422D5D">
      <w:pPr>
        <w:pStyle w:val="Vir"/>
      </w:pPr>
      <w:r>
        <w:t>Vir: Ministrstvo za finance</w:t>
      </w:r>
    </w:p>
    <w:p w14:paraId="16041517" w14:textId="752BAFFD" w:rsidR="00B7057D" w:rsidRDefault="00B7057D" w:rsidP="00B7057D">
      <w:pPr>
        <w:pStyle w:val="Naslov2"/>
      </w:pPr>
      <w:r>
        <w:t>Vlada o imenovanju člana strokovnega sveta Agencije za zavarovalni nadzor</w:t>
      </w:r>
    </w:p>
    <w:p w14:paraId="35A9E2AB" w14:textId="77777777" w:rsidR="00B7057D" w:rsidRDefault="00B7057D" w:rsidP="00B7057D">
      <w:r>
        <w:t>Vlada je na današnji seji odločila, da Državnemu zboru predlaga, da se za člana strokovnega sveta Agencije za zavarovalni nadzor (AZN) za mandatno obdobje šestih let imenuje Kristijana Zakška.</w:t>
      </w:r>
    </w:p>
    <w:p w14:paraId="41963C7C" w14:textId="77777777" w:rsidR="00B7057D" w:rsidRDefault="00B7057D" w:rsidP="00B7057D"/>
    <w:p w14:paraId="51698B01" w14:textId="6B4E9AD1" w:rsidR="00B7057D" w:rsidRDefault="00B7057D" w:rsidP="00B7057D">
      <w:r>
        <w:t>Zakon o zavarovalništvu predpisuje sestavo strokovnega sveta Agencije za zavarovalni nadzor na način, da strokovni svet sestavlja pet članov, od katerih je eden predsednik strokovnega sveta in od katerih najmanj dva nista zaposlena v AZN.</w:t>
      </w:r>
    </w:p>
    <w:p w14:paraId="0646F5C1" w14:textId="77777777" w:rsidR="00B7057D" w:rsidRDefault="00B7057D" w:rsidP="00B7057D"/>
    <w:p w14:paraId="59069574" w14:textId="40BBF8DC" w:rsidR="00B7057D" w:rsidRDefault="00B7057D" w:rsidP="00B7057D">
      <w:r>
        <w:t xml:space="preserve">Kristijan Zakšek je po izobrazbi magister prava in vrsto let deluje za mednarodni investicijski sklad privatnega kapitala. V svojem poslu se ukvarja z najzahtevnejšimi vprašanji s področja gospodarskega prava, izvaja celovito pravno podporo pri upravljanju korporacijskih zadev koncerna, s poudarkom na </w:t>
      </w:r>
      <w:proofErr w:type="spellStart"/>
      <w:r>
        <w:t>statusnopravnih</w:t>
      </w:r>
      <w:proofErr w:type="spellEnd"/>
      <w:r>
        <w:t xml:space="preserve"> vprašanjih, podporo pri regulativnih zadevah ter je odgovoren za razvoj in izvajanje skladnosti poslovanja, zlasti na področju preprečevanja pranja denarja. Kot pravni strokovnjak je pripravljal in izvajal </w:t>
      </w:r>
      <w:proofErr w:type="spellStart"/>
      <w:r>
        <w:t>korporacijskopravna</w:t>
      </w:r>
      <w:proofErr w:type="spellEnd"/>
      <w:r>
        <w:t xml:space="preserve"> prestrukturiranja (zlasti pripojitve / združitve) in </w:t>
      </w:r>
      <w:proofErr w:type="spellStart"/>
      <w:r>
        <w:t>statusnopravna</w:t>
      </w:r>
      <w:proofErr w:type="spellEnd"/>
      <w:r>
        <w:t xml:space="preserve"> preoblikovanja družb.</w:t>
      </w:r>
    </w:p>
    <w:p w14:paraId="4EB016CE" w14:textId="77777777" w:rsidR="00B7057D" w:rsidRDefault="00B7057D" w:rsidP="00B7057D"/>
    <w:p w14:paraId="6CA07926" w14:textId="3B9B44ED" w:rsidR="00B7057D" w:rsidRDefault="00B7057D" w:rsidP="00B7057D">
      <w:r>
        <w:t xml:space="preserve">Vlada meni, da bo s svojim znanjem in izkušnjami vsebinsko dopolnil sestavo obstoječega članstva strokovnega sveta Agencije za zavarovalni nadzor. </w:t>
      </w:r>
    </w:p>
    <w:p w14:paraId="60941038" w14:textId="6354AA3A" w:rsidR="00706530" w:rsidRDefault="00B7057D" w:rsidP="00B7057D">
      <w:pPr>
        <w:pStyle w:val="Vir"/>
      </w:pPr>
      <w:r>
        <w:t>Vir: Ministrstvo za finance</w:t>
      </w:r>
    </w:p>
    <w:p w14:paraId="1D9D2A3D" w14:textId="062764E1" w:rsidR="00B7057D" w:rsidRDefault="00B7057D" w:rsidP="00B7057D">
      <w:pPr>
        <w:pStyle w:val="Naslov2"/>
      </w:pPr>
      <w:r>
        <w:t>Vlada o odpoklicu in imenovanju člana nadzornega sveta gospodarske družbe HIT</w:t>
      </w:r>
    </w:p>
    <w:p w14:paraId="316A1883" w14:textId="77777777" w:rsidR="00B7057D" w:rsidRDefault="00B7057D" w:rsidP="00B7057D">
      <w:r>
        <w:t>Vlada je na današnji seji odpoklicala Veroniko Jaš Kralj kot članico nadzornega sveta gospodarske družbe HIT d. d. in za člana nadzornega sveta te družbe imenovala Marjana Zaharja.</w:t>
      </w:r>
    </w:p>
    <w:p w14:paraId="60175E44" w14:textId="77777777" w:rsidR="00B7057D" w:rsidRDefault="00B7057D" w:rsidP="00B7057D"/>
    <w:p w14:paraId="4E3B35D3" w14:textId="471086FC" w:rsidR="00B7057D" w:rsidRDefault="00B7057D" w:rsidP="00B7057D">
      <w:r>
        <w:t xml:space="preserve">Ker vlada na podlagi Zakona o igrah na srečo imenuje enega člana nadzornega sveta, jo je mogoče šteti kot upravičenega delničarja družbe, ki lahko kadarkoli odpokliče svojega člana in ga nadomesti z drugim članom. </w:t>
      </w:r>
    </w:p>
    <w:p w14:paraId="35F4110D" w14:textId="77777777" w:rsidR="00B7057D" w:rsidRDefault="00B7057D" w:rsidP="00B7057D"/>
    <w:p w14:paraId="508CD07E" w14:textId="7B88460B" w:rsidR="00B7057D" w:rsidRDefault="00B7057D" w:rsidP="00B7057D">
      <w:r>
        <w:t xml:space="preserve">Glede na navedeno je vlada odločila, da se dosedanjo članico nadzornega sveta Veroniko Jaš Kralj s te funkcije odpokliče in na njeno mesto imenuje Marjana Zaharja, za štiri leta od dneva imenovanja. </w:t>
      </w:r>
    </w:p>
    <w:p w14:paraId="3242D6DF" w14:textId="452760BE" w:rsidR="00706530" w:rsidRDefault="00B7057D" w:rsidP="00B7057D">
      <w:pPr>
        <w:pStyle w:val="Vir"/>
      </w:pPr>
      <w:r>
        <w:t>Vir: Ministrstvo za finance</w:t>
      </w:r>
    </w:p>
    <w:p w14:paraId="51D5CD92" w14:textId="5334AF80" w:rsidR="00093041" w:rsidRDefault="00093041" w:rsidP="00093041">
      <w:pPr>
        <w:pStyle w:val="Naslov2"/>
      </w:pPr>
      <w:r>
        <w:t>Vlada o odpoklicu in imenovanju člana nadzornega sveta Casinoja Portorož</w:t>
      </w:r>
    </w:p>
    <w:p w14:paraId="2CD556EF" w14:textId="77777777" w:rsidR="00093041" w:rsidRDefault="00093041" w:rsidP="00093041">
      <w:r>
        <w:t xml:space="preserve">Vlada je danes odpoklicala člana nadzornega sveta Casinoja Portorož Boruta </w:t>
      </w:r>
      <w:proofErr w:type="spellStart"/>
      <w:r>
        <w:t>Vujčiča</w:t>
      </w:r>
      <w:proofErr w:type="spellEnd"/>
      <w:r>
        <w:t xml:space="preserve"> in za novega člana imenovala Roberta Smrekarja, in sicer za obdobje štirih let od dneva imenovanja.</w:t>
      </w:r>
    </w:p>
    <w:p w14:paraId="0F74E1FF" w14:textId="77777777" w:rsidR="00093041" w:rsidRDefault="00093041" w:rsidP="00093041"/>
    <w:p w14:paraId="120EBEF1" w14:textId="77777777" w:rsidR="00093041" w:rsidRDefault="00093041" w:rsidP="00093041">
      <w:r>
        <w:t xml:space="preserve">Vlada na podlagi zakonodaje imenuje enega člana nadzornega sveta gospodarske družbe s koncesijo za prirejanje posebnih iger na srečo, možno pa jo je šteti tudi kot upravičenega delničarja družbe, ki lahko kadarkoli odpokliče svojega člana in ga nadomesti z drugim članom. </w:t>
      </w:r>
    </w:p>
    <w:p w14:paraId="5ABFEC14" w14:textId="77777777" w:rsidR="00093041" w:rsidRDefault="00093041" w:rsidP="00093041"/>
    <w:p w14:paraId="0FD0B4E1" w14:textId="77777777" w:rsidR="00093041" w:rsidRDefault="00093041" w:rsidP="00093041">
      <w:r>
        <w:t xml:space="preserve">Glede na to je vlada odločila, da se dosedanjega člana nadzornega sveta Boruta </w:t>
      </w:r>
      <w:proofErr w:type="spellStart"/>
      <w:r>
        <w:t>Vujčiča</w:t>
      </w:r>
      <w:proofErr w:type="spellEnd"/>
      <w:r>
        <w:t xml:space="preserve"> s te funkcije odpokliče in na njegovo mesto imenuje Roberta Smrekarja. Slovenski državni holding je sporočil, da je primeren za opravljanje te funkcije.</w:t>
      </w:r>
    </w:p>
    <w:p w14:paraId="4D3F4866" w14:textId="54B7C7A5" w:rsidR="00706530" w:rsidRDefault="00093041" w:rsidP="00093041">
      <w:pPr>
        <w:pStyle w:val="Vir"/>
      </w:pPr>
      <w:r>
        <w:t>Vir: Ministrstvo za finance</w:t>
      </w:r>
    </w:p>
    <w:p w14:paraId="25AB703C" w14:textId="1D50C53D" w:rsidR="00093041" w:rsidRDefault="00093041" w:rsidP="00093041">
      <w:pPr>
        <w:pStyle w:val="Naslov2"/>
      </w:pPr>
      <w:r>
        <w:t>Vlada o odpoklicu in imenovanju člana nadzornega sveta Loterije Slovenije</w:t>
      </w:r>
    </w:p>
    <w:p w14:paraId="605B62A9" w14:textId="77777777" w:rsidR="00093041" w:rsidRDefault="00093041" w:rsidP="00093041">
      <w:r>
        <w:t>Vlada je danes odpoklicala Roka Ponikvarja kot člana nadzornega sveta Loterije Slovenije in za novega člana imenovala Aleša Miheliča, in sicer za obdobje štirih let od dneva imenovanja.</w:t>
      </w:r>
    </w:p>
    <w:p w14:paraId="2CE4CCDB" w14:textId="77777777" w:rsidR="00093041" w:rsidRDefault="00093041" w:rsidP="00093041"/>
    <w:p w14:paraId="6093B0C5" w14:textId="77777777" w:rsidR="00093041" w:rsidRDefault="00093041" w:rsidP="00093041">
      <w:r>
        <w:t>Vlada na podlagi zakonodaje imenuje enega člana nadzornega sveta gospodarske družbe s koncesijo za trajno prirejanje klasične igre na srečo, šteti pa jo je mogoče tudi kot upravičenega delničarja družbe, ki lahko kadarkoli odpokliče svojega člana in ga nadomesti z drugim članom.</w:t>
      </w:r>
    </w:p>
    <w:p w14:paraId="1CF14CC9" w14:textId="77777777" w:rsidR="00093041" w:rsidRDefault="00093041" w:rsidP="00093041"/>
    <w:p w14:paraId="701B7EFA" w14:textId="77777777" w:rsidR="00093041" w:rsidRDefault="00093041" w:rsidP="00093041">
      <w:r>
        <w:t>Glede na navedeno je vlada odločila, da se dosedanjega člana nadzornega sveta Roka Ponikvarja s te funkcije odpokliče in na njegovo mesto imenuje Aleša Miheliča. Slovenski državni holding je sporočil, da je primeren za opravljanje te funkcije.</w:t>
      </w:r>
    </w:p>
    <w:p w14:paraId="390B9C33" w14:textId="69E3335B" w:rsidR="00706530" w:rsidRDefault="00093041" w:rsidP="00093041">
      <w:pPr>
        <w:pStyle w:val="Vir"/>
      </w:pPr>
      <w:r>
        <w:t>Vir: Ministrstvo za finance</w:t>
      </w:r>
    </w:p>
    <w:p w14:paraId="3B5697A9" w14:textId="3559EC0F" w:rsidR="00706530" w:rsidRDefault="002E735A" w:rsidP="006E5667">
      <w:pPr>
        <w:pStyle w:val="Naslov2"/>
      </w:pPr>
      <w:r>
        <w:t>U</w:t>
      </w:r>
      <w:r w:rsidR="00706530">
        <w:t>stanovit</w:t>
      </w:r>
      <w:r>
        <w:t>ev</w:t>
      </w:r>
      <w:r w:rsidR="00706530">
        <w:t xml:space="preserve"> </w:t>
      </w:r>
      <w:r>
        <w:t>d</w:t>
      </w:r>
      <w:r w:rsidR="00706530">
        <w:t xml:space="preserve">elovne skupine vlade za podporo izvajanju Slovenske strategije trajnostne pametne specializacije </w:t>
      </w:r>
    </w:p>
    <w:p w14:paraId="1340B8B5" w14:textId="6E8A199C" w:rsidR="002E735A" w:rsidRDefault="002E735A" w:rsidP="002E735A">
      <w:r>
        <w:t xml:space="preserve">Vlada Republike Slovenije je ustanovila Delovno skupino Vlade Republike Slovenije za podporo izvajanju Slovenske strategije trajnostne pametne specializacije (S5). </w:t>
      </w:r>
    </w:p>
    <w:p w14:paraId="3EE79968" w14:textId="77777777" w:rsidR="002E735A" w:rsidRDefault="002E735A" w:rsidP="002E735A"/>
    <w:p w14:paraId="34FABDAA" w14:textId="43055701" w:rsidR="002E735A" w:rsidRDefault="002E735A" w:rsidP="002E735A">
      <w:r>
        <w:t>Delovna skupina državnih sekretarjev za podporo izvajanju Slovenske strategije trajnostne pametne specializacije (S5) bo tudi v mandatu 2026 zagotavljala usklajeno upravljanje in spremljanje izvajanja strategije. Ker se izvajanje S5 nadaljuje skozi celotno programsko obdobje 2021-2027, je za zagotavljanje kontinuitete njenega upravljanja potrebno imenovanje nove delovne skupine.</w:t>
      </w:r>
    </w:p>
    <w:p w14:paraId="3074DF54" w14:textId="77777777" w:rsidR="002E735A" w:rsidRDefault="002E735A" w:rsidP="002E735A"/>
    <w:p w14:paraId="6BC68082" w14:textId="55F4EEAA" w:rsidR="002E735A" w:rsidRDefault="002E735A" w:rsidP="002E735A">
      <w:r>
        <w:t xml:space="preserve">S5 je ključni strateški okvir za usmerjanje raziskav, razvoja in inovacij v Sloveniji ter eden od omogočitvenih pogojev za dostop do dela sredstev Evropskega sklada za regionalni razvoj in Sklada </w:t>
      </w:r>
      <w:r>
        <w:lastRenderedPageBreak/>
        <w:t>za pravični prehod. Strategija povezuje državo, raziskovalne organizacije, gospodarstvo in druge razvojne deležnike z namenom spodbujanja konkurenčnosti, inovacij in trajnostnega razvoja Slovenije. Upravljanje strategije poteka na treh ravneh: strateške usmeritve določa Vlada Republike Slovenije, izvajanje ukrepov zagotavljajo ministrstva in pristojne institucije, razvojne deležnike pa povezujejo strateška razvojno-inovacijska partnerstva (SRIP-i).</w:t>
      </w:r>
    </w:p>
    <w:p w14:paraId="6C47BF4B" w14:textId="4C53E5C3" w:rsidR="002E735A" w:rsidRDefault="002E735A" w:rsidP="002E735A">
      <w:pPr>
        <w:pStyle w:val="Vir"/>
      </w:pPr>
      <w:r w:rsidRPr="002E735A">
        <w:t>Vir: Ministrstvo za lokalno samoupravo, kohezijo in regionalni razvoj</w:t>
      </w:r>
    </w:p>
    <w:p w14:paraId="48F8A493" w14:textId="0EA95249" w:rsidR="00B55629" w:rsidRDefault="00B55629" w:rsidP="00B55629">
      <w:pPr>
        <w:pStyle w:val="Naslov2"/>
      </w:pPr>
      <w:r>
        <w:t>Sprememba v medresorski koordinacijski skupini za implementacijo končne razsodbe arbitražnega sodišča</w:t>
      </w:r>
    </w:p>
    <w:p w14:paraId="5E6BA690" w14:textId="02D41156" w:rsidR="00B55629" w:rsidRDefault="00B55629" w:rsidP="00B55629">
      <w:r>
        <w:t>Vlada Republike Slovenije je sprejela sklep o spremembi sklepa o ustanovitvi medresorske koordinacijske skupine za implementacijo končne razsodbe arbitražnega sodišča, ki je odločilo o meji med Republiko Slovenijo in Republiko Hrvaško, z dne 29. junija 2017.</w:t>
      </w:r>
    </w:p>
    <w:p w14:paraId="62E1C36B" w14:textId="77777777" w:rsidR="00B55629" w:rsidRDefault="00B55629" w:rsidP="00B55629"/>
    <w:p w14:paraId="0A12C94C" w14:textId="77777777" w:rsidR="00B55629" w:rsidRDefault="00B55629" w:rsidP="00B55629">
      <w:r>
        <w:t xml:space="preserve">V medresorski koordinacijski skupini za implementacijo končne razsodbe arbitražnega sodišča o meji med Republiko Slovenijo in Republiko Hrvaško, z dne 29. junija 2017 se: </w:t>
      </w:r>
    </w:p>
    <w:p w14:paraId="0DC131E5" w14:textId="35595774" w:rsidR="00B55629" w:rsidRDefault="00B55629" w:rsidP="00B55629">
      <w:pPr>
        <w:pStyle w:val="Odstavekseznama"/>
        <w:numPr>
          <w:ilvl w:val="0"/>
          <w:numId w:val="20"/>
        </w:numPr>
      </w:pPr>
      <w:r>
        <w:t>razreši Vojko Volk, vodja, in namesto njega imenuje dr. Igor Senčar, državni sekretar, Kabinet predsednika Vlade Republike Slovenija;</w:t>
      </w:r>
    </w:p>
    <w:p w14:paraId="47A3C408" w14:textId="1292620B" w:rsidR="00B55629" w:rsidRDefault="00B55629" w:rsidP="00B55629">
      <w:pPr>
        <w:pStyle w:val="Odstavekseznama"/>
        <w:numPr>
          <w:ilvl w:val="0"/>
          <w:numId w:val="20"/>
        </w:numPr>
      </w:pPr>
      <w:r>
        <w:t>razreši mag. Marko Štucin, član, in namesto njega imenuje Tamara Weingerl Požar, državna sekretarka, Ministrstvo za zunanje in evropske zadeve;</w:t>
      </w:r>
    </w:p>
    <w:p w14:paraId="70A43654" w14:textId="22F801D7" w:rsidR="00B55629" w:rsidRDefault="00B55629" w:rsidP="00B55629">
      <w:pPr>
        <w:pStyle w:val="Odstavekseznama"/>
        <w:numPr>
          <w:ilvl w:val="0"/>
          <w:numId w:val="20"/>
        </w:numPr>
      </w:pPr>
      <w:r>
        <w:t>razreši Helga Dobrin, članica, in namesto nje imenuje Denis Zobarič, državni sekretar, Ministrstvo za notranje zadeve in javno upravo;</w:t>
      </w:r>
    </w:p>
    <w:p w14:paraId="66C52308" w14:textId="67A51813" w:rsidR="00B55629" w:rsidRDefault="00B55629" w:rsidP="00B55629">
      <w:pPr>
        <w:pStyle w:val="Odstavekseznama"/>
        <w:numPr>
          <w:ilvl w:val="0"/>
          <w:numId w:val="20"/>
        </w:numPr>
      </w:pPr>
      <w:r>
        <w:t>razreši mag. Matej Skočir, član, in namesto njega imenuje Peter Lovšin, državni sekretar, Ministrstvo za okolje in prostor;</w:t>
      </w:r>
    </w:p>
    <w:p w14:paraId="33DDE71D" w14:textId="07A4DC27" w:rsidR="00B55629" w:rsidRDefault="00B55629" w:rsidP="00B55629">
      <w:pPr>
        <w:pStyle w:val="Odstavekseznama"/>
        <w:numPr>
          <w:ilvl w:val="0"/>
          <w:numId w:val="20"/>
        </w:numPr>
      </w:pPr>
      <w:r>
        <w:t>razreši dr. Igor Šoltes, član, in namesto njega imenuje mag. Gašper Dovžan, državni sekretar, Ministrstvo za pravosodje;</w:t>
      </w:r>
    </w:p>
    <w:p w14:paraId="62F80B04" w14:textId="3B74A916" w:rsidR="00B55629" w:rsidRDefault="00B55629" w:rsidP="00B55629">
      <w:pPr>
        <w:pStyle w:val="Odstavekseznama"/>
        <w:numPr>
          <w:ilvl w:val="0"/>
          <w:numId w:val="20"/>
        </w:numPr>
      </w:pPr>
      <w:r>
        <w:t>razreši mag. Andrej Rajh, član, in namesto njega imenuje mag. Damijan Jaklin, državni sekretar, Ministrstvo za infrastrukturo in energetiko;</w:t>
      </w:r>
    </w:p>
    <w:p w14:paraId="60CB7D3B" w14:textId="25C1DE6B" w:rsidR="00B55629" w:rsidRDefault="00B55629" w:rsidP="00B55629">
      <w:pPr>
        <w:pStyle w:val="Odstavekseznama"/>
        <w:numPr>
          <w:ilvl w:val="0"/>
          <w:numId w:val="20"/>
        </w:numPr>
      </w:pPr>
      <w:r>
        <w:t>razreši dr. Darij Krajčič, član, in namesto njega imenuje Mojca Erjavec, državna sekretarka, Ministrstvo za kmetijstvo;</w:t>
      </w:r>
    </w:p>
    <w:p w14:paraId="79902608" w14:textId="4213A90D" w:rsidR="00B55629" w:rsidRDefault="00B55629" w:rsidP="00B55629">
      <w:pPr>
        <w:pStyle w:val="Odstavekseznama"/>
        <w:numPr>
          <w:ilvl w:val="0"/>
          <w:numId w:val="20"/>
        </w:numPr>
      </w:pPr>
      <w:r>
        <w:t>razreši Joško Kladivnik, član, in namesto njega imenuje Janez Stušek, direktor, Slovenska obveščevalno-varnostna agencija;</w:t>
      </w:r>
    </w:p>
    <w:p w14:paraId="2A100CCD" w14:textId="32082F1D" w:rsidR="00B55629" w:rsidRDefault="00B55629" w:rsidP="00B55629">
      <w:pPr>
        <w:pStyle w:val="Odstavekseznama"/>
        <w:numPr>
          <w:ilvl w:val="0"/>
          <w:numId w:val="20"/>
        </w:numPr>
      </w:pPr>
      <w:r>
        <w:t>razreši dr. Marko Rakovec, član, in namesto njega imenuje mag. Anita Pipan ,v.d. generalne direktorice, Ministrstvo za zunanje in evropske zadeve;</w:t>
      </w:r>
    </w:p>
    <w:p w14:paraId="44C7CCBE" w14:textId="5FA37340" w:rsidR="00B55629" w:rsidRDefault="00B55629" w:rsidP="00B55629">
      <w:pPr>
        <w:pStyle w:val="Odstavekseznama"/>
        <w:numPr>
          <w:ilvl w:val="0"/>
          <w:numId w:val="20"/>
        </w:numPr>
      </w:pPr>
      <w:r>
        <w:t>razreši dr. Andrej Benedejčič, član, in namesto njega imenuje Miha Erman, svetovalec za zunanjo politiko, Kabinet predsednika Vlade Republike Slovenije.</w:t>
      </w:r>
    </w:p>
    <w:p w14:paraId="4D1FF9BD" w14:textId="54366AAB" w:rsidR="00706530" w:rsidRDefault="00B55629" w:rsidP="00B55629">
      <w:pPr>
        <w:pStyle w:val="Vir"/>
      </w:pPr>
      <w:r>
        <w:t>Vir: Ministrstvo za zunanje in evropske zadeve Republike Slovenije</w:t>
      </w:r>
    </w:p>
    <w:p w14:paraId="0CD9B5BE" w14:textId="587EADC2" w:rsidR="00706530" w:rsidRPr="006C6190" w:rsidRDefault="006C6190" w:rsidP="006C6190">
      <w:pPr>
        <w:pStyle w:val="Naslov2"/>
      </w:pPr>
      <w:r>
        <w:t>B</w:t>
      </w:r>
      <w:r w:rsidR="00706530" w:rsidRPr="006C6190">
        <w:t>rezplačn</w:t>
      </w:r>
      <w:r>
        <w:t>i</w:t>
      </w:r>
      <w:r w:rsidR="00706530" w:rsidRPr="006C6190">
        <w:t xml:space="preserve"> prenos državnega premoženja na Občino Ajdovščina</w:t>
      </w:r>
    </w:p>
    <w:p w14:paraId="4A06FD59" w14:textId="5AA8BD05" w:rsidR="00560C9E" w:rsidRPr="00560C9E" w:rsidRDefault="00560C9E" w:rsidP="00560C9E">
      <w:r w:rsidRPr="00560C9E">
        <w:t>Vlada Republike Slovenije se je na današnji seji sprejela sklep o brezplačnem prenosu nepremičnin v lasti države na Občino Ajdovščina za izvedbo projekta ureditve prostorov za potrebe centra za varstvo in oskrbo starejših ter oseb z motnjami v duševnem razvoju. Ocenjena vrednost nepremičnin, ki se prenašajo na občino, znaša 1,35 milijona evra.</w:t>
      </w:r>
    </w:p>
    <w:p w14:paraId="09322D68" w14:textId="77777777" w:rsidR="00560C9E" w:rsidRPr="00560C9E" w:rsidRDefault="00560C9E" w:rsidP="00560C9E"/>
    <w:p w14:paraId="65049BBC" w14:textId="77777777" w:rsidR="00560C9E" w:rsidRPr="00560C9E" w:rsidRDefault="00560C9E" w:rsidP="00560C9E">
      <w:r w:rsidRPr="00560C9E">
        <w:t xml:space="preserve">S prenosom nepremičnin bodo ustvarjeni pogoji za razvoj novih socialnovarstvenih in oskrbovalnih storitev, namenjenih starejšim ter osebam z motnjami v duševnem razvoju. Projekt bo pomembno prispeval k izboljšanju kakovosti življenja ranljivih skupin prebivalstva ter krepitvi skupnostnih oblik bivanja in oskrbe. V okviru projekta bo Občina prenovila približno 700 kvadratnih metrov obstoječih prostorov in jih prilagodila za izvajanje socialnovarstvenih dejavnosti. Prenova bo vključevala </w:t>
      </w:r>
      <w:r w:rsidRPr="00560C9E">
        <w:lastRenderedPageBreak/>
        <w:t>gradbena in instalacijska dela, posodobitev ogrevalnih in prezračevalnih sistemov, ureditev okolice ter nabavo potrebne opreme za izvajanje oskrbe in varstva uporabnikov.</w:t>
      </w:r>
    </w:p>
    <w:p w14:paraId="7CD77AE5" w14:textId="77777777" w:rsidR="00560C9E" w:rsidRPr="00560C9E" w:rsidRDefault="00560C9E" w:rsidP="00560C9E"/>
    <w:p w14:paraId="7192B034" w14:textId="77777777" w:rsidR="00560C9E" w:rsidRPr="00560C9E" w:rsidRDefault="00560C9E" w:rsidP="00560C9E">
      <w:r w:rsidRPr="00560C9E">
        <w:t>Projekt bo občini Ajdovščina in širši regiji prinesel nove kapacitete za skupnostno bivanje starejših oseb ter oseb z motnjami v duševnem razvoju, hkrati pa bo ustvaril tudi devet novih delovnih mest. Uporabnikom bo zagotovljena celovita oskrba ter dodatne možnosti za izobraževanje in usposabljanje.</w:t>
      </w:r>
    </w:p>
    <w:p w14:paraId="237EB567" w14:textId="77777777" w:rsidR="00560C9E" w:rsidRPr="00560C9E" w:rsidRDefault="00560C9E" w:rsidP="00560C9E"/>
    <w:p w14:paraId="4F01E34B" w14:textId="77777777" w:rsidR="00560C9E" w:rsidRPr="00560C9E" w:rsidRDefault="00560C9E" w:rsidP="00560C9E">
      <w:r w:rsidRPr="00560C9E">
        <w:t>Naložba bo izboljšala dostop do storitev oskrbe, okrepila socialno vključenost in kakovost bivanja ter prispevala k uravnoteženemu razvoju lokalnega okolja in širše regije.</w:t>
      </w:r>
    </w:p>
    <w:p w14:paraId="75A828B9" w14:textId="489E25FE" w:rsidR="006C6190" w:rsidRDefault="006C6190" w:rsidP="006C6190">
      <w:pPr>
        <w:pStyle w:val="Vir"/>
      </w:pPr>
      <w:r w:rsidRPr="006C6190">
        <w:t>Vir: Ministrstvo za lokalno samoupravo, kohezijo in regionalni razvoj</w:t>
      </w:r>
    </w:p>
    <w:p w14:paraId="531AF1C6" w14:textId="77777777" w:rsidR="00A732B1" w:rsidRDefault="00A732B1" w:rsidP="00A732B1">
      <w:pPr>
        <w:pStyle w:val="Naslov2"/>
      </w:pPr>
      <w:r>
        <w:t xml:space="preserve">Predlog Vlade Republike Slovenija za kandidaturo za posebno predstavnico Evropske unije za človekove pravice </w:t>
      </w:r>
    </w:p>
    <w:p w14:paraId="3CFBBAE7" w14:textId="77777777" w:rsidR="00A732B1" w:rsidRDefault="00A732B1" w:rsidP="00A732B1">
      <w:r>
        <w:t xml:space="preserve">Vlada Republike Slovenije je predlagala prof. dr. Verico Trstenjak kot kandidatko za posebno predstavnico Evropske unije za človekove pravice za obdobje od 1. 9. 2026 do 29. 2. 2028 in naložila ministrstvu za zunanje in evropske zadeve, da najavi kandidaturo in izvede vse potrebne aktivnosti za pridobitev podpore tej kandidaturi.   </w:t>
      </w:r>
    </w:p>
    <w:p w14:paraId="203DFF32" w14:textId="77777777" w:rsidR="00A732B1" w:rsidRDefault="00A732B1" w:rsidP="00A732B1"/>
    <w:p w14:paraId="0573DB63" w14:textId="77777777" w:rsidR="00A732B1" w:rsidRDefault="00A732B1" w:rsidP="00A732B1">
      <w:r>
        <w:t xml:space="preserve">Prof. dr. Verica Trstenjak je priznana slovenska pravnica z obsežnimi mednarodnimi izkušnjami, ki se skozi celotno poklicno kariero posveča človekovim pravicam in temeljnim svoboščinam. V času svojega poklicnega udejstvovanja je zasedala položaje tako v različnih nacionalnih javnih in izobraževalnih institucijah. Bila je tudi članica različnih mednarodnih mehanizmov. Pri svojem delu izkazuje zavezanost spodbujanju vladavine prava, demokracije ter človekovih pravic in temeljnih svoboščin. Na teh področjih deluje že več kot 30 let, v tem času je pridobila izkušnje tako v akademskem okolju: kot profesorica je delovala na več evropskih univerzah, med drugim na Univerzi na Dunaju, na Univerzi v Ljubljani in na Univerzi v Mariboru, kjer je predavala o pravu EU in o človekovih pravicah. Od 2026 je tudi podpredsednica Evropske akademije znanosti in umetnosti (EASA – </w:t>
      </w:r>
      <w:proofErr w:type="spellStart"/>
      <w:r>
        <w:t>European</w:t>
      </w:r>
      <w:proofErr w:type="spellEnd"/>
      <w:r>
        <w:t xml:space="preserve"> </w:t>
      </w:r>
      <w:proofErr w:type="spellStart"/>
      <w:r>
        <w:t>Academy</w:t>
      </w:r>
      <w:proofErr w:type="spellEnd"/>
      <w:r>
        <w:t xml:space="preserve"> of Sciences and Arts). Je tudi avtorica številnih akademskih člankov s področja človekovih pravic in komentarja k Listini EU o temeljnih pravicah v slovenščini. Izkušnje ima tudi iz opravljanja nalog funkcionarja; med letoma 1996 in 2000 je bila državna sekretarka za znanost na tedanjem Ministrstvu za znanost in tehnologijo Republike Slovenije. Pri svojem delu sodeluje tudi z nevladnimi organizacijami, med drugim je dejavna v Evropskem združenju pravnic (EWLA- </w:t>
      </w:r>
      <w:proofErr w:type="spellStart"/>
      <w:r>
        <w:t>European</w:t>
      </w:r>
      <w:proofErr w:type="spellEnd"/>
      <w:r>
        <w:t xml:space="preserve"> </w:t>
      </w:r>
      <w:proofErr w:type="spellStart"/>
      <w:r>
        <w:t>Women</w:t>
      </w:r>
      <w:proofErr w:type="spellEnd"/>
      <w:r>
        <w:t xml:space="preserve"> </w:t>
      </w:r>
      <w:proofErr w:type="spellStart"/>
      <w:r>
        <w:t>Lawyers</w:t>
      </w:r>
      <w:proofErr w:type="spellEnd"/>
      <w:r>
        <w:t xml:space="preserve"> </w:t>
      </w:r>
      <w:proofErr w:type="spellStart"/>
      <w:r>
        <w:t>Association</w:t>
      </w:r>
      <w:proofErr w:type="spellEnd"/>
      <w:r>
        <w:t xml:space="preserve">), v okviru katerega vodi slovensko združenje. V zadnjih 25 letih je opravljala tudi več različnih funkcij v mednarodnih organizacijah in institucijah EU; med drugim je bila nadomestna članica Beneške komisije Sveta Evrope, sodnica in nadomestna sodnica na Sodišču EU ter generalna tožilka na Sodišču EU, bila je članica upravnega odbora in izvršnega odbora Agencije EU za temeljne pravice (FRA – EU </w:t>
      </w:r>
      <w:proofErr w:type="spellStart"/>
      <w:r>
        <w:t>Agency</w:t>
      </w:r>
      <w:proofErr w:type="spellEnd"/>
      <w:r>
        <w:t xml:space="preserve"> for </w:t>
      </w:r>
      <w:proofErr w:type="spellStart"/>
      <w:r>
        <w:t>Fundamental</w:t>
      </w:r>
      <w:proofErr w:type="spellEnd"/>
      <w:r>
        <w:t xml:space="preserve"> </w:t>
      </w:r>
      <w:proofErr w:type="spellStart"/>
      <w:r>
        <w:t>Rights</w:t>
      </w:r>
      <w:proofErr w:type="spellEnd"/>
      <w:r>
        <w:t xml:space="preserve">) in je trenutna članica Upravnega odbora za pregled (ABOR- Administrative Board of </w:t>
      </w:r>
      <w:proofErr w:type="spellStart"/>
      <w:r>
        <w:t>Review</w:t>
      </w:r>
      <w:proofErr w:type="spellEnd"/>
      <w:r>
        <w:t>) pri Evropski centralni banki.</w:t>
      </w:r>
    </w:p>
    <w:p w14:paraId="4BACFA94" w14:textId="40E0CFCD" w:rsidR="00A732B1" w:rsidRPr="00A732B1" w:rsidRDefault="00A732B1" w:rsidP="00A732B1">
      <w:pPr>
        <w:pStyle w:val="Vir"/>
      </w:pPr>
      <w:r>
        <w:t>Vir: Ministrstvo za zunanje in evropske zadeve Republike Slovenije</w:t>
      </w:r>
    </w:p>
    <w:sectPr w:rsidR="00A732B1" w:rsidRPr="00A732B1" w:rsidSect="00F01966">
      <w:type w:val="continuous"/>
      <w:pgSz w:w="11906" w:h="16838"/>
      <w:pgMar w:top="1135" w:right="1417" w:bottom="1417" w:left="1417" w:header="141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F067D" w14:textId="77777777" w:rsidR="00285156" w:rsidRDefault="00285156" w:rsidP="00750D01">
      <w:pPr>
        <w:spacing w:line="240" w:lineRule="auto"/>
      </w:pPr>
      <w:r>
        <w:separator/>
      </w:r>
    </w:p>
  </w:endnote>
  <w:endnote w:type="continuationSeparator" w:id="0">
    <w:p w14:paraId="493A4527" w14:textId="77777777" w:rsidR="00285156" w:rsidRDefault="00285156" w:rsidP="00750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A1D4" w14:textId="77777777" w:rsidR="00285156" w:rsidRDefault="00285156" w:rsidP="00750D01">
      <w:pPr>
        <w:spacing w:line="240" w:lineRule="auto"/>
      </w:pPr>
      <w:r>
        <w:separator/>
      </w:r>
    </w:p>
  </w:footnote>
  <w:footnote w:type="continuationSeparator" w:id="0">
    <w:p w14:paraId="03784067" w14:textId="77777777" w:rsidR="00285156" w:rsidRDefault="00285156" w:rsidP="00750D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B71" w14:textId="77777777" w:rsidR="009540E4" w:rsidRPr="00110CBD" w:rsidRDefault="009540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F38C" w14:textId="1CA9CECA" w:rsidR="00F01966" w:rsidRDefault="00F01966">
    <w:pPr>
      <w:pStyle w:val="Glava"/>
    </w:pPr>
    <w:r>
      <w:rPr>
        <w:noProof/>
      </w:rPr>
      <w:drawing>
        <wp:anchor distT="0" distB="0" distL="114300" distR="114300" simplePos="0" relativeHeight="251660288" behindDoc="0" locked="0" layoutInCell="1" allowOverlap="1" wp14:anchorId="3B4E3537" wp14:editId="27ACADE6">
          <wp:simplePos x="0" y="0"/>
          <wp:positionH relativeFrom="column">
            <wp:posOffset>-742950</wp:posOffset>
          </wp:positionH>
          <wp:positionV relativeFrom="paragraph">
            <wp:posOffset>387098</wp:posOffset>
          </wp:positionV>
          <wp:extent cx="2216989" cy="329086"/>
          <wp:effectExtent l="0" t="0" r="0" b="0"/>
          <wp:wrapNone/>
          <wp:docPr id="2" name="Slika 2" descr="Slika, ki vsebuje besede grafika, simbol, risank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grafika, simbol, risanka,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989" cy="329086"/>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880"/>
    <w:multiLevelType w:val="hybridMultilevel"/>
    <w:tmpl w:val="771E3FA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D13257"/>
    <w:multiLevelType w:val="hybridMultilevel"/>
    <w:tmpl w:val="BA9200B4"/>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D92088"/>
    <w:multiLevelType w:val="hybridMultilevel"/>
    <w:tmpl w:val="8DA201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2D6DF9"/>
    <w:multiLevelType w:val="hybridMultilevel"/>
    <w:tmpl w:val="6276D6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2D2AC2"/>
    <w:multiLevelType w:val="hybridMultilevel"/>
    <w:tmpl w:val="056094C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5D2CF9"/>
    <w:multiLevelType w:val="hybridMultilevel"/>
    <w:tmpl w:val="1CDA2A0A"/>
    <w:lvl w:ilvl="0" w:tplc="5044B500">
      <w:start w:val="1"/>
      <w:numFmt w:val="bullet"/>
      <w:lvlText w:val=""/>
      <w:lvlJc w:val="left"/>
      <w:pPr>
        <w:ind w:left="720" w:hanging="360"/>
      </w:pPr>
      <w:rPr>
        <w:rFonts w:ascii="Symbol" w:hAnsi="Symbol" w:hint="default"/>
      </w:rPr>
    </w:lvl>
    <w:lvl w:ilvl="1" w:tplc="41860F60">
      <w:start w:val="20"/>
      <w:numFmt w:val="bullet"/>
      <w:lvlText w:val="-"/>
      <w:lvlJc w:val="left"/>
      <w:pPr>
        <w:ind w:left="1650" w:hanging="57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CE301C"/>
    <w:multiLevelType w:val="hybridMultilevel"/>
    <w:tmpl w:val="70F850B2"/>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5E3891"/>
    <w:multiLevelType w:val="hybridMultilevel"/>
    <w:tmpl w:val="93080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533FC0"/>
    <w:multiLevelType w:val="hybridMultilevel"/>
    <w:tmpl w:val="7AFEF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547F21"/>
    <w:multiLevelType w:val="hybridMultilevel"/>
    <w:tmpl w:val="E7AC3BD4"/>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C90CBE"/>
    <w:multiLevelType w:val="hybridMultilevel"/>
    <w:tmpl w:val="F1F83CB2"/>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700687"/>
    <w:multiLevelType w:val="hybridMultilevel"/>
    <w:tmpl w:val="5236662C"/>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F84D0F"/>
    <w:multiLevelType w:val="hybridMultilevel"/>
    <w:tmpl w:val="B07AB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BD65D3"/>
    <w:multiLevelType w:val="hybridMultilevel"/>
    <w:tmpl w:val="35043D9E"/>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292655"/>
    <w:multiLevelType w:val="hybridMultilevel"/>
    <w:tmpl w:val="922E941E"/>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8271FA"/>
    <w:multiLevelType w:val="hybridMultilevel"/>
    <w:tmpl w:val="DAEC4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FE428B"/>
    <w:multiLevelType w:val="hybridMultilevel"/>
    <w:tmpl w:val="A35EC1EC"/>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1406EF5"/>
    <w:multiLevelType w:val="hybridMultilevel"/>
    <w:tmpl w:val="C582AAB6"/>
    <w:lvl w:ilvl="0" w:tplc="9BB603B4">
      <w:start w:val="1"/>
      <w:numFmt w:val="bullet"/>
      <w:pStyle w:val="Odstavekseznam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4629AA"/>
    <w:multiLevelType w:val="hybridMultilevel"/>
    <w:tmpl w:val="20A6D6B8"/>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A0D175E"/>
    <w:multiLevelType w:val="hybridMultilevel"/>
    <w:tmpl w:val="3F46B55A"/>
    <w:lvl w:ilvl="0" w:tplc="5044B5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76576364">
    <w:abstractNumId w:val="17"/>
  </w:num>
  <w:num w:numId="2" w16cid:durableId="984821814">
    <w:abstractNumId w:val="12"/>
  </w:num>
  <w:num w:numId="3" w16cid:durableId="150218247">
    <w:abstractNumId w:val="0"/>
  </w:num>
  <w:num w:numId="4" w16cid:durableId="1026903286">
    <w:abstractNumId w:val="13"/>
  </w:num>
  <w:num w:numId="5" w16cid:durableId="231817878">
    <w:abstractNumId w:val="5"/>
  </w:num>
  <w:num w:numId="6" w16cid:durableId="2110814889">
    <w:abstractNumId w:val="19"/>
  </w:num>
  <w:num w:numId="7" w16cid:durableId="695153758">
    <w:abstractNumId w:val="7"/>
  </w:num>
  <w:num w:numId="8" w16cid:durableId="853298866">
    <w:abstractNumId w:val="10"/>
  </w:num>
  <w:num w:numId="9" w16cid:durableId="1789348953">
    <w:abstractNumId w:val="4"/>
  </w:num>
  <w:num w:numId="10" w16cid:durableId="1415012333">
    <w:abstractNumId w:val="15"/>
  </w:num>
  <w:num w:numId="11" w16cid:durableId="886650520">
    <w:abstractNumId w:val="8"/>
  </w:num>
  <w:num w:numId="12" w16cid:durableId="1634292242">
    <w:abstractNumId w:val="14"/>
  </w:num>
  <w:num w:numId="13" w16cid:durableId="1385835999">
    <w:abstractNumId w:val="16"/>
  </w:num>
  <w:num w:numId="14" w16cid:durableId="335963663">
    <w:abstractNumId w:val="6"/>
  </w:num>
  <w:num w:numId="15" w16cid:durableId="1544781011">
    <w:abstractNumId w:val="1"/>
  </w:num>
  <w:num w:numId="16" w16cid:durableId="1325279547">
    <w:abstractNumId w:val="18"/>
  </w:num>
  <w:num w:numId="17" w16cid:durableId="1444761782">
    <w:abstractNumId w:val="2"/>
  </w:num>
  <w:num w:numId="18" w16cid:durableId="1224095421">
    <w:abstractNumId w:val="11"/>
  </w:num>
  <w:num w:numId="19" w16cid:durableId="2103604102">
    <w:abstractNumId w:val="3"/>
  </w:num>
  <w:num w:numId="20" w16cid:durableId="19914740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E4"/>
    <w:rsid w:val="000318E4"/>
    <w:rsid w:val="00050A56"/>
    <w:rsid w:val="000610D5"/>
    <w:rsid w:val="00076DF7"/>
    <w:rsid w:val="00085D04"/>
    <w:rsid w:val="00087069"/>
    <w:rsid w:val="00087A14"/>
    <w:rsid w:val="000928C7"/>
    <w:rsid w:val="00093041"/>
    <w:rsid w:val="00097B85"/>
    <w:rsid w:val="000B101A"/>
    <w:rsid w:val="000B1D39"/>
    <w:rsid w:val="000C4B9F"/>
    <w:rsid w:val="000D5520"/>
    <w:rsid w:val="000E0657"/>
    <w:rsid w:val="000E4F81"/>
    <w:rsid w:val="00110932"/>
    <w:rsid w:val="00110B8F"/>
    <w:rsid w:val="00111A16"/>
    <w:rsid w:val="00113F85"/>
    <w:rsid w:val="00122A23"/>
    <w:rsid w:val="00125753"/>
    <w:rsid w:val="0012724F"/>
    <w:rsid w:val="0013016C"/>
    <w:rsid w:val="00144DB8"/>
    <w:rsid w:val="001602C9"/>
    <w:rsid w:val="00161638"/>
    <w:rsid w:val="0016530C"/>
    <w:rsid w:val="001673A5"/>
    <w:rsid w:val="00167825"/>
    <w:rsid w:val="00173343"/>
    <w:rsid w:val="00196F0F"/>
    <w:rsid w:val="001B01DD"/>
    <w:rsid w:val="001B42F9"/>
    <w:rsid w:val="001C3560"/>
    <w:rsid w:val="001C5F19"/>
    <w:rsid w:val="001D06DB"/>
    <w:rsid w:val="001D4277"/>
    <w:rsid w:val="001D69D6"/>
    <w:rsid w:val="001E6692"/>
    <w:rsid w:val="001F51BC"/>
    <w:rsid w:val="001F7F63"/>
    <w:rsid w:val="00202CA2"/>
    <w:rsid w:val="00203CAB"/>
    <w:rsid w:val="00203F5F"/>
    <w:rsid w:val="00215140"/>
    <w:rsid w:val="00220CDD"/>
    <w:rsid w:val="0022511A"/>
    <w:rsid w:val="00231021"/>
    <w:rsid w:val="00236C0A"/>
    <w:rsid w:val="002434F1"/>
    <w:rsid w:val="002501CE"/>
    <w:rsid w:val="00283886"/>
    <w:rsid w:val="00285156"/>
    <w:rsid w:val="002856E5"/>
    <w:rsid w:val="002C0766"/>
    <w:rsid w:val="002C21CF"/>
    <w:rsid w:val="002C36A6"/>
    <w:rsid w:val="002D5B5D"/>
    <w:rsid w:val="002E3F96"/>
    <w:rsid w:val="002E497C"/>
    <w:rsid w:val="002E735A"/>
    <w:rsid w:val="002F313C"/>
    <w:rsid w:val="002F3BE7"/>
    <w:rsid w:val="00302938"/>
    <w:rsid w:val="00317A76"/>
    <w:rsid w:val="0032428F"/>
    <w:rsid w:val="0033519E"/>
    <w:rsid w:val="00346E22"/>
    <w:rsid w:val="00351E1E"/>
    <w:rsid w:val="00357DC0"/>
    <w:rsid w:val="00361255"/>
    <w:rsid w:val="00363A41"/>
    <w:rsid w:val="00381018"/>
    <w:rsid w:val="003847C8"/>
    <w:rsid w:val="003877EB"/>
    <w:rsid w:val="00390DF7"/>
    <w:rsid w:val="0039662C"/>
    <w:rsid w:val="003A3742"/>
    <w:rsid w:val="003B4888"/>
    <w:rsid w:val="003C3C9A"/>
    <w:rsid w:val="003D1300"/>
    <w:rsid w:val="003D64D8"/>
    <w:rsid w:val="003E17B6"/>
    <w:rsid w:val="003E1B89"/>
    <w:rsid w:val="003E6170"/>
    <w:rsid w:val="003E69E8"/>
    <w:rsid w:val="003F4CC5"/>
    <w:rsid w:val="00415527"/>
    <w:rsid w:val="00422D5D"/>
    <w:rsid w:val="00431C65"/>
    <w:rsid w:val="00432937"/>
    <w:rsid w:val="004359ED"/>
    <w:rsid w:val="00435CF5"/>
    <w:rsid w:val="004403EC"/>
    <w:rsid w:val="00447B57"/>
    <w:rsid w:val="0045565C"/>
    <w:rsid w:val="00455B63"/>
    <w:rsid w:val="00460370"/>
    <w:rsid w:val="00465AB5"/>
    <w:rsid w:val="00472762"/>
    <w:rsid w:val="0047427A"/>
    <w:rsid w:val="004A00A8"/>
    <w:rsid w:val="004A7BFC"/>
    <w:rsid w:val="004A7CAD"/>
    <w:rsid w:val="004B4753"/>
    <w:rsid w:val="004B7346"/>
    <w:rsid w:val="004B7ED1"/>
    <w:rsid w:val="004C3F67"/>
    <w:rsid w:val="004C721D"/>
    <w:rsid w:val="00514121"/>
    <w:rsid w:val="00522637"/>
    <w:rsid w:val="00527867"/>
    <w:rsid w:val="00527AA5"/>
    <w:rsid w:val="005314D7"/>
    <w:rsid w:val="00544398"/>
    <w:rsid w:val="005458D4"/>
    <w:rsid w:val="005515BD"/>
    <w:rsid w:val="00560C9E"/>
    <w:rsid w:val="005740C1"/>
    <w:rsid w:val="0059143B"/>
    <w:rsid w:val="005A570D"/>
    <w:rsid w:val="005B5886"/>
    <w:rsid w:val="005C1523"/>
    <w:rsid w:val="005C7596"/>
    <w:rsid w:val="005E1ABB"/>
    <w:rsid w:val="005E7D57"/>
    <w:rsid w:val="00614FFD"/>
    <w:rsid w:val="00626A98"/>
    <w:rsid w:val="006274BB"/>
    <w:rsid w:val="00631376"/>
    <w:rsid w:val="00634EFA"/>
    <w:rsid w:val="00635D43"/>
    <w:rsid w:val="006367B9"/>
    <w:rsid w:val="0064180E"/>
    <w:rsid w:val="0066249C"/>
    <w:rsid w:val="00664DA1"/>
    <w:rsid w:val="0067375D"/>
    <w:rsid w:val="00676F03"/>
    <w:rsid w:val="006906AF"/>
    <w:rsid w:val="00693BA3"/>
    <w:rsid w:val="006A51B4"/>
    <w:rsid w:val="006B3F12"/>
    <w:rsid w:val="006C1B31"/>
    <w:rsid w:val="006C6190"/>
    <w:rsid w:val="006E5667"/>
    <w:rsid w:val="006F29FA"/>
    <w:rsid w:val="0070324C"/>
    <w:rsid w:val="00706530"/>
    <w:rsid w:val="0071171B"/>
    <w:rsid w:val="007120FD"/>
    <w:rsid w:val="007130E1"/>
    <w:rsid w:val="00716545"/>
    <w:rsid w:val="00717E59"/>
    <w:rsid w:val="007219B5"/>
    <w:rsid w:val="0073796B"/>
    <w:rsid w:val="00750D01"/>
    <w:rsid w:val="0075264D"/>
    <w:rsid w:val="007643A0"/>
    <w:rsid w:val="007669A3"/>
    <w:rsid w:val="00767A18"/>
    <w:rsid w:val="00780E07"/>
    <w:rsid w:val="00781345"/>
    <w:rsid w:val="00784E57"/>
    <w:rsid w:val="0078701E"/>
    <w:rsid w:val="0079749C"/>
    <w:rsid w:val="007A6460"/>
    <w:rsid w:val="007A65D6"/>
    <w:rsid w:val="007B0ADD"/>
    <w:rsid w:val="007B515F"/>
    <w:rsid w:val="007C21FB"/>
    <w:rsid w:val="007E198F"/>
    <w:rsid w:val="007F5D6B"/>
    <w:rsid w:val="007F6444"/>
    <w:rsid w:val="007F6EE3"/>
    <w:rsid w:val="007F6EF7"/>
    <w:rsid w:val="00801A29"/>
    <w:rsid w:val="008220A3"/>
    <w:rsid w:val="00823125"/>
    <w:rsid w:val="008244C0"/>
    <w:rsid w:val="00827F75"/>
    <w:rsid w:val="008336E7"/>
    <w:rsid w:val="00836E94"/>
    <w:rsid w:val="00844BB8"/>
    <w:rsid w:val="00847AD3"/>
    <w:rsid w:val="00851FE1"/>
    <w:rsid w:val="008522C0"/>
    <w:rsid w:val="008624E8"/>
    <w:rsid w:val="008863D0"/>
    <w:rsid w:val="0088720B"/>
    <w:rsid w:val="008A16D8"/>
    <w:rsid w:val="008A1B35"/>
    <w:rsid w:val="008B6738"/>
    <w:rsid w:val="008B7AF2"/>
    <w:rsid w:val="008C0D30"/>
    <w:rsid w:val="008C4231"/>
    <w:rsid w:val="008C4BD1"/>
    <w:rsid w:val="008C4BFB"/>
    <w:rsid w:val="008D0216"/>
    <w:rsid w:val="008D49BD"/>
    <w:rsid w:val="00905C96"/>
    <w:rsid w:val="009174DA"/>
    <w:rsid w:val="00933061"/>
    <w:rsid w:val="00933087"/>
    <w:rsid w:val="00945B27"/>
    <w:rsid w:val="009540E4"/>
    <w:rsid w:val="00955926"/>
    <w:rsid w:val="00974186"/>
    <w:rsid w:val="00981660"/>
    <w:rsid w:val="00983241"/>
    <w:rsid w:val="00985096"/>
    <w:rsid w:val="009900DE"/>
    <w:rsid w:val="00991CE2"/>
    <w:rsid w:val="009A41AA"/>
    <w:rsid w:val="009B3707"/>
    <w:rsid w:val="009C2C98"/>
    <w:rsid w:val="009C2D77"/>
    <w:rsid w:val="009C562E"/>
    <w:rsid w:val="009D10D1"/>
    <w:rsid w:val="009F136D"/>
    <w:rsid w:val="009F37F4"/>
    <w:rsid w:val="009F4DB0"/>
    <w:rsid w:val="00A06971"/>
    <w:rsid w:val="00A30052"/>
    <w:rsid w:val="00A34FC4"/>
    <w:rsid w:val="00A445DF"/>
    <w:rsid w:val="00A521C4"/>
    <w:rsid w:val="00A5415F"/>
    <w:rsid w:val="00A60A37"/>
    <w:rsid w:val="00A60FBF"/>
    <w:rsid w:val="00A67305"/>
    <w:rsid w:val="00A726C3"/>
    <w:rsid w:val="00A732B1"/>
    <w:rsid w:val="00A7406B"/>
    <w:rsid w:val="00A7412B"/>
    <w:rsid w:val="00AA597E"/>
    <w:rsid w:val="00AB1DC2"/>
    <w:rsid w:val="00AD1AFD"/>
    <w:rsid w:val="00AE6CD6"/>
    <w:rsid w:val="00AF2612"/>
    <w:rsid w:val="00AF5FC8"/>
    <w:rsid w:val="00B022E5"/>
    <w:rsid w:val="00B06EAB"/>
    <w:rsid w:val="00B10433"/>
    <w:rsid w:val="00B23AA2"/>
    <w:rsid w:val="00B37A37"/>
    <w:rsid w:val="00B43836"/>
    <w:rsid w:val="00B478B9"/>
    <w:rsid w:val="00B47F61"/>
    <w:rsid w:val="00B53301"/>
    <w:rsid w:val="00B53594"/>
    <w:rsid w:val="00B55629"/>
    <w:rsid w:val="00B602CF"/>
    <w:rsid w:val="00B60F58"/>
    <w:rsid w:val="00B7057D"/>
    <w:rsid w:val="00B70F5B"/>
    <w:rsid w:val="00B753A8"/>
    <w:rsid w:val="00B84862"/>
    <w:rsid w:val="00B903E5"/>
    <w:rsid w:val="00B93882"/>
    <w:rsid w:val="00B94D8D"/>
    <w:rsid w:val="00BA743D"/>
    <w:rsid w:val="00BB1111"/>
    <w:rsid w:val="00BB4431"/>
    <w:rsid w:val="00BB73C0"/>
    <w:rsid w:val="00BD0A52"/>
    <w:rsid w:val="00BE5C43"/>
    <w:rsid w:val="00C3152B"/>
    <w:rsid w:val="00C354D9"/>
    <w:rsid w:val="00C365A8"/>
    <w:rsid w:val="00C43D34"/>
    <w:rsid w:val="00C458C2"/>
    <w:rsid w:val="00C666AC"/>
    <w:rsid w:val="00C843E1"/>
    <w:rsid w:val="00C97F7B"/>
    <w:rsid w:val="00CA5271"/>
    <w:rsid w:val="00CA5624"/>
    <w:rsid w:val="00CA6F2E"/>
    <w:rsid w:val="00CB7ADA"/>
    <w:rsid w:val="00CC3123"/>
    <w:rsid w:val="00CC3530"/>
    <w:rsid w:val="00CC37B3"/>
    <w:rsid w:val="00CE21D5"/>
    <w:rsid w:val="00CE45D7"/>
    <w:rsid w:val="00CF099E"/>
    <w:rsid w:val="00D10EB4"/>
    <w:rsid w:val="00D14EEC"/>
    <w:rsid w:val="00D22282"/>
    <w:rsid w:val="00D245F7"/>
    <w:rsid w:val="00D42266"/>
    <w:rsid w:val="00D57275"/>
    <w:rsid w:val="00D60A92"/>
    <w:rsid w:val="00D64FA4"/>
    <w:rsid w:val="00D650E2"/>
    <w:rsid w:val="00D7373E"/>
    <w:rsid w:val="00D74A82"/>
    <w:rsid w:val="00D85532"/>
    <w:rsid w:val="00D9208E"/>
    <w:rsid w:val="00D95BC6"/>
    <w:rsid w:val="00D966FF"/>
    <w:rsid w:val="00D97B4B"/>
    <w:rsid w:val="00DA3B4D"/>
    <w:rsid w:val="00DA3BD5"/>
    <w:rsid w:val="00DA4C40"/>
    <w:rsid w:val="00DA5C0D"/>
    <w:rsid w:val="00DA5D7A"/>
    <w:rsid w:val="00DB55BA"/>
    <w:rsid w:val="00DC7F97"/>
    <w:rsid w:val="00DE199D"/>
    <w:rsid w:val="00DE1B54"/>
    <w:rsid w:val="00DE27BA"/>
    <w:rsid w:val="00E02AB3"/>
    <w:rsid w:val="00E05EEE"/>
    <w:rsid w:val="00E14AAE"/>
    <w:rsid w:val="00E20351"/>
    <w:rsid w:val="00E2036F"/>
    <w:rsid w:val="00E241A3"/>
    <w:rsid w:val="00E3207D"/>
    <w:rsid w:val="00E3507E"/>
    <w:rsid w:val="00E57CD1"/>
    <w:rsid w:val="00E6065F"/>
    <w:rsid w:val="00E65986"/>
    <w:rsid w:val="00E7132A"/>
    <w:rsid w:val="00E83E60"/>
    <w:rsid w:val="00E86C78"/>
    <w:rsid w:val="00E908BB"/>
    <w:rsid w:val="00E948BD"/>
    <w:rsid w:val="00EA1AF3"/>
    <w:rsid w:val="00EC012E"/>
    <w:rsid w:val="00ED2EC7"/>
    <w:rsid w:val="00EE35F8"/>
    <w:rsid w:val="00EF1263"/>
    <w:rsid w:val="00F01966"/>
    <w:rsid w:val="00F03257"/>
    <w:rsid w:val="00F20884"/>
    <w:rsid w:val="00F21123"/>
    <w:rsid w:val="00F21419"/>
    <w:rsid w:val="00F21BAD"/>
    <w:rsid w:val="00F23144"/>
    <w:rsid w:val="00F240E9"/>
    <w:rsid w:val="00F30E33"/>
    <w:rsid w:val="00F31222"/>
    <w:rsid w:val="00F462C7"/>
    <w:rsid w:val="00F6430E"/>
    <w:rsid w:val="00F92545"/>
    <w:rsid w:val="00F93A56"/>
    <w:rsid w:val="00FA792D"/>
    <w:rsid w:val="00FB3496"/>
    <w:rsid w:val="00FC2D38"/>
    <w:rsid w:val="00FC71FD"/>
    <w:rsid w:val="00FD6F18"/>
    <w:rsid w:val="00FE5604"/>
    <w:rsid w:val="00FF24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8F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0D0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39662C"/>
    <w:pPr>
      <w:autoSpaceDE w:val="0"/>
      <w:autoSpaceDN w:val="0"/>
      <w:adjustRightInd w:val="0"/>
      <w:spacing w:after="240" w:line="240" w:lineRule="auto"/>
      <w:outlineLvl w:val="0"/>
    </w:pPr>
    <w:rPr>
      <w:b/>
      <w:bCs/>
      <w:sz w:val="28"/>
      <w:szCs w:val="28"/>
    </w:rPr>
  </w:style>
  <w:style w:type="paragraph" w:styleId="Naslov2">
    <w:name w:val="heading 2"/>
    <w:basedOn w:val="Navaden"/>
    <w:next w:val="Navaden"/>
    <w:link w:val="Naslov2Znak"/>
    <w:uiPriority w:val="9"/>
    <w:unhideWhenUsed/>
    <w:qFormat/>
    <w:rsid w:val="005E1ABB"/>
    <w:pPr>
      <w:autoSpaceDE w:val="0"/>
      <w:autoSpaceDN w:val="0"/>
      <w:adjustRightInd w:val="0"/>
      <w:spacing w:after="240" w:line="240" w:lineRule="auto"/>
      <w:contextualSpacing/>
      <w:outlineLvl w:val="1"/>
    </w:pPr>
    <w:rPr>
      <w:b/>
      <w:bCs/>
    </w:rPr>
  </w:style>
  <w:style w:type="paragraph" w:styleId="Naslov3">
    <w:name w:val="heading 3"/>
    <w:basedOn w:val="Navaden"/>
    <w:next w:val="Navaden"/>
    <w:link w:val="Naslov3Znak"/>
    <w:uiPriority w:val="9"/>
    <w:unhideWhenUsed/>
    <w:qFormat/>
    <w:rsid w:val="00BD0A5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750D01"/>
    <w:pPr>
      <w:tabs>
        <w:tab w:val="center" w:pos="4320"/>
        <w:tab w:val="right" w:pos="8640"/>
      </w:tabs>
    </w:pPr>
  </w:style>
  <w:style w:type="character" w:customStyle="1" w:styleId="GlavaZnak">
    <w:name w:val="Glava Znak"/>
    <w:aliases w:val="APEK-4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750D01"/>
    <w:rPr>
      <w:rFonts w:ascii="Arial" w:eastAsia="Times New Roman" w:hAnsi="Arial" w:cs="Times New Roman"/>
      <w:sz w:val="20"/>
      <w:szCs w:val="24"/>
    </w:rPr>
  </w:style>
  <w:style w:type="paragraph" w:styleId="Noga">
    <w:name w:val="footer"/>
    <w:basedOn w:val="Navaden"/>
    <w:link w:val="NogaZnak"/>
    <w:rsid w:val="00750D01"/>
    <w:pPr>
      <w:tabs>
        <w:tab w:val="center" w:pos="4320"/>
        <w:tab w:val="right" w:pos="8640"/>
      </w:tabs>
    </w:pPr>
  </w:style>
  <w:style w:type="character" w:customStyle="1" w:styleId="NogaZnak">
    <w:name w:val="Noga Znak"/>
    <w:basedOn w:val="Privzetapisavaodstavka"/>
    <w:link w:val="Noga"/>
    <w:rsid w:val="00750D01"/>
    <w:rPr>
      <w:rFonts w:ascii="Arial" w:eastAsia="Times New Roman" w:hAnsi="Arial" w:cs="Times New Roman"/>
      <w:sz w:val="20"/>
      <w:szCs w:val="24"/>
    </w:rPr>
  </w:style>
  <w:style w:type="character" w:styleId="tevilkastrani">
    <w:name w:val="page number"/>
    <w:basedOn w:val="Privzetapisavaodstavka"/>
    <w:rsid w:val="00750D01"/>
  </w:style>
  <w:style w:type="paragraph" w:styleId="Naslov">
    <w:name w:val="Title"/>
    <w:basedOn w:val="Navaden"/>
    <w:next w:val="Navaden"/>
    <w:link w:val="NaslovZnak"/>
    <w:uiPriority w:val="10"/>
    <w:qFormat/>
    <w:rsid w:val="009D10D1"/>
    <w:pPr>
      <w:spacing w:before="480" w:after="240" w:line="240" w:lineRule="auto"/>
      <w:contextualSpacing/>
    </w:pPr>
    <w:rPr>
      <w:rFonts w:eastAsiaTheme="majorEastAsia" w:cs="Arial"/>
      <w:spacing w:val="-10"/>
      <w:kern w:val="28"/>
      <w:szCs w:val="20"/>
    </w:rPr>
  </w:style>
  <w:style w:type="character" w:customStyle="1" w:styleId="NaslovZnak">
    <w:name w:val="Naslov Znak"/>
    <w:basedOn w:val="Privzetapisavaodstavka"/>
    <w:link w:val="Naslov"/>
    <w:uiPriority w:val="10"/>
    <w:rsid w:val="009D10D1"/>
    <w:rPr>
      <w:rFonts w:ascii="Arial" w:eastAsiaTheme="majorEastAsia" w:hAnsi="Arial" w:cs="Arial"/>
      <w:spacing w:val="-10"/>
      <w:kern w:val="28"/>
      <w:sz w:val="20"/>
      <w:szCs w:val="20"/>
    </w:rPr>
  </w:style>
  <w:style w:type="character" w:customStyle="1" w:styleId="Naslov1Znak">
    <w:name w:val="Naslov 1 Znak"/>
    <w:basedOn w:val="Privzetapisavaodstavka"/>
    <w:link w:val="Naslov1"/>
    <w:uiPriority w:val="9"/>
    <w:rsid w:val="0039662C"/>
    <w:rPr>
      <w:rFonts w:ascii="Arial" w:eastAsia="Times New Roman" w:hAnsi="Arial" w:cs="Times New Roman"/>
      <w:b/>
      <w:bCs/>
      <w:sz w:val="28"/>
      <w:szCs w:val="28"/>
    </w:rPr>
  </w:style>
  <w:style w:type="paragraph" w:customStyle="1" w:styleId="DatumSZJ">
    <w:name w:val="Datum SZJ"/>
    <w:basedOn w:val="Navaden"/>
    <w:next w:val="Navaden"/>
    <w:link w:val="DatumSZJZnak"/>
    <w:qFormat/>
    <w:rsid w:val="00A7412B"/>
    <w:pPr>
      <w:autoSpaceDE w:val="0"/>
      <w:autoSpaceDN w:val="0"/>
      <w:adjustRightInd w:val="0"/>
      <w:spacing w:after="360" w:line="240" w:lineRule="auto"/>
    </w:pPr>
  </w:style>
  <w:style w:type="character" w:customStyle="1" w:styleId="Naslov2Znak">
    <w:name w:val="Naslov 2 Znak"/>
    <w:basedOn w:val="Privzetapisavaodstavka"/>
    <w:link w:val="Naslov2"/>
    <w:uiPriority w:val="9"/>
    <w:rsid w:val="005E1ABB"/>
    <w:rPr>
      <w:rFonts w:ascii="Arial" w:eastAsia="Times New Roman" w:hAnsi="Arial" w:cs="Times New Roman"/>
      <w:b/>
      <w:bCs/>
      <w:sz w:val="20"/>
      <w:szCs w:val="24"/>
    </w:rPr>
  </w:style>
  <w:style w:type="character" w:customStyle="1" w:styleId="DatumSZJZnak">
    <w:name w:val="Datum SZJ Znak"/>
    <w:basedOn w:val="Privzetapisavaodstavka"/>
    <w:link w:val="DatumSZJ"/>
    <w:rsid w:val="00A7412B"/>
    <w:rPr>
      <w:rFonts w:ascii="Arial" w:eastAsia="Times New Roman" w:hAnsi="Arial" w:cs="Times New Roman"/>
      <w:sz w:val="20"/>
      <w:szCs w:val="24"/>
    </w:rPr>
  </w:style>
  <w:style w:type="paragraph" w:customStyle="1" w:styleId="Vir">
    <w:name w:val="Vir"/>
    <w:basedOn w:val="Navaden"/>
    <w:next w:val="Navaden"/>
    <w:link w:val="VirZnak"/>
    <w:qFormat/>
    <w:rsid w:val="00110B8F"/>
    <w:pPr>
      <w:autoSpaceDE w:val="0"/>
      <w:autoSpaceDN w:val="0"/>
      <w:adjustRightInd w:val="0"/>
      <w:spacing w:before="240" w:after="360" w:line="240" w:lineRule="auto"/>
    </w:pPr>
  </w:style>
  <w:style w:type="paragraph" w:styleId="Odstavekseznama">
    <w:name w:val="List Paragraph"/>
    <w:basedOn w:val="Navaden"/>
    <w:uiPriority w:val="34"/>
    <w:qFormat/>
    <w:rsid w:val="00203F5F"/>
    <w:pPr>
      <w:numPr>
        <w:numId w:val="1"/>
      </w:numPr>
      <w:contextualSpacing/>
    </w:pPr>
  </w:style>
  <w:style w:type="character" w:customStyle="1" w:styleId="VirZnak">
    <w:name w:val="Vir Znak"/>
    <w:basedOn w:val="Privzetapisavaodstavka"/>
    <w:link w:val="Vir"/>
    <w:rsid w:val="00110B8F"/>
    <w:rPr>
      <w:rFonts w:ascii="Arial" w:eastAsia="Times New Roman" w:hAnsi="Arial" w:cs="Times New Roman"/>
      <w:sz w:val="20"/>
      <w:szCs w:val="24"/>
    </w:rPr>
  </w:style>
  <w:style w:type="character" w:customStyle="1" w:styleId="Naslov3Znak">
    <w:name w:val="Naslov 3 Znak"/>
    <w:basedOn w:val="Privzetapisavaodstavka"/>
    <w:link w:val="Naslov3"/>
    <w:uiPriority w:val="9"/>
    <w:rsid w:val="00BD0A5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3" ma:contentTypeDescription="Create a new document." ma:contentTypeScope="" ma:versionID="af7836002ab36a4cf9d574b9cf62edcf">
  <xsd:schema xmlns:xsd="http://www.w3.org/2001/XMLSchema" xmlns:xs="http://www.w3.org/2001/XMLSchema" xmlns:p="http://schemas.microsoft.com/office/2006/metadata/properties" xmlns:ns3="eb582466-1b59-4d29-8755-2962c9164f84" targetNamespace="http://schemas.microsoft.com/office/2006/metadata/properties" ma:root="true" ma:fieldsID="8f3c0790d4e523edad3a139ab2c0a08f" ns3:_="">
    <xsd:import namespace="eb582466-1b59-4d29-8755-2962c9164f84"/>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695D88-41D0-4D94-8F20-06CCAE564D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4DDD5E-BF2A-42E4-BF83-F29C09BA9F1D}">
  <ds:schemaRefs>
    <ds:schemaRef ds:uri="http://schemas.microsoft.com/sharepoint/v3/contenttype/forms"/>
  </ds:schemaRefs>
</ds:datastoreItem>
</file>

<file path=customXml/itemProps3.xml><?xml version="1.0" encoding="utf-8"?>
<ds:datastoreItem xmlns:ds="http://schemas.openxmlformats.org/officeDocument/2006/customXml" ds:itemID="{6B5584C5-23D0-42C4-903E-C12EFBD1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01A8C-74B0-4B71-BCE1-F6503D5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7102</Words>
  <Characters>40485</Characters>
  <Application>Microsoft Office Word</Application>
  <DocSecurity>0</DocSecurity>
  <Lines>337</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2026-08-26T13:03:00Z</dcterms:created>
  <dcterms:modified xsi:type="dcterms:W3CDTF">2026-08-27T12:12:00Z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ies>
</file>