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34184153" w14:textId="65A39506" w:rsidR="00DB1CD9" w:rsidRPr="00F22A26" w:rsidRDefault="00F22A26" w:rsidP="0039662C">
      <w:pPr>
        <w:pStyle w:val="Naslov1"/>
        <w:rPr>
          <w:b w:val="0"/>
          <w:bCs w:val="0"/>
          <w:sz w:val="20"/>
          <w:szCs w:val="20"/>
        </w:rPr>
      </w:pPr>
      <w:r w:rsidRPr="00F22A26">
        <w:rPr>
          <w:b w:val="0"/>
          <w:bCs w:val="0"/>
          <w:sz w:val="20"/>
          <w:szCs w:val="20"/>
        </w:rPr>
        <w:t>Ljubljana, 2. julija 2026</w:t>
      </w:r>
    </w:p>
    <w:p w14:paraId="3C30329C" w14:textId="77777777" w:rsidR="00F22A26" w:rsidRPr="00F22A26" w:rsidRDefault="00F22A26" w:rsidP="00F22A26"/>
    <w:p w14:paraId="4FBB665F" w14:textId="77777777" w:rsidR="008139D4" w:rsidRDefault="008139D4" w:rsidP="0039662C">
      <w:pPr>
        <w:pStyle w:val="Naslov1"/>
      </w:pPr>
    </w:p>
    <w:p w14:paraId="71A02687" w14:textId="6CC4AA05" w:rsidR="0073796B" w:rsidRDefault="00DB1CD9" w:rsidP="0039662C">
      <w:pPr>
        <w:pStyle w:val="Naslov1"/>
      </w:pPr>
      <w:r>
        <w:t>5</w:t>
      </w:r>
      <w:r w:rsidR="0073796B" w:rsidRPr="0039662C">
        <w:t xml:space="preserve">. </w:t>
      </w:r>
      <w:r w:rsidR="00D74A82">
        <w:t>red</w:t>
      </w:r>
      <w:r w:rsidR="00F03257">
        <w:t xml:space="preserve">na </w:t>
      </w:r>
      <w:r w:rsidR="0073796B" w:rsidRPr="0039662C">
        <w:t>seja Vlade Republike Slovenije</w:t>
      </w:r>
    </w:p>
    <w:p w14:paraId="63591D44" w14:textId="77777777" w:rsidR="008139D4" w:rsidRDefault="008139D4" w:rsidP="00172E55"/>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426"/>
        <w:gridCol w:w="7467"/>
        <w:gridCol w:w="567"/>
      </w:tblGrid>
      <w:tr w:rsidR="0054780C" w:rsidRPr="00687279" w14:paraId="27EBC17D" w14:textId="77777777" w:rsidTr="00721A97">
        <w:trPr>
          <w:gridAfter w:val="1"/>
          <w:wAfter w:w="567" w:type="dxa"/>
        </w:trPr>
        <w:tc>
          <w:tcPr>
            <w:tcW w:w="7893" w:type="dxa"/>
            <w:gridSpan w:val="2"/>
            <w:tcBorders>
              <w:top w:val="nil"/>
              <w:left w:val="nil"/>
              <w:bottom w:val="nil"/>
              <w:right w:val="nil"/>
            </w:tcBorders>
          </w:tcPr>
          <w:p w14:paraId="3E9213AB" w14:textId="77777777" w:rsidR="0054780C" w:rsidRPr="00687279" w:rsidRDefault="0054780C" w:rsidP="008139D4">
            <w:pPr>
              <w:pStyle w:val="Naslov2"/>
            </w:pPr>
            <w:r w:rsidRPr="00687279">
              <w:t xml:space="preserve">Vlada o </w:t>
            </w:r>
            <w:r w:rsidRPr="00687279">
              <w:rPr>
                <w:lang w:bidi="en-US"/>
              </w:rPr>
              <w:t>kvotah pravic proračunske porabe</w:t>
            </w:r>
          </w:p>
          <w:p w14:paraId="55F036FC" w14:textId="6E8E556C" w:rsidR="0054780C" w:rsidRPr="00687279" w:rsidRDefault="0054780C" w:rsidP="007A38F3">
            <w:pPr>
              <w:spacing w:line="240" w:lineRule="auto"/>
              <w:jc w:val="both"/>
              <w:rPr>
                <w:rFonts w:cs="Arial"/>
                <w:szCs w:val="20"/>
              </w:rPr>
            </w:pPr>
            <w:r w:rsidRPr="00687279">
              <w:rPr>
                <w:rFonts w:cs="Arial"/>
                <w:szCs w:val="20"/>
              </w:rPr>
              <w:t xml:space="preserve">Vlada </w:t>
            </w:r>
            <w:r w:rsidR="008139D4">
              <w:rPr>
                <w:rFonts w:cs="Arial"/>
                <w:szCs w:val="20"/>
              </w:rPr>
              <w:t xml:space="preserve">Republike Slovenije </w:t>
            </w:r>
            <w:r w:rsidRPr="00687279">
              <w:rPr>
                <w:rFonts w:cs="Arial"/>
                <w:szCs w:val="20"/>
              </w:rPr>
              <w:t xml:space="preserve">je na današnji seji odločila o </w:t>
            </w:r>
            <w:r w:rsidRPr="00687279">
              <w:rPr>
                <w:rFonts w:cs="Arial"/>
                <w:iCs/>
                <w:szCs w:val="20"/>
                <w:lang w:bidi="en-US"/>
              </w:rPr>
              <w:t>kvote pravic proračunske porabe za obdobje od julija do septembra 2026 po skupinah neposrednih proračunskih uporabnikov.</w:t>
            </w:r>
          </w:p>
          <w:p w14:paraId="7B7A3BAF" w14:textId="77777777" w:rsidR="0054780C" w:rsidRPr="00687279" w:rsidRDefault="0054780C" w:rsidP="007A38F3">
            <w:pPr>
              <w:spacing w:line="240" w:lineRule="auto"/>
              <w:jc w:val="both"/>
              <w:rPr>
                <w:rFonts w:cs="Arial"/>
                <w:b/>
                <w:bCs/>
                <w:szCs w:val="20"/>
              </w:rPr>
            </w:pPr>
            <w:bookmarkStart w:id="0" w:name="_Hlk215839787"/>
            <w:bookmarkStart w:id="1" w:name="_Hlk216361877"/>
          </w:p>
          <w:bookmarkEnd w:id="0"/>
          <w:bookmarkEnd w:id="1"/>
          <w:p w14:paraId="1B50961F" w14:textId="77777777" w:rsidR="0054780C" w:rsidRPr="00687279" w:rsidRDefault="0054780C" w:rsidP="007A38F3">
            <w:pPr>
              <w:jc w:val="both"/>
              <w:rPr>
                <w:rFonts w:cs="Arial"/>
                <w:szCs w:val="20"/>
              </w:rPr>
            </w:pPr>
            <w:r w:rsidRPr="00687279">
              <w:rPr>
                <w:rFonts w:cs="Arial"/>
                <w:szCs w:val="20"/>
              </w:rPr>
              <w:t>Pri določanju predloga kvote za tretje trimesečje 2026 smo na Ministrstvu za finance upoštevali:</w:t>
            </w:r>
          </w:p>
          <w:p w14:paraId="7D9BEC50" w14:textId="77777777" w:rsidR="0054780C" w:rsidRPr="00687279" w:rsidRDefault="0054780C" w:rsidP="007A38F3">
            <w:pPr>
              <w:pStyle w:val="Odstavekseznama"/>
              <w:numPr>
                <w:ilvl w:val="0"/>
                <w:numId w:val="13"/>
              </w:numPr>
              <w:spacing w:line="240" w:lineRule="auto"/>
              <w:jc w:val="both"/>
              <w:rPr>
                <w:rFonts w:cs="Arial"/>
                <w:szCs w:val="20"/>
              </w:rPr>
            </w:pPr>
            <w:r w:rsidRPr="00687279">
              <w:rPr>
                <w:rFonts w:cs="Arial"/>
                <w:szCs w:val="20"/>
              </w:rPr>
              <w:t>Spremembe proračuna RS za leto 2026 predvidene pravice porabe neposrednih proračunskih uporabnikov,</w:t>
            </w:r>
          </w:p>
          <w:p w14:paraId="61C5BD16" w14:textId="77777777" w:rsidR="0054780C" w:rsidRPr="00687279" w:rsidRDefault="0054780C" w:rsidP="007A38F3">
            <w:pPr>
              <w:pStyle w:val="Odstavekseznama"/>
              <w:numPr>
                <w:ilvl w:val="0"/>
                <w:numId w:val="13"/>
              </w:numPr>
              <w:spacing w:line="240" w:lineRule="auto"/>
              <w:jc w:val="both"/>
              <w:rPr>
                <w:rFonts w:cs="Arial"/>
                <w:szCs w:val="20"/>
              </w:rPr>
            </w:pPr>
            <w:r w:rsidRPr="00687279">
              <w:rPr>
                <w:rFonts w:cs="Arial"/>
                <w:szCs w:val="20"/>
              </w:rPr>
              <w:t>evidentirane prevzete obveznosti neposrednih uporabnikov proračuna,</w:t>
            </w:r>
          </w:p>
          <w:p w14:paraId="79F3D0ED" w14:textId="77777777" w:rsidR="0054780C" w:rsidRPr="00687279" w:rsidRDefault="0054780C" w:rsidP="007A38F3">
            <w:pPr>
              <w:pStyle w:val="Odstavekseznama"/>
              <w:numPr>
                <w:ilvl w:val="0"/>
                <w:numId w:val="13"/>
              </w:numPr>
              <w:spacing w:line="240" w:lineRule="auto"/>
              <w:jc w:val="both"/>
              <w:rPr>
                <w:rFonts w:cs="Arial"/>
                <w:szCs w:val="20"/>
              </w:rPr>
            </w:pPr>
            <w:r w:rsidRPr="00687279">
              <w:rPr>
                <w:rFonts w:cs="Arial"/>
                <w:szCs w:val="20"/>
              </w:rPr>
              <w:t>likvidnostne možnosti proračuna,</w:t>
            </w:r>
          </w:p>
          <w:p w14:paraId="19A30F6F" w14:textId="77777777" w:rsidR="0054780C" w:rsidRPr="00687279" w:rsidRDefault="0054780C" w:rsidP="007A38F3">
            <w:pPr>
              <w:pStyle w:val="Odstavekseznama"/>
              <w:numPr>
                <w:ilvl w:val="0"/>
                <w:numId w:val="13"/>
              </w:numPr>
              <w:spacing w:line="240" w:lineRule="auto"/>
              <w:jc w:val="both"/>
              <w:rPr>
                <w:rFonts w:cs="Arial"/>
                <w:szCs w:val="20"/>
              </w:rPr>
            </w:pPr>
            <w:r w:rsidRPr="00687279">
              <w:rPr>
                <w:rFonts w:cs="Arial"/>
                <w:szCs w:val="20"/>
              </w:rPr>
              <w:t>dinamiko porabe proračunskih sredstev v preteklih letih.</w:t>
            </w:r>
          </w:p>
          <w:p w14:paraId="1F93C834" w14:textId="77777777" w:rsidR="0054780C" w:rsidRPr="00687279" w:rsidRDefault="0054780C" w:rsidP="007A38F3">
            <w:pPr>
              <w:rPr>
                <w:rFonts w:cs="Arial"/>
                <w:szCs w:val="20"/>
              </w:rPr>
            </w:pPr>
          </w:p>
          <w:p w14:paraId="6B84CDFB" w14:textId="6EEF4A6D" w:rsidR="0054780C" w:rsidRPr="00687279" w:rsidRDefault="0054780C" w:rsidP="007A38F3">
            <w:pPr>
              <w:jc w:val="both"/>
              <w:rPr>
                <w:rFonts w:cs="Arial"/>
                <w:szCs w:val="20"/>
              </w:rPr>
            </w:pPr>
            <w:r w:rsidRPr="00687279">
              <w:rPr>
                <w:rFonts w:cs="Arial"/>
                <w:szCs w:val="20"/>
              </w:rPr>
              <w:t xml:space="preserve">V predlagano kvoto so vključene vse pravice porabe bilance A, zaradi primerjave so prikazane tudi Spremembe proračuna RS za leto 2026. Predlagana kvota za tretje trimesečje 2026 znaša 4.155 milijonov evrov, kar je 23,5 odstotka vseh pravic porabe, kot izhajajo iz Sprememb proračuna RS za leto 2026. </w:t>
            </w:r>
          </w:p>
          <w:p w14:paraId="6DD1E284" w14:textId="72E29898" w:rsidR="0054780C" w:rsidRPr="00687279" w:rsidRDefault="0054780C" w:rsidP="003C7EB1">
            <w:pPr>
              <w:pStyle w:val="Vir"/>
              <w:rPr>
                <w:rFonts w:cs="Arial"/>
                <w:szCs w:val="20"/>
              </w:rPr>
            </w:pPr>
            <w:r w:rsidRPr="00687279">
              <w:rPr>
                <w:rFonts w:cs="Arial"/>
                <w:szCs w:val="20"/>
              </w:rPr>
              <w:t>Vir: Ministrstvo za finance</w:t>
            </w:r>
          </w:p>
        </w:tc>
      </w:tr>
      <w:tr w:rsidR="0054780C" w:rsidRPr="00687279" w14:paraId="24789833" w14:textId="77777777" w:rsidTr="00721A97">
        <w:trPr>
          <w:gridAfter w:val="1"/>
          <w:wAfter w:w="567" w:type="dxa"/>
        </w:trPr>
        <w:tc>
          <w:tcPr>
            <w:tcW w:w="7893" w:type="dxa"/>
            <w:gridSpan w:val="2"/>
            <w:tcBorders>
              <w:top w:val="nil"/>
              <w:left w:val="nil"/>
              <w:bottom w:val="nil"/>
              <w:right w:val="nil"/>
            </w:tcBorders>
          </w:tcPr>
          <w:p w14:paraId="07EF2DD3" w14:textId="631041D8" w:rsidR="0054780C" w:rsidRPr="00687279" w:rsidRDefault="0054780C" w:rsidP="008139D4">
            <w:pPr>
              <w:pStyle w:val="Naslov2"/>
            </w:pPr>
            <w:r w:rsidRPr="00687279">
              <w:t xml:space="preserve">Vlada uvrstila devetih projektov Javnega razpisa Revitalizacija objektov javne infrastrukture na obmejnih problemskih območjih v Načrt razvojnih programov </w:t>
            </w:r>
          </w:p>
          <w:p w14:paraId="5DF739D8" w14:textId="57DCDC69" w:rsidR="0054780C" w:rsidRPr="00687279" w:rsidRDefault="0054780C" w:rsidP="009F29D8">
            <w:pPr>
              <w:pStyle w:val="xmsonormal"/>
              <w:jc w:val="both"/>
              <w:rPr>
                <w:rFonts w:ascii="Arial" w:hAnsi="Arial" w:cs="Arial"/>
                <w:sz w:val="20"/>
                <w:szCs w:val="20"/>
              </w:rPr>
            </w:pPr>
            <w:r w:rsidRPr="00687279">
              <w:rPr>
                <w:rFonts w:ascii="Arial" w:hAnsi="Arial" w:cs="Arial"/>
                <w:sz w:val="20"/>
                <w:szCs w:val="20"/>
              </w:rPr>
              <w:t xml:space="preserve">Vlada </w:t>
            </w:r>
            <w:r w:rsidR="008139D4">
              <w:rPr>
                <w:rFonts w:ascii="Arial" w:hAnsi="Arial" w:cs="Arial"/>
                <w:sz w:val="20"/>
                <w:szCs w:val="20"/>
              </w:rPr>
              <w:t>je</w:t>
            </w:r>
            <w:r w:rsidRPr="00687279">
              <w:rPr>
                <w:rFonts w:ascii="Arial" w:hAnsi="Arial" w:cs="Arial"/>
                <w:sz w:val="20"/>
                <w:szCs w:val="20"/>
              </w:rPr>
              <w:t xml:space="preserve"> v veljavni načrt razvojnih programov za obdobje 2026–2029 uvrstila devet novih projektov v okviru Javnega razpisa Revitalizacija objektov javne infrastrukture na obmejnih problemskih območjih za leto 2026. Skupna vrednost izbranih investicij znaša 10,6 milijona evrov, pri čemer bomo iz proračunskih virov za sofinanciranje zagotovili 8,2 milijona evrov. Sredstva so v celoti zagotovljena na proračunski postavki za dodatne ukrepe za problemska območja. Zaradi izjemnega interesa samoupravnih lokalnih skupnosti smo prvotno razpisana nepovratna sredstva z objavo spremembe razpisa povišali s 7,5 milijona evrov na 9,5 milijona evrov, ki jih bodo občine porabile v letu 2026. </w:t>
            </w:r>
          </w:p>
          <w:p w14:paraId="7072ECC8" w14:textId="77777777" w:rsidR="0054780C" w:rsidRPr="00687279" w:rsidRDefault="0054780C" w:rsidP="009F29D8">
            <w:pPr>
              <w:pStyle w:val="xmsonormal"/>
              <w:jc w:val="both"/>
              <w:rPr>
                <w:rFonts w:ascii="Arial" w:hAnsi="Arial" w:cs="Arial"/>
                <w:sz w:val="20"/>
                <w:szCs w:val="20"/>
              </w:rPr>
            </w:pPr>
            <w:r w:rsidRPr="00687279">
              <w:rPr>
                <w:rFonts w:ascii="Arial" w:hAnsi="Arial" w:cs="Arial"/>
                <w:sz w:val="20"/>
                <w:szCs w:val="20"/>
              </w:rPr>
              <w:t> </w:t>
            </w:r>
          </w:p>
          <w:p w14:paraId="03F2A248" w14:textId="77777777" w:rsidR="0054780C" w:rsidRPr="00687279" w:rsidRDefault="0054780C" w:rsidP="009F29D8">
            <w:pPr>
              <w:pStyle w:val="xmsonormal"/>
              <w:jc w:val="both"/>
              <w:rPr>
                <w:rFonts w:ascii="Arial" w:hAnsi="Arial" w:cs="Arial"/>
                <w:sz w:val="20"/>
                <w:szCs w:val="20"/>
              </w:rPr>
            </w:pPr>
            <w:r w:rsidRPr="00687279">
              <w:rPr>
                <w:rFonts w:ascii="Arial" w:hAnsi="Arial" w:cs="Arial"/>
                <w:sz w:val="20"/>
                <w:szCs w:val="20"/>
              </w:rPr>
              <w:t xml:space="preserve">Namen tega nacionalnega ukrepa je celovita obnova opuščenih oziroma propadajočih objektov javne infrastrukture ter oživljanje funkcionalno razvrednotenih območij. Z umeščanjem novih centralnih, oskrbnih in podjetniških dejavnosti na predhodno pozidana zemljišča učinkovito zmanjšujemo pritiske ter širjenje pozidave na kmetijska in gozdna zemljišča, kar neposredno prispeva k trajnostnemu prostorskemu razvoju. V revitaliziranih objektih vzpostavljamo vsebine, ki krepijo gospodarski, turistični, kulturni in socialni potencial okolja, s čimer uspešno naslavljamo odliv delovno aktivnega prebivalstva ter izboljšujemo dostop do storitev na obmejnih problemskih območjih. </w:t>
            </w:r>
          </w:p>
          <w:p w14:paraId="4FE75903" w14:textId="77777777" w:rsidR="0054780C" w:rsidRPr="00687279" w:rsidRDefault="0054780C" w:rsidP="00721A97">
            <w:pPr>
              <w:jc w:val="both"/>
              <w:rPr>
                <w:rFonts w:cs="Arial"/>
                <w:szCs w:val="20"/>
              </w:rPr>
            </w:pPr>
          </w:p>
          <w:p w14:paraId="57B2A420" w14:textId="315295D5" w:rsidR="0054780C" w:rsidRPr="00687279" w:rsidRDefault="0054780C" w:rsidP="003C7EB1">
            <w:pPr>
              <w:rPr>
                <w:rFonts w:cs="Arial"/>
                <w:szCs w:val="20"/>
              </w:rPr>
            </w:pPr>
            <w:r w:rsidRPr="00687279">
              <w:rPr>
                <w:rFonts w:cs="Arial"/>
                <w:szCs w:val="20"/>
              </w:rPr>
              <w:t>Vir: Ministrstvo za lokalno samoupravo, kohezijo in regionalni razvoj</w:t>
            </w:r>
          </w:p>
          <w:p w14:paraId="72438CAC" w14:textId="77777777" w:rsidR="0054780C" w:rsidRPr="00687279" w:rsidRDefault="0054780C" w:rsidP="00721A97">
            <w:pPr>
              <w:jc w:val="both"/>
              <w:rPr>
                <w:rFonts w:cs="Arial"/>
                <w:szCs w:val="20"/>
              </w:rPr>
            </w:pPr>
          </w:p>
        </w:tc>
      </w:tr>
      <w:tr w:rsidR="0054780C" w:rsidRPr="00687279" w14:paraId="6AD81268" w14:textId="77777777" w:rsidTr="00721A97">
        <w:trPr>
          <w:gridAfter w:val="1"/>
          <w:wAfter w:w="567" w:type="dxa"/>
        </w:trPr>
        <w:tc>
          <w:tcPr>
            <w:tcW w:w="7893" w:type="dxa"/>
            <w:gridSpan w:val="2"/>
            <w:tcBorders>
              <w:top w:val="nil"/>
              <w:left w:val="nil"/>
              <w:bottom w:val="nil"/>
              <w:right w:val="nil"/>
            </w:tcBorders>
          </w:tcPr>
          <w:p w14:paraId="2AE0588B" w14:textId="63531B5C" w:rsidR="0054780C" w:rsidRPr="00687279" w:rsidRDefault="0054780C" w:rsidP="008139D4">
            <w:pPr>
              <w:pStyle w:val="Naslov2"/>
            </w:pPr>
            <w:r w:rsidRPr="00687279">
              <w:t xml:space="preserve">Vlada znižala izhodiščno vrednost projekta »Informatizacija in druga OS SURS 2025–2027« </w:t>
            </w:r>
          </w:p>
          <w:p w14:paraId="6949E2C8" w14:textId="064D71E4" w:rsidR="0054780C" w:rsidRPr="00687279" w:rsidRDefault="0054780C" w:rsidP="00B632F2">
            <w:pPr>
              <w:jc w:val="both"/>
              <w:rPr>
                <w:rFonts w:cs="Arial"/>
                <w:bCs/>
                <w:szCs w:val="20"/>
              </w:rPr>
            </w:pPr>
            <w:r w:rsidRPr="00687279">
              <w:rPr>
                <w:rFonts w:cs="Arial"/>
                <w:szCs w:val="20"/>
              </w:rPr>
              <w:lastRenderedPageBreak/>
              <w:t>Vlada je sprejela sklep za znižanje izhodiščne vrednosti projekta 1522-24-0001 »Informatizacija in druga OS SURS 2025–2027« v veljavnem Načrtu razvojnih programov 2026–2029</w:t>
            </w:r>
            <w:r w:rsidRPr="00687279">
              <w:rPr>
                <w:rFonts w:cs="Arial"/>
                <w:b/>
                <w:bCs/>
                <w:szCs w:val="20"/>
              </w:rPr>
              <w:t xml:space="preserve"> </w:t>
            </w:r>
            <w:r w:rsidRPr="00687279">
              <w:rPr>
                <w:rFonts w:cs="Arial"/>
                <w:szCs w:val="20"/>
              </w:rPr>
              <w:t xml:space="preserve">za 786.777,66 evrov. </w:t>
            </w:r>
          </w:p>
          <w:p w14:paraId="528E0E5D" w14:textId="77777777" w:rsidR="0054780C" w:rsidRPr="00687279" w:rsidRDefault="0054780C" w:rsidP="00B632F2">
            <w:pPr>
              <w:jc w:val="both"/>
              <w:rPr>
                <w:rFonts w:cs="Arial"/>
                <w:bCs/>
                <w:szCs w:val="20"/>
              </w:rPr>
            </w:pPr>
          </w:p>
          <w:p w14:paraId="2EC9DB5B" w14:textId="77777777" w:rsidR="0054780C" w:rsidRPr="00687279" w:rsidRDefault="0054780C" w:rsidP="00B632F2">
            <w:pPr>
              <w:jc w:val="both"/>
              <w:rPr>
                <w:rFonts w:cs="Arial"/>
                <w:bCs/>
                <w:szCs w:val="20"/>
              </w:rPr>
            </w:pPr>
            <w:r w:rsidRPr="00687279">
              <w:rPr>
                <w:rFonts w:cs="Arial"/>
                <w:bCs/>
                <w:szCs w:val="20"/>
              </w:rPr>
              <w:t xml:space="preserve">Projekt Statističnega urada Republike Slovenije (SURS) obsega nakupe in razvoj specifične programske in neprogramske opreme, njene nadgradnje, nakupe strojne opreme ter drugih osnovnih sredstev. Navedena oprema in sredstva so ostali v pristojnosti SURS-a in se v okviru državnega projekta Reorganizacija informatike v državni upravi niso prenesli na ministrstvo, pristojno za informatizacijo državne uprave. </w:t>
            </w:r>
          </w:p>
          <w:p w14:paraId="10F0F62C" w14:textId="77777777" w:rsidR="0054780C" w:rsidRPr="00687279" w:rsidRDefault="0054780C" w:rsidP="00B632F2">
            <w:pPr>
              <w:jc w:val="both"/>
              <w:rPr>
                <w:rFonts w:cs="Arial"/>
                <w:bCs/>
                <w:szCs w:val="20"/>
              </w:rPr>
            </w:pPr>
          </w:p>
          <w:p w14:paraId="0720ADBC" w14:textId="4FCFBB65" w:rsidR="0054780C" w:rsidRPr="00687279" w:rsidRDefault="0054780C" w:rsidP="00B632F2">
            <w:pPr>
              <w:jc w:val="both"/>
              <w:rPr>
                <w:rFonts w:cs="Arial"/>
                <w:bCs/>
                <w:szCs w:val="20"/>
              </w:rPr>
            </w:pPr>
            <w:r w:rsidRPr="00687279">
              <w:rPr>
                <w:rFonts w:cs="Arial"/>
                <w:bCs/>
                <w:szCs w:val="20"/>
              </w:rPr>
              <w:t>Ob vključitvi projekta leta 2024 je bila izhodiščna vrednost investicij po tekočih cenah ocenjena na 3.497.050,00 evrov. Nova ocenjena izhodiščna vrednost projekta za obdobje od 1. januarja 2025 do 31. decembra 2027 znaša 2.710.272,34 evrov, kar predstavlja 22,5-odstotno znižanje. Zaradi več kot 20-odstotnega znižanja vrednosti je za spremembo potrebno soglasje Vlade Republike Slovenije.</w:t>
            </w:r>
          </w:p>
          <w:p w14:paraId="0BB5BE2C" w14:textId="77777777" w:rsidR="0054780C" w:rsidRPr="00687279" w:rsidRDefault="0054780C" w:rsidP="00B632F2">
            <w:pPr>
              <w:jc w:val="both"/>
              <w:rPr>
                <w:rFonts w:cs="Arial"/>
                <w:bCs/>
                <w:szCs w:val="20"/>
              </w:rPr>
            </w:pPr>
          </w:p>
          <w:p w14:paraId="5545F8C6" w14:textId="1331D533" w:rsidR="0054780C" w:rsidRPr="00687279" w:rsidRDefault="0054780C" w:rsidP="00B632F2">
            <w:pPr>
              <w:jc w:val="both"/>
              <w:rPr>
                <w:rFonts w:cs="Arial"/>
                <w:szCs w:val="20"/>
              </w:rPr>
            </w:pPr>
            <w:r w:rsidRPr="00687279">
              <w:rPr>
                <w:rFonts w:cs="Arial"/>
                <w:bCs/>
                <w:szCs w:val="20"/>
              </w:rPr>
              <w:t xml:space="preserve">Izhodiščna vrednost se je znižala iz več razlogov. SURS je prestavil začetek prenove spletne strani Stat.si in v postopku javnega naročila dosegel znatno nižjo pogodbeno vrednost od prvotno ocenjene. Poleg tega so bile nekatere licence zaradi njihove narave vzdrževanja evidentirane med materialnimi in ne investicijskimi stroški, kar je dodatno zmanjšalo vrednost investicijskega projekta. Nadgradnja sistemov za zbiranje podatkov Intrastat in eStat se nadaljuje, posamezne faze projekta in z njimi povezana plačila pa bodo izvedeni v letih 2026 in 2027. V poznejše obdobje so bile prestavljene tudi nekatere aktivnosti prenove aplikacije za standardno obdelavo podatkov in varne sobe za dostop do podatkov v znanstvenoraziskovalne namene. </w:t>
            </w:r>
          </w:p>
          <w:p w14:paraId="019C78EF" w14:textId="79CCD3E6" w:rsidR="0054780C" w:rsidRPr="008139D4" w:rsidRDefault="0054780C" w:rsidP="008139D4">
            <w:pPr>
              <w:pStyle w:val="Vir"/>
            </w:pPr>
            <w:bookmarkStart w:id="2" w:name="_Hlk195105296"/>
            <w:r w:rsidRPr="00687279">
              <w:t>Vir: Statistični Urad Republike Slovenije</w:t>
            </w:r>
            <w:bookmarkEnd w:id="2"/>
          </w:p>
        </w:tc>
      </w:tr>
      <w:tr w:rsidR="0054780C" w:rsidRPr="00687279" w14:paraId="5B00DDC2" w14:textId="77777777" w:rsidTr="00721A97">
        <w:trPr>
          <w:gridAfter w:val="1"/>
          <w:wAfter w:w="567" w:type="dxa"/>
        </w:trPr>
        <w:tc>
          <w:tcPr>
            <w:tcW w:w="7893" w:type="dxa"/>
            <w:gridSpan w:val="2"/>
            <w:tcBorders>
              <w:top w:val="nil"/>
              <w:left w:val="nil"/>
              <w:bottom w:val="nil"/>
              <w:right w:val="nil"/>
            </w:tcBorders>
          </w:tcPr>
          <w:p w14:paraId="68A70AF6" w14:textId="4FA8B721" w:rsidR="0054780C" w:rsidRPr="00687279" w:rsidRDefault="0054780C" w:rsidP="00D15A93">
            <w:pPr>
              <w:pStyle w:val="Naslov2"/>
            </w:pPr>
            <w:r w:rsidRPr="00687279">
              <w:lastRenderedPageBreak/>
              <w:t>Vlada sprejela poročilo o realizaciji načrtovanih dejavnostih in sredstvih za Slovencev izven meja Republike Slovenije v letu 2025</w:t>
            </w:r>
          </w:p>
          <w:p w14:paraId="1E2C2D8F" w14:textId="0AE6C3DF" w:rsidR="0054780C" w:rsidRPr="00687279" w:rsidRDefault="0054780C" w:rsidP="00BF1453">
            <w:pPr>
              <w:jc w:val="both"/>
              <w:rPr>
                <w:rFonts w:cs="Arial"/>
                <w:szCs w:val="20"/>
              </w:rPr>
            </w:pPr>
            <w:r w:rsidRPr="00687279">
              <w:rPr>
                <w:rFonts w:cs="Arial"/>
                <w:szCs w:val="20"/>
              </w:rPr>
              <w:t>Vlada je sprejela poročilo o realizaciji načrtovanih dejavnostih in sredstvih za Slovencev izven meja Republike Slovenije v letu 2025 in ga bo, na podlagi sklepa Komisije Državnega zbora RS za odnose s Slovenci v zamejstvu in po svetu iz leta 2019, posredovala v Državni zbor RS.</w:t>
            </w:r>
          </w:p>
          <w:p w14:paraId="1FDC976D" w14:textId="77777777" w:rsidR="0054780C" w:rsidRPr="00687279" w:rsidRDefault="0054780C" w:rsidP="00BF1453">
            <w:pPr>
              <w:jc w:val="both"/>
              <w:rPr>
                <w:rFonts w:cs="Arial"/>
                <w:szCs w:val="20"/>
              </w:rPr>
            </w:pPr>
          </w:p>
          <w:p w14:paraId="0DAEFAFE" w14:textId="5F234DDC" w:rsidR="0054780C" w:rsidRPr="00687279" w:rsidRDefault="0054780C" w:rsidP="00BF1453">
            <w:pPr>
              <w:jc w:val="both"/>
              <w:rPr>
                <w:rFonts w:cs="Arial"/>
                <w:szCs w:val="20"/>
              </w:rPr>
            </w:pPr>
            <w:r w:rsidRPr="00687279">
              <w:rPr>
                <w:rFonts w:cs="Arial"/>
                <w:szCs w:val="20"/>
              </w:rPr>
              <w:t>V poročilu so navedene dejavnosti in sredstva, ki so jih izvedli oziroma realizirali posamezni resorji v letu 2025 (poleg Urada Vlade RS za Slovence v zamejstvu in po svetu še Ministrstvo za kulturo, vključno z Javnim skladom RS za kulturne dejavnosti in Javno agencijo za knjigo RS, Ministrstvo za vzgojo in izobraževanje, Ministrstvo za visoko šolstvo, znanost in inovacije, Ministrstvo za gospodarstvo, turizem in šport, vključno z Javno agencijo SPIRIT Slovenija, Ministrstvo za kmetijstvo, gozdarstvo in prehrano, Ministrstvo za delo, družino, socialne zadeve in enake možnosti, vključno z Javnim štipendijskim, razvojnim, invalidskim in preživninskim skladom, Ministrstvo za kohezijo in regionalni razvoj, Ministrstvo za zunanje in evropske zadeve in Ministrstvo za obrambo) z namenom ohranjanja in razvoja slovenskih skupnosti zunaj Republike Slovenije.</w:t>
            </w:r>
          </w:p>
          <w:p w14:paraId="798C0C64" w14:textId="63824B5B" w:rsidR="0054780C" w:rsidRDefault="0054780C" w:rsidP="009B22C6">
            <w:pPr>
              <w:pStyle w:val="Vir"/>
            </w:pPr>
            <w:r w:rsidRPr="00687279">
              <w:t>Vir: Urad Vlade Republike Slovenije za Slovence v zamejstvu in po svetu</w:t>
            </w:r>
          </w:p>
          <w:p w14:paraId="492F7027" w14:textId="77777777" w:rsidR="0054780C" w:rsidRPr="00687279" w:rsidRDefault="0054780C" w:rsidP="00BF1453">
            <w:pPr>
              <w:jc w:val="both"/>
              <w:rPr>
                <w:rFonts w:cs="Arial"/>
                <w:szCs w:val="20"/>
              </w:rPr>
            </w:pPr>
          </w:p>
          <w:p w14:paraId="21B5EAE3" w14:textId="77777777" w:rsidR="0054780C" w:rsidRPr="00687279" w:rsidRDefault="0054780C" w:rsidP="00721A97">
            <w:pPr>
              <w:jc w:val="both"/>
              <w:rPr>
                <w:rFonts w:cs="Arial"/>
                <w:color w:val="FF0000"/>
                <w:szCs w:val="20"/>
              </w:rPr>
            </w:pPr>
          </w:p>
        </w:tc>
      </w:tr>
      <w:tr w:rsidR="0054780C" w:rsidRPr="00687279" w14:paraId="5FF5893E" w14:textId="77777777" w:rsidTr="00721A97">
        <w:trPr>
          <w:gridAfter w:val="1"/>
          <w:wAfter w:w="567" w:type="dxa"/>
        </w:trPr>
        <w:tc>
          <w:tcPr>
            <w:tcW w:w="7893" w:type="dxa"/>
            <w:gridSpan w:val="2"/>
            <w:tcBorders>
              <w:top w:val="nil"/>
              <w:left w:val="nil"/>
              <w:bottom w:val="nil"/>
              <w:right w:val="nil"/>
            </w:tcBorders>
          </w:tcPr>
          <w:p w14:paraId="5B0B9EB4" w14:textId="77777777" w:rsidR="0054780C" w:rsidRPr="00687279" w:rsidRDefault="0054780C" w:rsidP="009B22C6">
            <w:pPr>
              <w:pStyle w:val="Naslov2"/>
            </w:pPr>
            <w:r w:rsidRPr="00687279">
              <w:lastRenderedPageBreak/>
              <w:t>Vlada soglaša z osnutkom skupnega stališča EU za začasno zaprtje poglavja 29 (Carinska unija), poglavja 14 (Prometna politika) in poglavja 8 (Politika konkurence) za Črno goro</w:t>
            </w:r>
          </w:p>
          <w:p w14:paraId="54DAD023" w14:textId="2E8E1155" w:rsidR="0054780C" w:rsidRPr="00687279" w:rsidRDefault="0054780C" w:rsidP="00687279">
            <w:pPr>
              <w:spacing w:line="240" w:lineRule="auto"/>
              <w:jc w:val="both"/>
              <w:rPr>
                <w:rFonts w:cs="Arial"/>
                <w:bCs/>
                <w:szCs w:val="20"/>
              </w:rPr>
            </w:pPr>
            <w:r w:rsidRPr="00687279">
              <w:rPr>
                <w:rFonts w:cs="Arial"/>
                <w:bCs/>
                <w:szCs w:val="20"/>
              </w:rPr>
              <w:t xml:space="preserve">Vlada </w:t>
            </w:r>
            <w:r w:rsidRPr="00687279">
              <w:rPr>
                <w:rFonts w:cs="Arial"/>
                <w:szCs w:val="20"/>
              </w:rPr>
              <w:t xml:space="preserve">soglaša z osnutkom skupnega stališča EU za začasno zaprtje poglavja 29 (Carinska unija), poglavja 14 (Prometna politika) in poglavja 8 (Politika konkurence) za Črno goro. To svoje stališče posreduje Državnemu zboru. </w:t>
            </w:r>
          </w:p>
          <w:p w14:paraId="696FB763" w14:textId="77777777" w:rsidR="0054780C" w:rsidRPr="00687279" w:rsidRDefault="0054780C" w:rsidP="00687279">
            <w:pPr>
              <w:pStyle w:val="Brezrazmikov"/>
              <w:jc w:val="both"/>
              <w:rPr>
                <w:rFonts w:ascii="Arial" w:hAnsi="Arial" w:cs="Arial"/>
                <w:sz w:val="20"/>
                <w:szCs w:val="20"/>
              </w:rPr>
            </w:pPr>
          </w:p>
          <w:p w14:paraId="7DDB47A6" w14:textId="77777777" w:rsidR="0054780C" w:rsidRPr="00687279" w:rsidRDefault="0054780C" w:rsidP="00687279">
            <w:pPr>
              <w:spacing w:after="240" w:line="240" w:lineRule="auto"/>
              <w:jc w:val="both"/>
              <w:rPr>
                <w:rFonts w:cs="Arial"/>
                <w:bCs/>
                <w:szCs w:val="20"/>
              </w:rPr>
            </w:pPr>
            <w:r w:rsidRPr="00687279">
              <w:rPr>
                <w:rFonts w:cs="Arial"/>
                <w:bCs/>
                <w:szCs w:val="20"/>
              </w:rPr>
              <w:t>Črna gora je v svojem pogajalskem izhodišču CONF-ME 10/14 REV 2 in dodatku sprejela pravni red EU iz poglavja 29 (Carinska unija), kakor je veljal 16. aprila 2026, ter se zavezala, da bo svojo zakonodajo še naprej usklajevala s pravnim redom EU. Poleg tega je izjavila, da bo do dne pristopa k Evropski uniji pripravljena izvajati pravni red EU.</w:t>
            </w:r>
          </w:p>
          <w:p w14:paraId="6058A0B7" w14:textId="77777777" w:rsidR="0054780C" w:rsidRPr="00687279" w:rsidRDefault="0054780C" w:rsidP="00687279">
            <w:pPr>
              <w:spacing w:after="240" w:line="240" w:lineRule="auto"/>
              <w:jc w:val="both"/>
              <w:rPr>
                <w:rFonts w:cs="Arial"/>
                <w:bCs/>
                <w:szCs w:val="20"/>
              </w:rPr>
            </w:pPr>
            <w:r w:rsidRPr="00687279">
              <w:rPr>
                <w:rFonts w:cs="Arial"/>
                <w:bCs/>
                <w:szCs w:val="20"/>
              </w:rPr>
              <w:t>Črna gora je 14. maja 2026 predložila poročilo o ukrepih in dejavnostih za izvajanje svojih obveznosti v okviru poglavja 8 ter o izpolnjevanju zaključnih meril. V tem poročilu je navedla, da je njena zakonodaja na področju konkurence in državnih pomoči usklajena s pravnim redom EU. Črna gora je prav tako navedla, da je upravni okvir, potreben za izvajanje zakonodaje, v veliki meri vzpostavljen, podprt pa je z institucionalno in finančno neodvisnostjo pristojnega izvršilnega organa – Agencije za varstvo konkurence (AVK). V poročilu Črna gora navaja podatke o dosedanjih rezultatih Agencije pri izvrševanju pravil o konkurenci in državnih pomočeh, vključno z zaključkom pomembnih zadev s področja državnih pomoči v okviru četrtega zaključnega merila.</w:t>
            </w:r>
          </w:p>
          <w:p w14:paraId="431A7E99" w14:textId="77777777" w:rsidR="0054780C" w:rsidRPr="00687279" w:rsidRDefault="0054780C" w:rsidP="00687279">
            <w:pPr>
              <w:spacing w:after="240" w:line="240" w:lineRule="auto"/>
              <w:jc w:val="both"/>
              <w:rPr>
                <w:rFonts w:cs="Arial"/>
                <w:bCs/>
                <w:szCs w:val="20"/>
              </w:rPr>
            </w:pPr>
            <w:r w:rsidRPr="00687279">
              <w:rPr>
                <w:rFonts w:cs="Arial"/>
                <w:bCs/>
                <w:szCs w:val="20"/>
              </w:rPr>
              <w:t>Črna gora ni zaprosila za odstopanja ali prehodna obdobja za izvajanje pravnega reda EU v okviru tega poglavja.</w:t>
            </w:r>
          </w:p>
          <w:p w14:paraId="6A777F8F" w14:textId="77777777" w:rsidR="0054780C" w:rsidRPr="00687279" w:rsidRDefault="0054780C" w:rsidP="00687279">
            <w:pPr>
              <w:spacing w:line="240" w:lineRule="auto"/>
              <w:jc w:val="both"/>
              <w:rPr>
                <w:rFonts w:cs="Arial"/>
                <w:bCs/>
                <w:szCs w:val="20"/>
              </w:rPr>
            </w:pPr>
            <w:r w:rsidRPr="00687279">
              <w:rPr>
                <w:rFonts w:cs="Arial"/>
                <w:bCs/>
                <w:szCs w:val="20"/>
              </w:rPr>
              <w:t xml:space="preserve">Evropska komisija ugotavlja, da so bila zaključna merila, kot so določena v skupnem stališču EU AD 2/20 CONF-ME 1, zadovoljivo izpolnjena in da to poglavje na tej stopnji ne zahteva nadaljnjih pogajanj. </w:t>
            </w:r>
          </w:p>
          <w:p w14:paraId="0F3663FB" w14:textId="5AED5B7E" w:rsidR="0054780C" w:rsidRPr="00687279" w:rsidRDefault="0054780C" w:rsidP="00687279">
            <w:pPr>
              <w:spacing w:line="240" w:lineRule="auto"/>
              <w:jc w:val="both"/>
              <w:rPr>
                <w:rFonts w:cs="Arial"/>
                <w:szCs w:val="20"/>
              </w:rPr>
            </w:pPr>
            <w:r w:rsidRPr="00687279">
              <w:rPr>
                <w:rFonts w:cs="Arial"/>
                <w:szCs w:val="20"/>
              </w:rPr>
              <w:t>Dokumenta nista predlog zakonodajnega akta EU, temveč gre za delovna dokumenta, ki se obravnavata na Delovni skupini Sveta za širitev, ter bosta v končni fazi potrjena na zasedanju Sveta predvidoma julija 2026.</w:t>
            </w:r>
          </w:p>
          <w:p w14:paraId="5EEA5CC3" w14:textId="30DBFC00" w:rsidR="0054780C" w:rsidRPr="009B22C6" w:rsidRDefault="0054780C" w:rsidP="009B22C6">
            <w:pPr>
              <w:pStyle w:val="Vir"/>
              <w:rPr>
                <w:lang w:val="it-IT"/>
              </w:rPr>
            </w:pPr>
            <w:r w:rsidRPr="00687279">
              <w:t>Vir: Ministrstvo za zunanje in evropske zadeve</w:t>
            </w:r>
          </w:p>
        </w:tc>
      </w:tr>
      <w:tr w:rsidR="0054780C" w:rsidRPr="00687279" w14:paraId="2540DDE7" w14:textId="77777777" w:rsidTr="00721A97">
        <w:trPr>
          <w:gridAfter w:val="1"/>
          <w:wAfter w:w="567" w:type="dxa"/>
        </w:trPr>
        <w:tc>
          <w:tcPr>
            <w:tcW w:w="7893" w:type="dxa"/>
            <w:gridSpan w:val="2"/>
            <w:tcBorders>
              <w:top w:val="nil"/>
              <w:left w:val="nil"/>
              <w:bottom w:val="nil"/>
              <w:right w:val="nil"/>
            </w:tcBorders>
          </w:tcPr>
          <w:p w14:paraId="6E7537D2" w14:textId="77777777" w:rsidR="0054780C" w:rsidRPr="00687279" w:rsidRDefault="0054780C" w:rsidP="009B22C6">
            <w:pPr>
              <w:pStyle w:val="Naslov2"/>
            </w:pPr>
            <w:r w:rsidRPr="00687279">
              <w:t>Vlada soglaša z osnutkom skupnega stališča EU za začasno zaprtje poglavij 25 (Znanost in raziskave), 26 (Izobraževanje in kultura) in 30 (Zunanji odnosi) za Albanijo</w:t>
            </w:r>
          </w:p>
          <w:p w14:paraId="6010E213" w14:textId="58C09E20" w:rsidR="0054780C" w:rsidRPr="00687279" w:rsidRDefault="0054780C" w:rsidP="004A2E06">
            <w:pPr>
              <w:spacing w:line="240" w:lineRule="auto"/>
              <w:jc w:val="both"/>
              <w:rPr>
                <w:rFonts w:cs="Arial"/>
                <w:bCs/>
                <w:szCs w:val="20"/>
              </w:rPr>
            </w:pPr>
            <w:r w:rsidRPr="00687279">
              <w:rPr>
                <w:rFonts w:cs="Arial"/>
                <w:szCs w:val="20"/>
              </w:rPr>
              <w:t xml:space="preserve">Vlada soglaša z osnutki skupnih stališč EU za začasno zaprtje poglavij 25 (Znanost in raziskave), 26 (Izobraževanje in kultura) in 30 (Zunanji odnosi) za Albanijo. To svoje stališče posreduje Državnemu zboru. </w:t>
            </w:r>
          </w:p>
          <w:p w14:paraId="02BDD942" w14:textId="77777777" w:rsidR="0054780C" w:rsidRPr="00687279" w:rsidRDefault="0054780C" w:rsidP="004A2E06">
            <w:pPr>
              <w:pStyle w:val="Brezrazmikov"/>
              <w:jc w:val="both"/>
              <w:rPr>
                <w:rFonts w:ascii="Arial" w:hAnsi="Arial" w:cs="Arial"/>
                <w:sz w:val="20"/>
                <w:szCs w:val="20"/>
              </w:rPr>
            </w:pPr>
          </w:p>
          <w:p w14:paraId="48447119" w14:textId="77777777" w:rsidR="0054780C" w:rsidRPr="00687279" w:rsidRDefault="0054780C" w:rsidP="004A2E06">
            <w:pPr>
              <w:pStyle w:val="Brezrazmikov"/>
              <w:jc w:val="both"/>
              <w:rPr>
                <w:rFonts w:ascii="Arial" w:hAnsi="Arial" w:cs="Arial"/>
                <w:sz w:val="20"/>
                <w:szCs w:val="20"/>
              </w:rPr>
            </w:pPr>
            <w:r w:rsidRPr="00687279">
              <w:rPr>
                <w:rFonts w:ascii="Arial" w:hAnsi="Arial" w:cs="Arial"/>
                <w:bCs/>
                <w:sz w:val="20"/>
                <w:szCs w:val="20"/>
              </w:rPr>
              <w:t xml:space="preserve">Albanija v svojih pogajalskih stališčih glede omenjenih poglavij sprejema pravni red EU in ustrezne evropske standarde iz teh poglavij, se zavezuje, da bo svojo zakonodajo še naprej usklajevala s pravnim redom Unije in izjavlja, da bo z dnem pristopa pripravljena na njegovo izvajanje. </w:t>
            </w:r>
            <w:r w:rsidRPr="00687279">
              <w:rPr>
                <w:rFonts w:ascii="Arial" w:hAnsi="Arial" w:cs="Arial"/>
                <w:sz w:val="20"/>
                <w:szCs w:val="20"/>
              </w:rPr>
              <w:t>Poglavje 25 in 26 je Albanija odprla maja 2025 na medvladni konferenci, ko so se začela pogajanja v okviru sklopa 3, poglavje 30 pa je odprla decembra 2024 na medvladni konferenci, ko so se začela pogajanja v okviru sklopa 6.</w:t>
            </w:r>
          </w:p>
          <w:p w14:paraId="04B3A7CD" w14:textId="77777777" w:rsidR="0054780C" w:rsidRPr="00687279" w:rsidRDefault="0054780C" w:rsidP="004A2E06">
            <w:pPr>
              <w:spacing w:line="240" w:lineRule="auto"/>
              <w:jc w:val="both"/>
              <w:rPr>
                <w:rFonts w:cs="Arial"/>
                <w:bCs/>
                <w:szCs w:val="20"/>
              </w:rPr>
            </w:pPr>
          </w:p>
          <w:p w14:paraId="7B39142C" w14:textId="77777777" w:rsidR="0054780C" w:rsidRPr="00687279" w:rsidRDefault="0054780C" w:rsidP="004A2E06">
            <w:pPr>
              <w:spacing w:line="240" w:lineRule="auto"/>
              <w:jc w:val="both"/>
              <w:rPr>
                <w:rFonts w:cs="Arial"/>
                <w:bCs/>
                <w:szCs w:val="20"/>
              </w:rPr>
            </w:pPr>
            <w:r w:rsidRPr="00687279">
              <w:rPr>
                <w:rFonts w:cs="Arial"/>
                <w:bCs/>
                <w:szCs w:val="20"/>
              </w:rPr>
              <w:t>Albanija je poročala o ukrepih in dejavnostih za izpolnjevanje svojih obveznosti iz poglavij 25, 26 in 30 ter o izpolnjevanju meril za zaključek pogajanj. Ob tem ni zahtevala nobenega odstopanja ali prehodnega obdobja v okviru teh poglavij.</w:t>
            </w:r>
          </w:p>
          <w:p w14:paraId="57C7DEBC" w14:textId="77777777" w:rsidR="0054780C" w:rsidRPr="00687279" w:rsidRDefault="0054780C" w:rsidP="004A2E06">
            <w:pPr>
              <w:spacing w:line="240" w:lineRule="auto"/>
              <w:jc w:val="both"/>
              <w:rPr>
                <w:rFonts w:cs="Arial"/>
                <w:szCs w:val="20"/>
              </w:rPr>
            </w:pPr>
            <w:r w:rsidRPr="00687279">
              <w:rPr>
                <w:rFonts w:cs="Arial"/>
                <w:szCs w:val="20"/>
              </w:rPr>
              <w:t>Dokumenti niso predlog zakonodajnega akta EU, temveč gre za delovne dokumente, ki se obravnavajo na Delovni skupini Sveta za širitev, ter bodo v končni fazi potrjeni na zasedanju Sveta predvidoma julija 2026.</w:t>
            </w:r>
          </w:p>
          <w:p w14:paraId="29B8AACA" w14:textId="77777777" w:rsidR="0054780C" w:rsidRPr="00687279" w:rsidRDefault="0054780C" w:rsidP="004A2E06">
            <w:pPr>
              <w:tabs>
                <w:tab w:val="left" w:pos="3402"/>
              </w:tabs>
              <w:spacing w:line="240" w:lineRule="auto"/>
              <w:jc w:val="both"/>
              <w:rPr>
                <w:rFonts w:cs="Arial"/>
                <w:szCs w:val="20"/>
              </w:rPr>
            </w:pPr>
          </w:p>
          <w:p w14:paraId="610F5BC7" w14:textId="6AF06B02" w:rsidR="0054780C" w:rsidRPr="009B22C6" w:rsidRDefault="0054780C" w:rsidP="009B22C6">
            <w:pPr>
              <w:pStyle w:val="Vir"/>
              <w:rPr>
                <w:lang w:val="it-IT"/>
              </w:rPr>
            </w:pPr>
            <w:r w:rsidRPr="00687279">
              <w:lastRenderedPageBreak/>
              <w:t>Vir: Ministrstvo za zunanje in evropske zadeve</w:t>
            </w:r>
          </w:p>
        </w:tc>
      </w:tr>
      <w:tr w:rsidR="0054780C" w:rsidRPr="00687279" w14:paraId="702B7024" w14:textId="77777777" w:rsidTr="00721A97">
        <w:trPr>
          <w:gridAfter w:val="1"/>
          <w:wAfter w:w="567" w:type="dxa"/>
        </w:trPr>
        <w:tc>
          <w:tcPr>
            <w:tcW w:w="7893" w:type="dxa"/>
            <w:gridSpan w:val="2"/>
            <w:tcBorders>
              <w:top w:val="nil"/>
              <w:left w:val="nil"/>
              <w:bottom w:val="nil"/>
              <w:right w:val="nil"/>
            </w:tcBorders>
          </w:tcPr>
          <w:p w14:paraId="66F9DB50" w14:textId="77777777" w:rsidR="0054780C" w:rsidRPr="00687279" w:rsidRDefault="0054780C" w:rsidP="004D1535">
            <w:pPr>
              <w:pStyle w:val="Naslov2"/>
            </w:pPr>
            <w:r w:rsidRPr="00687279">
              <w:lastRenderedPageBreak/>
              <w:t>Vlada soglaša z osnutkom skupnega stališča EU za odprtje pogajalskega sklopa 6 (zunanji odnosi) za Ukrajino</w:t>
            </w:r>
          </w:p>
          <w:p w14:paraId="5B39650B" w14:textId="37621351" w:rsidR="0054780C" w:rsidRPr="00687279" w:rsidRDefault="0054780C" w:rsidP="004A2E06">
            <w:pPr>
              <w:tabs>
                <w:tab w:val="left" w:pos="3402"/>
              </w:tabs>
              <w:spacing w:line="240" w:lineRule="auto"/>
              <w:jc w:val="both"/>
              <w:rPr>
                <w:rFonts w:cs="Arial"/>
                <w:szCs w:val="20"/>
              </w:rPr>
            </w:pPr>
            <w:r w:rsidRPr="00687279">
              <w:rPr>
                <w:rFonts w:cs="Arial"/>
                <w:szCs w:val="20"/>
              </w:rPr>
              <w:t xml:space="preserve">Vlada soglaša z osnutkom skupnega stališča EU za odprtje pogajalskega sklopa 6 (zunanji odnosi) - vključno s poglavjema 30 (zunanji odnosi) in 31 (zunanja, varnostna in obrambna politika) – za Ukrajino. To svoje stališče posreduje Državnemu zboru. </w:t>
            </w:r>
          </w:p>
          <w:p w14:paraId="43E634F5" w14:textId="77777777" w:rsidR="0054780C" w:rsidRPr="00687279" w:rsidRDefault="0054780C" w:rsidP="004A2E06">
            <w:pPr>
              <w:tabs>
                <w:tab w:val="left" w:pos="3402"/>
              </w:tabs>
              <w:spacing w:line="240" w:lineRule="auto"/>
              <w:jc w:val="both"/>
              <w:rPr>
                <w:rFonts w:cs="Arial"/>
                <w:szCs w:val="20"/>
              </w:rPr>
            </w:pPr>
          </w:p>
          <w:p w14:paraId="718A6C4C" w14:textId="77777777" w:rsidR="0054780C" w:rsidRPr="00687279" w:rsidRDefault="0054780C" w:rsidP="004A2E06">
            <w:pPr>
              <w:autoSpaceDE w:val="0"/>
              <w:autoSpaceDN w:val="0"/>
              <w:adjustRightInd w:val="0"/>
              <w:spacing w:line="240" w:lineRule="auto"/>
              <w:jc w:val="both"/>
              <w:rPr>
                <w:rFonts w:cs="Arial"/>
                <w:szCs w:val="20"/>
                <w:lang w:eastAsia="sl-SI"/>
              </w:rPr>
            </w:pPr>
            <w:r w:rsidRPr="00687279">
              <w:rPr>
                <w:rFonts w:cs="Arial"/>
                <w:szCs w:val="20"/>
                <w:lang w:eastAsia="sl-SI"/>
              </w:rPr>
              <w:t xml:space="preserve">EU ugotavlja, da Ukrajina v svojem pogajalskem stališču sprejema </w:t>
            </w:r>
            <w:r w:rsidRPr="00687279">
              <w:rPr>
                <w:rFonts w:cs="Arial"/>
                <w:iCs/>
                <w:szCs w:val="20"/>
                <w:lang w:eastAsia="sl-SI"/>
              </w:rPr>
              <w:t xml:space="preserve">pravni red </w:t>
            </w:r>
            <w:r w:rsidRPr="00687279">
              <w:rPr>
                <w:rFonts w:cs="Arial"/>
                <w:szCs w:val="20"/>
                <w:lang w:eastAsia="sl-SI"/>
              </w:rPr>
              <w:t xml:space="preserve">EU in ustrezne evropske standarde iz tega sklopa. Ukrajina ne zahteva nobenih odstopanj ali prehodnih obdobij za izvajanje </w:t>
            </w:r>
            <w:r w:rsidRPr="00687279">
              <w:rPr>
                <w:rFonts w:cs="Arial"/>
                <w:iCs/>
                <w:szCs w:val="20"/>
                <w:lang w:eastAsia="sl-SI"/>
              </w:rPr>
              <w:t xml:space="preserve">pravnega reda </w:t>
            </w:r>
            <w:r w:rsidRPr="00687279">
              <w:rPr>
                <w:rFonts w:cs="Arial"/>
                <w:szCs w:val="20"/>
                <w:lang w:eastAsia="sl-SI"/>
              </w:rPr>
              <w:t xml:space="preserve">EU in ustreznih evropskih standardov v okviru tega sklopa. Ukrajina se zavezuje, da bo pravni red EU pripravljena izvajati do dne vstopa v Evropsko unijo.  </w:t>
            </w:r>
          </w:p>
          <w:p w14:paraId="6669A2E2" w14:textId="77777777" w:rsidR="0054780C" w:rsidRPr="00687279" w:rsidRDefault="0054780C" w:rsidP="004A2E06">
            <w:pPr>
              <w:spacing w:line="240" w:lineRule="auto"/>
              <w:jc w:val="both"/>
              <w:rPr>
                <w:rFonts w:cs="Arial"/>
                <w:szCs w:val="20"/>
                <w:lang w:eastAsia="sl-SI"/>
              </w:rPr>
            </w:pPr>
            <w:r w:rsidRPr="00687279">
              <w:rPr>
                <w:rFonts w:cs="Arial"/>
                <w:szCs w:val="20"/>
              </w:rPr>
              <w:t xml:space="preserve">V okviru poglavja 30 (zunanji odnosi) mora Ukrajina </w:t>
            </w:r>
            <w:r w:rsidRPr="00687279">
              <w:rPr>
                <w:rFonts w:cs="Arial"/>
                <w:szCs w:val="20"/>
                <w:lang w:eastAsia="sl-SI"/>
              </w:rPr>
              <w:t xml:space="preserve">nadaljevati z usklajevanjem svojega pravnega okvira na področju nadzora izvoza blaga z dvojno rabo, neposrednih tujih naložb in preprečevanja trgovine z blagom, ki bi se lahko uporabilo za izvrševanje smrtne kazni, mučenje ali drugo kruto, nečloveško ali ponižujoče ravnanje ali kaznovanje. Hkrati mora Ukrajina Komisiji predloži akcijski načrt, ki vsebuje celovit popis njenih mednarodnih sporazumov, z namenom uskladitve teh sporazumov s pravnim redom EU od dneva pristopa dalje. </w:t>
            </w:r>
          </w:p>
          <w:p w14:paraId="7D9A9AEE" w14:textId="77777777" w:rsidR="0054780C" w:rsidRPr="00687279" w:rsidRDefault="0054780C" w:rsidP="004A2E06">
            <w:pPr>
              <w:spacing w:line="240" w:lineRule="auto"/>
              <w:jc w:val="both"/>
              <w:rPr>
                <w:rFonts w:cs="Arial"/>
                <w:szCs w:val="20"/>
                <w:lang w:eastAsia="sl-SI"/>
              </w:rPr>
            </w:pPr>
            <w:r w:rsidRPr="00687279">
              <w:rPr>
                <w:rFonts w:cs="Arial"/>
                <w:szCs w:val="20"/>
              </w:rPr>
              <w:t>V okviru poglavja</w:t>
            </w:r>
            <w:r w:rsidRPr="00687279">
              <w:rPr>
                <w:rFonts w:cs="Arial"/>
                <w:szCs w:val="20"/>
                <w:lang w:eastAsia="sl-SI"/>
              </w:rPr>
              <w:t xml:space="preserve"> 31 (Zunanja, varnostna in obrambna politika) mora Ukrajina sprejeti nacionalni strateški dokument o osebnem in lahkem orožju, določiti pristojnosti nacionalnih organov in ukrepe, ki jih je treba sprejeti, ter doseči konkreten napredek pri njegovem izvajanju.</w:t>
            </w:r>
          </w:p>
          <w:p w14:paraId="744EEDAD" w14:textId="0AD2DC78" w:rsidR="0054780C" w:rsidRPr="004D1535" w:rsidRDefault="0054780C" w:rsidP="004D1535">
            <w:pPr>
              <w:spacing w:line="240" w:lineRule="auto"/>
              <w:jc w:val="both"/>
              <w:rPr>
                <w:rFonts w:cs="Arial"/>
                <w:szCs w:val="20"/>
              </w:rPr>
            </w:pPr>
            <w:r w:rsidRPr="00687279">
              <w:rPr>
                <w:rFonts w:cs="Arial"/>
                <w:szCs w:val="20"/>
              </w:rPr>
              <w:t>Dokument ni predlog zakonodajnega akta EU, temveč gre za tehnični delovni dokument, ki je podlaga za sprejem na politični ravni. Formalni obravnavi osnutka skupnega stališča na Delovni skupini sveta za širitev predvidoma junija in julija 2026 bo sledila končna potrditev dokumenta na zasedanju Odbora stalnih predstavnikov predvidoma v prvi polovici julija 2026 s ciljem predvidene organizacije medvladne konference za odprtje pogajalskega sklopa 6 z Ukrajino ob robu zasedanja Sveta za splošne zadeve 14. julija 2026.</w:t>
            </w:r>
          </w:p>
          <w:p w14:paraId="3E3E1EAC" w14:textId="56609E37" w:rsidR="0054780C" w:rsidRPr="004D1535" w:rsidRDefault="0054780C" w:rsidP="004D1535">
            <w:pPr>
              <w:pStyle w:val="Vir"/>
              <w:rPr>
                <w:color w:val="FF0000"/>
              </w:rPr>
            </w:pPr>
            <w:r w:rsidRPr="00687279">
              <w:t>Vir: Ministrstvo za zunanje in evropske zadeve</w:t>
            </w:r>
          </w:p>
        </w:tc>
      </w:tr>
      <w:tr w:rsidR="0054780C" w:rsidRPr="00687279" w14:paraId="5C1187F1" w14:textId="77777777" w:rsidTr="00721A97">
        <w:trPr>
          <w:gridAfter w:val="1"/>
          <w:wAfter w:w="567" w:type="dxa"/>
        </w:trPr>
        <w:tc>
          <w:tcPr>
            <w:tcW w:w="7893" w:type="dxa"/>
            <w:gridSpan w:val="2"/>
            <w:tcBorders>
              <w:top w:val="nil"/>
              <w:left w:val="nil"/>
              <w:bottom w:val="nil"/>
              <w:right w:val="nil"/>
            </w:tcBorders>
          </w:tcPr>
          <w:p w14:paraId="36AFB3CE" w14:textId="77777777" w:rsidR="0054780C" w:rsidRPr="00687279" w:rsidRDefault="0054780C" w:rsidP="004D1535">
            <w:pPr>
              <w:pStyle w:val="Naslov2"/>
            </w:pPr>
            <w:r w:rsidRPr="00687279">
              <w:t>Vlada soglaša z osnutkom skupnega stališča EU za odprtje pogajalskega sklopa 6 (zunanji odnosi) za Moldavijo</w:t>
            </w:r>
          </w:p>
          <w:p w14:paraId="2BE33C7A" w14:textId="032450E4" w:rsidR="0054780C" w:rsidRPr="00687279" w:rsidRDefault="0054780C" w:rsidP="004A2E06">
            <w:pPr>
              <w:pStyle w:val="Brezrazmikov"/>
              <w:jc w:val="both"/>
              <w:rPr>
                <w:rFonts w:ascii="Arial" w:hAnsi="Arial" w:cs="Arial"/>
                <w:sz w:val="20"/>
                <w:szCs w:val="20"/>
              </w:rPr>
            </w:pPr>
            <w:r w:rsidRPr="00687279">
              <w:rPr>
                <w:rFonts w:ascii="Arial" w:hAnsi="Arial" w:cs="Arial"/>
                <w:sz w:val="20"/>
                <w:szCs w:val="20"/>
              </w:rPr>
              <w:t xml:space="preserve">Vlada soglaša z osnutkom skupnega stališča EU za odprtje pogajalskega sklopa 6 (zunanji odnosi) - vključno s poglavjema 30 (zunanji odnosi) in 31 (zunanja, varnostna in obrambna politika) - za Republiko Moldavijo. To svoje stališče posreduje Državnemu zboru. </w:t>
            </w:r>
          </w:p>
          <w:p w14:paraId="4793E671" w14:textId="77777777" w:rsidR="0054780C" w:rsidRPr="00687279" w:rsidRDefault="0054780C" w:rsidP="004A2E06">
            <w:pPr>
              <w:pStyle w:val="Brezrazmikov"/>
              <w:jc w:val="both"/>
              <w:rPr>
                <w:rFonts w:ascii="Arial" w:hAnsi="Arial" w:cs="Arial"/>
                <w:sz w:val="20"/>
                <w:szCs w:val="20"/>
              </w:rPr>
            </w:pPr>
          </w:p>
          <w:p w14:paraId="0FFC59E4" w14:textId="77777777" w:rsidR="0054780C" w:rsidRPr="00687279" w:rsidRDefault="0054780C" w:rsidP="004A2E06">
            <w:pPr>
              <w:autoSpaceDE w:val="0"/>
              <w:autoSpaceDN w:val="0"/>
              <w:adjustRightInd w:val="0"/>
              <w:jc w:val="both"/>
              <w:rPr>
                <w:rFonts w:cs="Arial"/>
                <w:szCs w:val="20"/>
                <w:lang w:eastAsia="sl-SI"/>
              </w:rPr>
            </w:pPr>
            <w:r w:rsidRPr="00687279">
              <w:rPr>
                <w:rFonts w:cs="Arial"/>
                <w:szCs w:val="20"/>
                <w:lang w:eastAsia="sl-SI"/>
              </w:rPr>
              <w:t xml:space="preserve">EU ugotavlja, da Moldavija v svojem pogajalskem stališču sprejema </w:t>
            </w:r>
            <w:r w:rsidRPr="00687279">
              <w:rPr>
                <w:rFonts w:cs="Arial"/>
                <w:iCs/>
                <w:szCs w:val="20"/>
                <w:lang w:eastAsia="sl-SI"/>
              </w:rPr>
              <w:t xml:space="preserve">pravni red </w:t>
            </w:r>
            <w:r w:rsidRPr="00687279">
              <w:rPr>
                <w:rFonts w:cs="Arial"/>
                <w:szCs w:val="20"/>
                <w:lang w:eastAsia="sl-SI"/>
              </w:rPr>
              <w:t xml:space="preserve">EU in ustrezne evropske standarde iz tega sklopa. Moldavija ne zahteva nobenih odstopanj ali prehodnih obdobij za izvajanje </w:t>
            </w:r>
            <w:r w:rsidRPr="00687279">
              <w:rPr>
                <w:rFonts w:cs="Arial"/>
                <w:iCs/>
                <w:szCs w:val="20"/>
                <w:lang w:eastAsia="sl-SI"/>
              </w:rPr>
              <w:t xml:space="preserve">pravnega reda </w:t>
            </w:r>
            <w:r w:rsidRPr="00687279">
              <w:rPr>
                <w:rFonts w:cs="Arial"/>
                <w:szCs w:val="20"/>
                <w:lang w:eastAsia="sl-SI"/>
              </w:rPr>
              <w:t xml:space="preserve">EU in ustreznih evropskih standardov v okviru tega sklopa. Moldavija se zavezuje, da bo pravni red EU pripravljena izvajati do dne vstopa v Evropsko unijo.  </w:t>
            </w:r>
          </w:p>
          <w:p w14:paraId="5F113553" w14:textId="77777777" w:rsidR="0054780C" w:rsidRPr="00687279" w:rsidRDefault="0054780C" w:rsidP="004A2E06">
            <w:pPr>
              <w:jc w:val="both"/>
              <w:rPr>
                <w:rFonts w:cs="Arial"/>
                <w:szCs w:val="20"/>
                <w:lang w:eastAsia="sl-SI"/>
              </w:rPr>
            </w:pPr>
            <w:r w:rsidRPr="00687279">
              <w:rPr>
                <w:rFonts w:cs="Arial"/>
                <w:szCs w:val="20"/>
              </w:rPr>
              <w:t xml:space="preserve">V okviru poglavja 30 (zunanji odnosi) mora Moldavija </w:t>
            </w:r>
            <w:r w:rsidRPr="00687279">
              <w:rPr>
                <w:rFonts w:cs="Arial"/>
                <w:szCs w:val="20"/>
                <w:lang w:eastAsia="sl-SI"/>
              </w:rPr>
              <w:t xml:space="preserve">nadaljevati z usklajevanjem svojega pravnega okvira na področju nadzora izvoza blaga za dvojno rabo, neposrednih tujih naložb in preprečevanja trgovine z blagom, ki bi se lahko uporabilo za izvrševanje smrtne kazni, mučenje ali drugo kruto, nečloveško ali ponižujoče ravnanje ali kaznovanje. Hkrati mora Moldavija Komisiji predloži akcijski načrt, ki vsebuje celovit popis njenih mednarodnih sporazumov, z namenom uskladitve teh sporazumov s pravnim redom EU od dneva pristopa dalje. </w:t>
            </w:r>
          </w:p>
          <w:p w14:paraId="3237A584" w14:textId="77777777" w:rsidR="0054780C" w:rsidRPr="00687279" w:rsidRDefault="0054780C" w:rsidP="004A2E06">
            <w:pPr>
              <w:jc w:val="both"/>
              <w:rPr>
                <w:rFonts w:cs="Arial"/>
                <w:szCs w:val="20"/>
                <w:lang w:eastAsia="sl-SI"/>
              </w:rPr>
            </w:pPr>
            <w:r w:rsidRPr="00687279">
              <w:rPr>
                <w:rFonts w:cs="Arial"/>
                <w:szCs w:val="20"/>
              </w:rPr>
              <w:lastRenderedPageBreak/>
              <w:t>V okviru poglavja</w:t>
            </w:r>
            <w:r w:rsidRPr="00687279">
              <w:rPr>
                <w:rFonts w:cs="Arial"/>
                <w:szCs w:val="20"/>
                <w:lang w:eastAsia="sl-SI"/>
              </w:rPr>
              <w:t xml:space="preserve"> 31 (Zunanja, varnostna in obrambna politika) mora Moldavija sprejeti nacionalni strateški dokument o osebnem in lahkem orožju, določiti pristojnosti nacionalnih organov in ukrepe, ki jih je treba sprejeti, ter doseči konkreten napredek pri njegovem izvajanju.</w:t>
            </w:r>
          </w:p>
          <w:p w14:paraId="5D098CAE" w14:textId="1ED9D5D2" w:rsidR="0054780C" w:rsidRPr="00687279" w:rsidRDefault="0054780C" w:rsidP="00721A97">
            <w:pPr>
              <w:jc w:val="both"/>
              <w:rPr>
                <w:rFonts w:cs="Arial"/>
                <w:szCs w:val="20"/>
              </w:rPr>
            </w:pPr>
            <w:r w:rsidRPr="00687279">
              <w:rPr>
                <w:rFonts w:cs="Arial"/>
                <w:szCs w:val="20"/>
              </w:rPr>
              <w:t xml:space="preserve">Dokument ni predlog zakonodajnega akta EU, temveč gre za tehnični delovni dokument, ki je podlaga za sprejem na politični ravni. Formalni obravnavi osnutka skupnega stališča na Delovni skupini sveta za širitev predvidoma junija in julija 2026 sledi končna potrditev dokumenta na zasedanju Odbora stalnih predstavnikov predvidoma v prvi polovici julija 2026 s ciljem predvidene organizacije medvladne konference za odprtje pogajalskega sklopa 6 z Moldavijo ob robu zasedanja Sveta za splošne zadeve 14. julija 2026. </w:t>
            </w:r>
          </w:p>
          <w:p w14:paraId="255C2C05" w14:textId="02DA9F19" w:rsidR="0054780C" w:rsidRPr="004D1535" w:rsidRDefault="0054780C" w:rsidP="004D1535">
            <w:pPr>
              <w:pStyle w:val="Vir"/>
            </w:pPr>
            <w:r w:rsidRPr="00687279">
              <w:t>Vir: Ministrstvo za zunanje in evropske zadeve</w:t>
            </w:r>
          </w:p>
        </w:tc>
      </w:tr>
      <w:tr w:rsidR="0054780C" w:rsidRPr="00687279" w14:paraId="22A10DA9" w14:textId="77777777" w:rsidTr="00721A97">
        <w:trPr>
          <w:gridAfter w:val="1"/>
          <w:wAfter w:w="567" w:type="dxa"/>
        </w:trPr>
        <w:tc>
          <w:tcPr>
            <w:tcW w:w="7893" w:type="dxa"/>
            <w:gridSpan w:val="2"/>
            <w:tcBorders>
              <w:top w:val="nil"/>
              <w:left w:val="nil"/>
              <w:bottom w:val="nil"/>
              <w:right w:val="nil"/>
            </w:tcBorders>
          </w:tcPr>
          <w:p w14:paraId="79E28CCC" w14:textId="77777777" w:rsidR="0054780C" w:rsidRPr="00687279" w:rsidRDefault="0054780C" w:rsidP="004D1535">
            <w:pPr>
              <w:pStyle w:val="Naslov2"/>
            </w:pPr>
            <w:r w:rsidRPr="00687279">
              <w:lastRenderedPageBreak/>
              <w:t>Vlada soglaša z osnutkom skupnega stališča EU za odprtje pogajalskega sklopa sklopa 2 (notranji trg) za Ukrajino</w:t>
            </w:r>
          </w:p>
          <w:p w14:paraId="57148491" w14:textId="1150BD53" w:rsidR="0054780C" w:rsidRPr="00687279" w:rsidRDefault="0054780C" w:rsidP="004A2E06">
            <w:pPr>
              <w:pStyle w:val="Brezrazmikov"/>
              <w:jc w:val="both"/>
              <w:rPr>
                <w:rFonts w:ascii="Arial" w:hAnsi="Arial" w:cs="Arial"/>
                <w:sz w:val="20"/>
                <w:szCs w:val="20"/>
              </w:rPr>
            </w:pPr>
            <w:r w:rsidRPr="00687279">
              <w:rPr>
                <w:rFonts w:ascii="Arial" w:hAnsi="Arial" w:cs="Arial"/>
                <w:sz w:val="20"/>
                <w:szCs w:val="20"/>
              </w:rPr>
              <w:t xml:space="preserve">Vlada soglaša z osnutkom skupnega stališča EU za odprtje pogajalskega sklopa 2 (notranji trg) - vključno s poglavji 1 (prost pretok blaga), 2 (prost pretok delavcev), 3 (pravica do ustanavljanja in svoboda opravljanja storitev), 4 (prost pretok kapitala), 6 (pravo gospodarskih družb), 7 (pravo intelektualne lastnine), 8 (politika konkurence), 9 (finančne storitve) in 28 (varstvo potrošnikov in zdravja) - za Ukrajino. To svoje stališče posreduje Državnemu zboru. </w:t>
            </w:r>
          </w:p>
          <w:p w14:paraId="492EA238" w14:textId="77777777" w:rsidR="0054780C" w:rsidRPr="00687279" w:rsidRDefault="0054780C" w:rsidP="004A2E06">
            <w:pPr>
              <w:pStyle w:val="Brezrazmikov"/>
              <w:jc w:val="both"/>
              <w:rPr>
                <w:rFonts w:ascii="Arial" w:hAnsi="Arial" w:cs="Arial"/>
                <w:sz w:val="20"/>
                <w:szCs w:val="20"/>
              </w:rPr>
            </w:pPr>
          </w:p>
          <w:p w14:paraId="1D120C46" w14:textId="77777777" w:rsidR="0054780C" w:rsidRPr="00687279" w:rsidRDefault="0054780C" w:rsidP="004A2E06">
            <w:pPr>
              <w:autoSpaceDE w:val="0"/>
              <w:autoSpaceDN w:val="0"/>
              <w:adjustRightInd w:val="0"/>
              <w:spacing w:line="240" w:lineRule="auto"/>
              <w:jc w:val="both"/>
              <w:rPr>
                <w:rFonts w:cs="Arial"/>
                <w:szCs w:val="20"/>
              </w:rPr>
            </w:pPr>
            <w:r w:rsidRPr="00687279">
              <w:rPr>
                <w:rFonts w:cs="Arial"/>
                <w:szCs w:val="20"/>
                <w:lang w:eastAsia="sl-SI"/>
              </w:rPr>
              <w:t xml:space="preserve">EU ugotavlja, da Ukrajina v svojem pogajalskem stališču sprejema </w:t>
            </w:r>
            <w:r w:rsidRPr="00687279">
              <w:rPr>
                <w:rFonts w:cs="Arial"/>
                <w:iCs/>
                <w:szCs w:val="20"/>
                <w:lang w:eastAsia="sl-SI"/>
              </w:rPr>
              <w:t xml:space="preserve">pravni red </w:t>
            </w:r>
            <w:r w:rsidRPr="00687279">
              <w:rPr>
                <w:rFonts w:cs="Arial"/>
                <w:szCs w:val="20"/>
                <w:lang w:eastAsia="sl-SI"/>
              </w:rPr>
              <w:t xml:space="preserve">EU in ustrezne evropske standarde iz tega sklopa. Ukrajina se zavezuje, da bo pravni red EU pripravljena izvajati do dne vstopa v Evropsko unijo, </w:t>
            </w:r>
            <w:r w:rsidRPr="00687279">
              <w:rPr>
                <w:rFonts w:cs="Arial"/>
                <w:szCs w:val="20"/>
              </w:rPr>
              <w:t>razen na tistih področjih v poglavjih 4 (prost pretok kapitala) in 9 (finančne storitve), za katera je zaprosila za prehodno obdobje.</w:t>
            </w:r>
          </w:p>
          <w:p w14:paraId="586D894F" w14:textId="77777777" w:rsidR="0054780C" w:rsidRDefault="0054780C" w:rsidP="004A2E06">
            <w:pPr>
              <w:autoSpaceDE w:val="0"/>
              <w:autoSpaceDN w:val="0"/>
              <w:adjustRightInd w:val="0"/>
              <w:spacing w:line="240" w:lineRule="auto"/>
              <w:jc w:val="both"/>
              <w:rPr>
                <w:rFonts w:cs="Arial"/>
                <w:szCs w:val="20"/>
              </w:rPr>
            </w:pPr>
            <w:r w:rsidRPr="00687279">
              <w:rPr>
                <w:rFonts w:cs="Arial"/>
                <w:szCs w:val="20"/>
              </w:rPr>
              <w:t>EU opozarja na svoje splošno pogajalsko stališče, da so prehodni ukrepi izjemni, časovno in vsebinsko omejeni ter jih mora spremljati načrt z jasno opredeljenimi fazami za uporabo pravnega reda EU. Takšni ukrepi ne smejo vključevati sprememb pravil ali politik EU, ovirati njihovega pravilnega delovanja ali povzročati znatnega izkrivljanja konkurence.</w:t>
            </w:r>
          </w:p>
          <w:p w14:paraId="4DD92997" w14:textId="77777777" w:rsidR="0054780C" w:rsidRPr="00687279" w:rsidRDefault="0054780C" w:rsidP="004A2E06">
            <w:pPr>
              <w:autoSpaceDE w:val="0"/>
              <w:autoSpaceDN w:val="0"/>
              <w:adjustRightInd w:val="0"/>
              <w:spacing w:line="240" w:lineRule="auto"/>
              <w:jc w:val="both"/>
              <w:rPr>
                <w:rFonts w:cs="Arial"/>
                <w:szCs w:val="20"/>
              </w:rPr>
            </w:pPr>
          </w:p>
          <w:p w14:paraId="7D397828" w14:textId="77777777" w:rsidR="0054780C" w:rsidRDefault="0054780C" w:rsidP="004A2E06">
            <w:pPr>
              <w:spacing w:line="240" w:lineRule="auto"/>
              <w:jc w:val="both"/>
              <w:rPr>
                <w:rFonts w:cs="Arial"/>
                <w:szCs w:val="20"/>
              </w:rPr>
            </w:pPr>
            <w:r w:rsidRPr="00687279">
              <w:rPr>
                <w:rFonts w:cs="Arial"/>
                <w:szCs w:val="20"/>
              </w:rPr>
              <w:t>EU ocenjuje, da je Ukrajina delno usklajena z evropskimi standardi in pravnim redom EU v okviru sklopa, zato preliminarni osnutek skupnega stališča EU vsebuje predloge za zagotavljanje popolne usklajenosti. Dokument vsebuje zaveze za izvajanje reform v okviru pogajalskega sklopa in predlaga merila za začasno zaprtje poglavij 1 (prost pretok blaga), 2 (prost pretok delavcev), 3 (pravica do ustanavljanja in svoboda opravljanja storitev), 4 (prost pretok kapitala), 6 (pravo gospodarskih družb), 7 (pravo intelektualne lastnine), 8 (politika konkurence), 9 (finančne storitve) in 28 (varstvo potrošnikov in zdravja).</w:t>
            </w:r>
          </w:p>
          <w:p w14:paraId="43F2EC96" w14:textId="77777777" w:rsidR="0054780C" w:rsidRPr="00687279" w:rsidRDefault="0054780C" w:rsidP="004A2E06">
            <w:pPr>
              <w:spacing w:line="240" w:lineRule="auto"/>
              <w:jc w:val="both"/>
              <w:rPr>
                <w:rFonts w:cs="Arial"/>
                <w:szCs w:val="20"/>
              </w:rPr>
            </w:pPr>
          </w:p>
          <w:p w14:paraId="0050B4B5" w14:textId="1476C546" w:rsidR="0054780C" w:rsidRPr="004D1535" w:rsidRDefault="0054780C" w:rsidP="004D1535">
            <w:pPr>
              <w:spacing w:line="240" w:lineRule="auto"/>
              <w:jc w:val="both"/>
              <w:rPr>
                <w:rFonts w:cs="Arial"/>
                <w:szCs w:val="20"/>
              </w:rPr>
            </w:pPr>
            <w:r w:rsidRPr="00687279">
              <w:rPr>
                <w:rFonts w:cs="Arial"/>
                <w:szCs w:val="20"/>
              </w:rPr>
              <w:t>Dokument ni predlog zakonodajnega akta EU, temveč gre za tehnični delovni dokument, ki je podlaga za sprejem na politični ravni. Delovna skupina Sveta za širitev opravila formalno razpravo, čemur sledi formalna potrditev na zasedanju Odbora stalnih predstavnikov s ciljem predvidene organizacije medvladne konference za odprtje pogajalskega sklopa 2 z Ukrajino ob robu zasedanja Sveta za splošne zadeve 14. julija 2026.</w:t>
            </w:r>
          </w:p>
          <w:p w14:paraId="69EC2053" w14:textId="2B7AD47D" w:rsidR="0054780C" w:rsidRPr="004D1535" w:rsidRDefault="0054780C" w:rsidP="004D1535">
            <w:pPr>
              <w:pStyle w:val="Vir"/>
            </w:pPr>
            <w:r w:rsidRPr="00687279">
              <w:t>Vir: Ministrstvo za zunanje in evropske zadeve</w:t>
            </w:r>
          </w:p>
        </w:tc>
      </w:tr>
      <w:tr w:rsidR="0054780C" w:rsidRPr="00687279" w14:paraId="3EF3849F" w14:textId="77777777" w:rsidTr="00721A97">
        <w:trPr>
          <w:gridAfter w:val="1"/>
          <w:wAfter w:w="567" w:type="dxa"/>
        </w:trPr>
        <w:tc>
          <w:tcPr>
            <w:tcW w:w="7893" w:type="dxa"/>
            <w:gridSpan w:val="2"/>
            <w:tcBorders>
              <w:top w:val="nil"/>
              <w:left w:val="nil"/>
              <w:bottom w:val="nil"/>
              <w:right w:val="nil"/>
            </w:tcBorders>
          </w:tcPr>
          <w:p w14:paraId="51643737" w14:textId="77777777" w:rsidR="0054780C" w:rsidRPr="005A0FB2" w:rsidRDefault="0054780C" w:rsidP="004D1535">
            <w:pPr>
              <w:pStyle w:val="Naslov2"/>
            </w:pPr>
            <w:r w:rsidRPr="005A0FB2">
              <w:t>Vlada soglaša z osnutkom skupnega stališča EU za odprtje pogajalskega sklopa sklopa 2 (notranji trg) za Moldavijo</w:t>
            </w:r>
          </w:p>
          <w:p w14:paraId="0432E9CE" w14:textId="0E780ABE" w:rsidR="0054780C" w:rsidRPr="005A0FB2" w:rsidRDefault="0054780C" w:rsidP="00687279">
            <w:pPr>
              <w:pStyle w:val="Brezrazmikov"/>
              <w:jc w:val="both"/>
              <w:rPr>
                <w:rFonts w:ascii="Arial" w:hAnsi="Arial" w:cs="Arial"/>
                <w:sz w:val="20"/>
                <w:szCs w:val="20"/>
              </w:rPr>
            </w:pPr>
            <w:r w:rsidRPr="005A0FB2">
              <w:rPr>
                <w:rFonts w:ascii="Arial" w:hAnsi="Arial" w:cs="Arial"/>
                <w:sz w:val="20"/>
                <w:szCs w:val="20"/>
              </w:rPr>
              <w:t xml:space="preserve">Vlada soglaša z osnutkom skupnega stališča EU za odprtje pogajalskega sklopa 2 (notranji trg) - vključno s poglavji 1 (prost pretok blaga), 2 (prost pretok delavcev), 3 (pravica do ustanavljanja in svoboda opravljanja storitev), 4 (prost pretok kapitala), 6 (pravo gospodarskih družb), 7 (pravo intelektualne lastnine), 8 (politika konkurence), 9 </w:t>
            </w:r>
            <w:r w:rsidRPr="005A0FB2">
              <w:rPr>
                <w:rFonts w:ascii="Arial" w:hAnsi="Arial" w:cs="Arial"/>
                <w:sz w:val="20"/>
                <w:szCs w:val="20"/>
              </w:rPr>
              <w:lastRenderedPageBreak/>
              <w:t xml:space="preserve">(finančne storitve) in 28 (varstvo potrošnikov in zdravja) - za Republiko Moldavijo. To svoje stališče posreduje Državnemu zboru. </w:t>
            </w:r>
          </w:p>
          <w:p w14:paraId="3040361D" w14:textId="77777777" w:rsidR="0054780C" w:rsidRPr="005A0FB2" w:rsidRDefault="0054780C" w:rsidP="00687279">
            <w:pPr>
              <w:pStyle w:val="Brezrazmikov"/>
              <w:jc w:val="both"/>
              <w:rPr>
                <w:rFonts w:ascii="Arial" w:hAnsi="Arial" w:cs="Arial"/>
                <w:sz w:val="20"/>
                <w:szCs w:val="20"/>
              </w:rPr>
            </w:pPr>
          </w:p>
          <w:p w14:paraId="2A68CBCE" w14:textId="77777777" w:rsidR="0054780C" w:rsidRPr="005A0FB2" w:rsidRDefault="0054780C" w:rsidP="00687279">
            <w:pPr>
              <w:autoSpaceDE w:val="0"/>
              <w:autoSpaceDN w:val="0"/>
              <w:adjustRightInd w:val="0"/>
              <w:spacing w:line="240" w:lineRule="auto"/>
              <w:jc w:val="both"/>
              <w:rPr>
                <w:rFonts w:cs="Arial"/>
                <w:szCs w:val="20"/>
              </w:rPr>
            </w:pPr>
            <w:r w:rsidRPr="005A0FB2">
              <w:rPr>
                <w:rFonts w:cs="Arial"/>
                <w:szCs w:val="20"/>
              </w:rPr>
              <w:t>EU opozarja na svoje splošno pogajalsko stališče, da so prehodni ukrepi izjemni, časovno in vsebinsko omejeni ter jih mora spremljati načrt z jasno opredeljenimi fazami za uporabo pravnega reda EU. Takšni ukrepi ne smejo vključevati sprememb pravil ali politik EU, ovirati njihovega pravilnega delovanja ali povzročati znatnega izkrivljanja konkurence.</w:t>
            </w:r>
          </w:p>
          <w:p w14:paraId="115F6C70" w14:textId="77777777" w:rsidR="0054780C" w:rsidRPr="005A0FB2" w:rsidRDefault="0054780C" w:rsidP="00687279">
            <w:pPr>
              <w:spacing w:line="240" w:lineRule="auto"/>
              <w:jc w:val="both"/>
              <w:rPr>
                <w:rFonts w:cs="Arial"/>
                <w:szCs w:val="20"/>
              </w:rPr>
            </w:pPr>
            <w:r w:rsidRPr="005A0FB2">
              <w:rPr>
                <w:rFonts w:cs="Arial"/>
                <w:szCs w:val="20"/>
              </w:rPr>
              <w:t>EU ocenjuje, da je Moldavija delno usklajena z evropskimi standardi in pravnim redom EU v okviru sklopa, zato preliminarni osnutek skupnega stališča EU vsebuje predloge za zagotavljanje popolne usklajenosti. Dokument vsebuje zaveze za izvajanje reform v okviru pogajalskega sklopa in predlaga merila za začasno zaprtje poglavij 1 (prost pretok blaga), 2 (prost pretok delavcev), 3 (pravica do ustanavljanja in svoboda opravljanja storitev), 4 (prost pretok kapitala), 6 (pravo gospodarskih družb), 7 (pravo intelektualne lastnine), 8 (politika konkurence), 9 (finančne storitve) in 28 (varstvo potrošnikov in zdravja).</w:t>
            </w:r>
          </w:p>
          <w:p w14:paraId="71B1BBEF" w14:textId="460E2B60" w:rsidR="0054780C" w:rsidRPr="005A0FB2" w:rsidRDefault="0054780C" w:rsidP="00535CBB">
            <w:pPr>
              <w:spacing w:line="240" w:lineRule="auto"/>
              <w:jc w:val="both"/>
              <w:rPr>
                <w:rFonts w:cs="Arial"/>
                <w:szCs w:val="20"/>
              </w:rPr>
            </w:pPr>
            <w:r w:rsidRPr="005A0FB2">
              <w:rPr>
                <w:rFonts w:cs="Arial"/>
                <w:szCs w:val="20"/>
              </w:rPr>
              <w:t>Dokument ni predlog zakonodajnega akta EU, temveč gre za tehnični delovni dokument, ki je podlaga za sprejem na politični ravni. Delovna skupina Sveta za širitev opravila formalno razpravo, čemur sledi formalna potrditev na zasedanju Odbora stalnih predstavnikov s ciljem predvidene organizacije medvladne konference za odprtje pogajalskega sklopa 2 z Moldavijo ob robu zasedanja Sveta za splošne zadeve 14. julija 2026</w:t>
            </w:r>
          </w:p>
          <w:p w14:paraId="4D153675" w14:textId="3454F58D" w:rsidR="0054780C" w:rsidRPr="00535CBB" w:rsidRDefault="0054780C" w:rsidP="00535CBB">
            <w:pPr>
              <w:pStyle w:val="Vir"/>
            </w:pPr>
            <w:r w:rsidRPr="005A0FB2">
              <w:t>Vir: Ministrstvo za zunanje in evropske zadeve</w:t>
            </w:r>
          </w:p>
          <w:p w14:paraId="2006D0AA" w14:textId="77777777" w:rsidR="005A0FB2" w:rsidRPr="005A0FB2" w:rsidRDefault="005A0FB2" w:rsidP="00535CBB">
            <w:pPr>
              <w:pStyle w:val="Naslov2"/>
            </w:pPr>
            <w:r w:rsidRPr="005A0FB2">
              <w:t>Stališče Slovenije do Predloga uredbe Sveta o dodelitvi ribolovnih možnosti iz Protokola o izvajanju Sporazuma o partnerstvu o trajnostnem ribištvu med Evropsko unijo in Republiko Sejšeli</w:t>
            </w:r>
          </w:p>
          <w:p w14:paraId="024E98A9" w14:textId="77777777" w:rsidR="005A0FB2" w:rsidRPr="005A0FB2" w:rsidRDefault="005A0FB2" w:rsidP="00535CBB">
            <w:pPr>
              <w:spacing w:line="240" w:lineRule="auto"/>
              <w:jc w:val="both"/>
              <w:rPr>
                <w:rFonts w:cs="Arial"/>
                <w:szCs w:val="20"/>
              </w:rPr>
            </w:pPr>
            <w:r w:rsidRPr="005A0FB2">
              <w:rPr>
                <w:rFonts w:cs="Arial"/>
                <w:szCs w:val="20"/>
              </w:rPr>
              <w:t xml:space="preserve">Vlada je sprejela stališče Republike Slovenije do Predloga uredbe Sveta o dodelitvi ribolovnih možnosti iz Protokola o izvajanju Sporazuma o partnerstvu o trajnostnem ribištvu med Evropsko unijo in Republiko Sejšeli (2026-2030). Slovenija predlog uredbe podpira. </w:t>
            </w:r>
          </w:p>
          <w:p w14:paraId="1C432E17" w14:textId="77777777" w:rsidR="005A0FB2" w:rsidRPr="005A0FB2" w:rsidRDefault="005A0FB2" w:rsidP="00535CBB">
            <w:pPr>
              <w:spacing w:line="240" w:lineRule="auto"/>
              <w:jc w:val="both"/>
              <w:rPr>
                <w:rFonts w:cs="Arial"/>
                <w:szCs w:val="20"/>
              </w:rPr>
            </w:pPr>
          </w:p>
          <w:p w14:paraId="5F677088" w14:textId="5E8FFDA0" w:rsidR="005A0FB2" w:rsidRPr="005A0FB2" w:rsidRDefault="005A0FB2" w:rsidP="00535CBB">
            <w:pPr>
              <w:spacing w:line="240" w:lineRule="auto"/>
              <w:jc w:val="both"/>
              <w:rPr>
                <w:rFonts w:cs="Arial"/>
                <w:szCs w:val="20"/>
              </w:rPr>
            </w:pPr>
            <w:r w:rsidRPr="005A0FB2">
              <w:rPr>
                <w:rFonts w:cs="Arial"/>
                <w:szCs w:val="20"/>
              </w:rPr>
              <w:t>Republika Slovenija meni, da je pri obravnavi predloga uredbe Sveta treba upoštevati mnenja držav članic, ki jih predlog neposredno zadeva. Predlog akta slovenskega ribištva ne zadeva neposredno, saj slovenski morski gospodarski ribiči izvajajo ribolov izključno v severnem Jadranu.</w:t>
            </w:r>
          </w:p>
          <w:p w14:paraId="55FD275E" w14:textId="77777777" w:rsidR="005A0FB2" w:rsidRPr="005A0FB2" w:rsidRDefault="005A0FB2" w:rsidP="00535CBB">
            <w:pPr>
              <w:pStyle w:val="Vir"/>
            </w:pPr>
            <w:r w:rsidRPr="005A0FB2">
              <w:t>Vir: Ministrstvo za kmetijstvo</w:t>
            </w:r>
          </w:p>
          <w:p w14:paraId="09F16099" w14:textId="77777777" w:rsidR="005A0FB2" w:rsidRPr="005A0FB2" w:rsidRDefault="005A0FB2" w:rsidP="00535CBB">
            <w:pPr>
              <w:pStyle w:val="Naslov2"/>
            </w:pPr>
            <w:r w:rsidRPr="005A0FB2">
              <w:t>Stališče Slovenije do Predloga sklepa Sveta o podpisu, v imenu Evropske unije, in začasni uporabi Protokola o izvajanju Sporazuma o partnerstvu o trajnostnem ribištvu med Evropsko unijo in Republiko Sejšeli (2026–2030)</w:t>
            </w:r>
          </w:p>
          <w:p w14:paraId="073223CA" w14:textId="77777777" w:rsidR="005A0FB2" w:rsidRPr="005A0FB2" w:rsidRDefault="005A0FB2" w:rsidP="005A0FB2">
            <w:pPr>
              <w:jc w:val="both"/>
              <w:rPr>
                <w:rFonts w:cs="Arial"/>
                <w:szCs w:val="20"/>
              </w:rPr>
            </w:pPr>
            <w:r w:rsidRPr="005A0FB2">
              <w:rPr>
                <w:rFonts w:cs="Arial"/>
                <w:szCs w:val="20"/>
              </w:rPr>
              <w:t xml:space="preserve">Vlada je sprejela stališče Republike Slovenije do Predlog sklepa Sveta o podpisu, v imenu Evropske unije, in začasni uporabi Protokola o izvajanju Sporazuma o partnerstvu o trajnostnem ribištvu med Evropsko unijo in Republiko Sejšeli (2026–2030). </w:t>
            </w:r>
          </w:p>
          <w:p w14:paraId="2993C07F" w14:textId="77777777" w:rsidR="005A0FB2" w:rsidRPr="005A0FB2" w:rsidRDefault="005A0FB2" w:rsidP="005A0FB2">
            <w:pPr>
              <w:jc w:val="both"/>
              <w:rPr>
                <w:rFonts w:cs="Arial"/>
                <w:szCs w:val="20"/>
              </w:rPr>
            </w:pPr>
          </w:p>
          <w:p w14:paraId="244C7FE3" w14:textId="77777777" w:rsidR="005A0FB2" w:rsidRPr="005A0FB2" w:rsidRDefault="005A0FB2" w:rsidP="005A0FB2">
            <w:pPr>
              <w:jc w:val="both"/>
              <w:rPr>
                <w:rFonts w:cs="Arial"/>
                <w:szCs w:val="20"/>
              </w:rPr>
            </w:pPr>
            <w:r w:rsidRPr="005A0FB2">
              <w:rPr>
                <w:rFonts w:cs="Arial"/>
                <w:szCs w:val="20"/>
              </w:rPr>
              <w:t>Republika Slovenija podpira Predlog sklepa Sveta o podpisu, v imenu Evropske unije, in začasni uporabi Protokola o izvajanju Sporazuma o partnerstvu o trajnostnem ribištvu med Evropsko unijo in Republiko Sejšeli (2026–2030), pri čemer izpostavlja pomen doslednega zasledovanja in krepitve načela trajnosti oziroma trajnostnega upravljanja z naravnimi viri.</w:t>
            </w:r>
          </w:p>
          <w:p w14:paraId="25D2E056" w14:textId="77777777" w:rsidR="005A0FB2" w:rsidRPr="005A0FB2" w:rsidRDefault="005A0FB2" w:rsidP="005A0FB2">
            <w:pPr>
              <w:jc w:val="both"/>
              <w:rPr>
                <w:rFonts w:cs="Arial"/>
                <w:szCs w:val="20"/>
              </w:rPr>
            </w:pPr>
          </w:p>
          <w:p w14:paraId="25F517EA" w14:textId="77777777" w:rsidR="005A0FB2" w:rsidRPr="005A0FB2" w:rsidRDefault="005A0FB2" w:rsidP="005A0FB2">
            <w:pPr>
              <w:jc w:val="both"/>
              <w:rPr>
                <w:rFonts w:cs="Arial"/>
                <w:szCs w:val="20"/>
              </w:rPr>
            </w:pPr>
            <w:r w:rsidRPr="005A0FB2">
              <w:rPr>
                <w:rFonts w:cs="Arial"/>
                <w:szCs w:val="20"/>
              </w:rPr>
              <w:t xml:space="preserve">Slovenija pozdravlja določilo, da bosta pogodbenici izvajali protokol v skladu z določilom Sporazuma iz Samoe glede bistvenih elementov v zvezi s človekovimi pravicami, demokratičnimi načeli in pravno državo ter temeljnih elementov v zvezi z dobrim upravljanjem, kot tudi določilom novega protokola, da se lahko uporaba sporazuma </w:t>
            </w:r>
            <w:r w:rsidRPr="005A0FB2">
              <w:rPr>
                <w:rFonts w:cs="Arial"/>
                <w:szCs w:val="20"/>
              </w:rPr>
              <w:lastRenderedPageBreak/>
              <w:t>prekine na pobudo ene od pogodbenic med drugim v primeru, če ena od pogodbenic ugotovi kršitev bistvenih in temeljnih elementov človekovih pravic. Poleg tega se Republika Slovenija zaveda, da je višina finančnega prispevka Evropske unije rezultat pogajalskega procesa. Pri tem opozarja, da mora biti finančno nadomestilo za dostop do ribolovnega območja tretje države ustrezno in v sorazmerju z dodeljenim ribolovnim dostopom. Republika Slovenija pozdravlja pristop, po katerem se del finančnega prispevka Evropske unije nameni za razvoj sektorja v tretji državi.</w:t>
            </w:r>
          </w:p>
          <w:p w14:paraId="46A32939" w14:textId="77777777" w:rsidR="005A0FB2" w:rsidRPr="005A0FB2" w:rsidRDefault="005A0FB2" w:rsidP="005A0FB2">
            <w:pPr>
              <w:jc w:val="both"/>
              <w:rPr>
                <w:rFonts w:cs="Arial"/>
                <w:szCs w:val="20"/>
              </w:rPr>
            </w:pPr>
          </w:p>
          <w:p w14:paraId="21FB8E88" w14:textId="13EADBB4" w:rsidR="005A0FB2" w:rsidRPr="005A0FB2" w:rsidRDefault="005A0FB2" w:rsidP="005A0FB2">
            <w:pPr>
              <w:jc w:val="both"/>
              <w:rPr>
                <w:rFonts w:cs="Arial"/>
                <w:szCs w:val="20"/>
              </w:rPr>
            </w:pPr>
            <w:r w:rsidRPr="005A0FB2">
              <w:rPr>
                <w:rFonts w:cs="Arial"/>
                <w:szCs w:val="20"/>
              </w:rPr>
              <w:t>Predlog ne zadeva slovenskega ribištva, saj slovenski morski gospodarski ribiči izvajajo ribolov le v severnem Jadranu.</w:t>
            </w:r>
          </w:p>
          <w:p w14:paraId="3A9FADF3" w14:textId="77777777" w:rsidR="005A0FB2" w:rsidRDefault="005A0FB2" w:rsidP="00535CBB">
            <w:pPr>
              <w:pStyle w:val="Vir"/>
            </w:pPr>
            <w:r w:rsidRPr="005A0FB2">
              <w:t>Vir: Ministrstvo za kmetijstvo</w:t>
            </w:r>
          </w:p>
          <w:p w14:paraId="66B70813" w14:textId="77777777" w:rsidR="005A0FB2" w:rsidRDefault="005A0FB2" w:rsidP="00535CBB">
            <w:pPr>
              <w:pStyle w:val="Naslov2"/>
            </w:pPr>
            <w:r>
              <w:rPr>
                <w:lang w:val="pt-PT"/>
              </w:rPr>
              <w:t>S</w:t>
            </w:r>
            <w:r>
              <w:t>tališče Slovenije do sporočila Komisije Evropskemu parlamentu, Svetu, Evropskemu ekonomsko-socialnemu odboru in Odboru regij - Akcijski načrt za gnojila Partnerstvo za zagotavljanje razpoložljivosti, cenovne dostopnosti in strateške avtonomije domačih gnojil EU</w:t>
            </w:r>
          </w:p>
          <w:p w14:paraId="1A93A953" w14:textId="77777777" w:rsidR="005A0FB2" w:rsidRDefault="005A0FB2" w:rsidP="005A0FB2">
            <w:pPr>
              <w:spacing w:before="120" w:line="276" w:lineRule="auto"/>
              <w:jc w:val="both"/>
              <w:rPr>
                <w:rFonts w:cs="Arial"/>
                <w:szCs w:val="20"/>
              </w:rPr>
            </w:pPr>
            <w:r>
              <w:rPr>
                <w:rFonts w:cs="Arial"/>
                <w:szCs w:val="20"/>
              </w:rPr>
              <w:t xml:space="preserve">Vlada je sprejela stališče Republike Slovenije do sporočila Komisije Evropskemu parlamentu, Svetu, Evropskemu ekonomsko-socialnemu odboru in Odboru regij - Akcijski načrt za gnojila Partnerstvo za zagotavljanje razpoložljivosti, cenovne dostopnosti in strateške avtonomije domačih gnojil EU. </w:t>
            </w:r>
          </w:p>
          <w:p w14:paraId="2DD38662" w14:textId="77777777" w:rsidR="005A0FB2" w:rsidRDefault="005A0FB2" w:rsidP="005A0FB2">
            <w:pPr>
              <w:spacing w:before="120" w:line="276" w:lineRule="auto"/>
              <w:jc w:val="both"/>
              <w:rPr>
                <w:rFonts w:cs="Arial"/>
                <w:szCs w:val="20"/>
              </w:rPr>
            </w:pPr>
            <w:r>
              <w:rPr>
                <w:rFonts w:cs="Arial"/>
                <w:szCs w:val="20"/>
              </w:rPr>
              <w:t>Republika Slovenija pozdravlja cilje in namen Akcijskega načrta EU za gnojila in ga ocenjuje kot ključen pomemben strateški dokument, ki naslavlja enega izmed pomembnejših izzivov evropskega kmetijstva, tj. zagotavljanje stabilne, cenovno dostopne in varne oskrbe z gnojili v razmerah geopolitičnih tveganj, energetske nestanovitnosti in motenj v dobavnih verigah.</w:t>
            </w:r>
          </w:p>
          <w:p w14:paraId="26D7350B" w14:textId="77777777" w:rsidR="005A0FB2" w:rsidRDefault="005A0FB2" w:rsidP="005A0FB2">
            <w:pPr>
              <w:spacing w:before="120" w:line="276" w:lineRule="auto"/>
              <w:jc w:val="both"/>
              <w:rPr>
                <w:rFonts w:cs="Arial"/>
                <w:szCs w:val="20"/>
              </w:rPr>
            </w:pPr>
            <w:r>
              <w:rPr>
                <w:rFonts w:cs="Arial"/>
                <w:szCs w:val="20"/>
              </w:rPr>
              <w:t>Akcijski načrt EU za gnojila izhaja iz razmer izrazite nestanovitnosti svetovnih trgov, kjer so se v prvih mesecih leta 2026 cene domačih gnojil v EU znatno zvišale, zlasti cene dušikovih gnojil, kar je posledica svetovnega povpraševanja, trgovine in geopolitičnih dejavnikov. Na splošno so se cene dušikovih gnojil v EU aprila 2026 še zvišale in za 40 % presegle raven iz decembra 2025.</w:t>
            </w:r>
          </w:p>
          <w:p w14:paraId="291ABFDD" w14:textId="77777777" w:rsidR="005A0FB2" w:rsidRDefault="005A0FB2" w:rsidP="005A0FB2">
            <w:pPr>
              <w:spacing w:before="120" w:line="276" w:lineRule="auto"/>
              <w:jc w:val="both"/>
              <w:rPr>
                <w:rFonts w:cs="Arial"/>
                <w:szCs w:val="20"/>
              </w:rPr>
            </w:pPr>
            <w:r>
              <w:rPr>
                <w:rFonts w:cs="Arial"/>
                <w:szCs w:val="20"/>
              </w:rPr>
              <w:t>Poleg tega se EU pri oskrbi z gnojili sooča z visoko uvozno odvisnostjo – približno 30 odstotkov dušičnih in kar 70 odstotkov fosfatnih gnojil se uvozi, pri čemer je proizvodnja v EU močno vezana na zemeljski plin, kar povečuje ranljivost ob energetskih krizah.</w:t>
            </w:r>
          </w:p>
          <w:p w14:paraId="023F4519" w14:textId="77777777" w:rsidR="005A0FB2" w:rsidRDefault="005A0FB2" w:rsidP="005A0FB2">
            <w:pPr>
              <w:spacing w:before="120" w:line="276" w:lineRule="auto"/>
              <w:jc w:val="both"/>
              <w:rPr>
                <w:rFonts w:cs="Arial"/>
                <w:szCs w:val="20"/>
              </w:rPr>
            </w:pPr>
            <w:r>
              <w:rPr>
                <w:rFonts w:cs="Arial"/>
                <w:szCs w:val="20"/>
              </w:rPr>
              <w:t xml:space="preserve">Glavni namen akcijskega načrta je zagotoviti cenovno dostopna gnojila za evropske kmete, okrepiti evropsko proizvodnjo ter zmanjšati odvisnost EU od uvoza, ob hkratnem spodbujanju trajnostnejše rabe hranil. </w:t>
            </w:r>
          </w:p>
          <w:p w14:paraId="504A9251" w14:textId="77777777" w:rsidR="005A0FB2" w:rsidRDefault="005A0FB2" w:rsidP="005A0FB2">
            <w:pPr>
              <w:spacing w:before="120" w:line="276" w:lineRule="auto"/>
              <w:jc w:val="both"/>
              <w:rPr>
                <w:rFonts w:cs="Arial"/>
                <w:szCs w:val="20"/>
              </w:rPr>
            </w:pPr>
            <w:r>
              <w:rPr>
                <w:rFonts w:cs="Arial"/>
                <w:szCs w:val="20"/>
              </w:rPr>
              <w:t>Akcijski načrt je sestavljen iz štirih ključnih sklopov ukrepov in sicer:</w:t>
            </w:r>
          </w:p>
          <w:p w14:paraId="57DC1D25" w14:textId="77777777" w:rsidR="005A0FB2" w:rsidRDefault="005A0FB2" w:rsidP="005A0FB2">
            <w:pPr>
              <w:pStyle w:val="Odstavekseznama"/>
              <w:numPr>
                <w:ilvl w:val="0"/>
                <w:numId w:val="15"/>
              </w:numPr>
              <w:spacing w:before="120" w:line="276" w:lineRule="auto"/>
              <w:jc w:val="both"/>
              <w:rPr>
                <w:rFonts w:cs="Arial"/>
                <w:szCs w:val="20"/>
              </w:rPr>
            </w:pPr>
            <w:r>
              <w:rPr>
                <w:rFonts w:cs="Arial"/>
                <w:szCs w:val="20"/>
              </w:rPr>
              <w:t xml:space="preserve"> kratkoročnih ukrepov za pomoč kmetom in stabilizacijo trga s čimer naj bi se takoj zmanjšali stroški in zagotovila gnojila za pridelavo hrane;</w:t>
            </w:r>
          </w:p>
          <w:p w14:paraId="3256FE9E" w14:textId="77777777" w:rsidR="005A0FB2" w:rsidRDefault="005A0FB2" w:rsidP="005A0FB2">
            <w:pPr>
              <w:pStyle w:val="Odstavekseznama"/>
              <w:numPr>
                <w:ilvl w:val="0"/>
                <w:numId w:val="15"/>
              </w:numPr>
              <w:spacing w:before="120" w:line="276" w:lineRule="auto"/>
              <w:jc w:val="both"/>
              <w:rPr>
                <w:rFonts w:cs="Arial"/>
                <w:szCs w:val="20"/>
              </w:rPr>
            </w:pPr>
            <w:r>
              <w:rPr>
                <w:rFonts w:cs="Arial"/>
                <w:szCs w:val="20"/>
              </w:rPr>
              <w:t>srednje in dolgoročnih ukrepov za večjo neodvisnost EU s čimer se krepi strateška avtonomija in manjša odvisnost od energije in uvoza;</w:t>
            </w:r>
          </w:p>
          <w:p w14:paraId="4E72B5A2" w14:textId="77777777" w:rsidR="005A0FB2" w:rsidRDefault="005A0FB2" w:rsidP="005A0FB2">
            <w:pPr>
              <w:pStyle w:val="Odstavekseznama"/>
              <w:numPr>
                <w:ilvl w:val="0"/>
                <w:numId w:val="15"/>
              </w:numPr>
              <w:spacing w:before="120" w:line="276" w:lineRule="auto"/>
              <w:jc w:val="both"/>
              <w:rPr>
                <w:rFonts w:cs="Arial"/>
                <w:szCs w:val="20"/>
              </w:rPr>
            </w:pPr>
            <w:r>
              <w:rPr>
                <w:rFonts w:cs="Arial"/>
                <w:szCs w:val="20"/>
              </w:rPr>
              <w:t>ukrepi za učinkovitejšo rabo hranil v kmetijstvu s ciljem manjše porabe mineralnih gnojil in manjših vplivov na okolje;</w:t>
            </w:r>
          </w:p>
          <w:p w14:paraId="21AEF792" w14:textId="77777777" w:rsidR="005A0FB2" w:rsidRDefault="005A0FB2" w:rsidP="005A0FB2">
            <w:pPr>
              <w:pStyle w:val="Odstavekseznama"/>
              <w:numPr>
                <w:ilvl w:val="0"/>
                <w:numId w:val="15"/>
              </w:numPr>
              <w:spacing w:before="120" w:line="276" w:lineRule="auto"/>
              <w:jc w:val="both"/>
              <w:rPr>
                <w:rFonts w:cs="Arial"/>
                <w:szCs w:val="20"/>
              </w:rPr>
            </w:pPr>
            <w:r>
              <w:rPr>
                <w:rFonts w:cs="Arial"/>
                <w:szCs w:val="20"/>
              </w:rPr>
              <w:t>ukrepi za bolj transparenten in pravičnejši trg s ciljem bolj stabilnega in predvidljivega trga.</w:t>
            </w:r>
          </w:p>
          <w:p w14:paraId="11945652" w14:textId="77777777" w:rsidR="005A0FB2" w:rsidRDefault="005A0FB2" w:rsidP="005A0FB2">
            <w:pPr>
              <w:rPr>
                <w:rFonts w:cs="Arial"/>
                <w:szCs w:val="20"/>
              </w:rPr>
            </w:pPr>
          </w:p>
          <w:p w14:paraId="7941643D" w14:textId="77777777" w:rsidR="005A0FB2" w:rsidRDefault="005A0FB2" w:rsidP="00535CBB">
            <w:pPr>
              <w:pStyle w:val="Vir"/>
            </w:pPr>
            <w:r w:rsidRPr="005A0FB2">
              <w:lastRenderedPageBreak/>
              <w:t>Vir: Ministrstvo za kmetijstvo</w:t>
            </w:r>
          </w:p>
          <w:p w14:paraId="3C972187" w14:textId="5CAF6781" w:rsidR="005A0FB2" w:rsidRPr="005A0FB2" w:rsidRDefault="005A0FB2" w:rsidP="00535CBB">
            <w:pPr>
              <w:pStyle w:val="Naslov2"/>
            </w:pPr>
            <w:r w:rsidRPr="005A0FB2">
              <w:t>Vlada sprejela predlog stališča o vzpostavitvi okvira za krepitev industrije in razogljičenje v strateških sektorjih</w:t>
            </w:r>
          </w:p>
          <w:p w14:paraId="23424782" w14:textId="35522DF2" w:rsidR="005A0FB2" w:rsidRPr="005A0FB2" w:rsidRDefault="005A0FB2" w:rsidP="00535CBB">
            <w:pPr>
              <w:rPr>
                <w:rFonts w:cs="Arial"/>
                <w:szCs w:val="20"/>
              </w:rPr>
            </w:pPr>
            <w:r w:rsidRPr="005A0FB2">
              <w:rPr>
                <w:rFonts w:cs="Arial"/>
                <w:szCs w:val="20"/>
              </w:rPr>
              <w:t>Vlada je sprejela predlog stališča Republike Slovenije do predloga uredbe Evropskega parlamenta in Sveta o vzpostavitvi okvira ukrepov za pospeševanje industrijskih zmogljivosti in razogljičenje v strateških sektorjih ter spremembi uredb (EU) 2018/1724, (EU) 2024/1735 in (EU) 2024/3110 - 7009/26.</w:t>
            </w:r>
          </w:p>
          <w:p w14:paraId="40BE1C65" w14:textId="77777777" w:rsidR="005A0FB2" w:rsidRPr="005A0FB2" w:rsidRDefault="005A0FB2" w:rsidP="005A0FB2">
            <w:pPr>
              <w:jc w:val="both"/>
              <w:rPr>
                <w:rFonts w:cs="Arial"/>
                <w:szCs w:val="20"/>
              </w:rPr>
            </w:pPr>
          </w:p>
          <w:p w14:paraId="5854242F" w14:textId="77777777" w:rsidR="005A0FB2" w:rsidRPr="005A0FB2" w:rsidRDefault="005A0FB2" w:rsidP="005A0FB2">
            <w:pPr>
              <w:jc w:val="both"/>
              <w:rPr>
                <w:rFonts w:cs="Arial"/>
                <w:szCs w:val="20"/>
              </w:rPr>
            </w:pPr>
            <w:r w:rsidRPr="005A0FB2">
              <w:rPr>
                <w:rFonts w:cs="Arial"/>
                <w:szCs w:val="20"/>
              </w:rPr>
              <w:t>Evropska komisija je zakonodajni predlog objavila 4. marca 2026 kot Akt o pospeševanju industrije (Akt IAA), kot enega od ključnih instrumentov za krepitev gospodarske odpornosti, konkurenčnosti in odprte strateške avtonomije EU, ki naj bi hkrati zagotovil tudi, da bo zeleni prehod postal tudi gonilo nove industrijske rasti v Evropi.</w:t>
            </w:r>
          </w:p>
          <w:p w14:paraId="2EFD0295" w14:textId="77777777" w:rsidR="005A0FB2" w:rsidRPr="005A0FB2" w:rsidRDefault="005A0FB2" w:rsidP="005A0FB2">
            <w:pPr>
              <w:jc w:val="both"/>
              <w:rPr>
                <w:rFonts w:cs="Arial"/>
                <w:szCs w:val="20"/>
              </w:rPr>
            </w:pPr>
          </w:p>
          <w:p w14:paraId="3B58C9FF" w14:textId="77777777" w:rsidR="005A0FB2" w:rsidRPr="005A0FB2" w:rsidRDefault="005A0FB2" w:rsidP="005A0FB2">
            <w:pPr>
              <w:jc w:val="both"/>
              <w:rPr>
                <w:rFonts w:cs="Arial"/>
                <w:szCs w:val="20"/>
              </w:rPr>
            </w:pPr>
            <w:r w:rsidRPr="005A0FB2">
              <w:rPr>
                <w:rFonts w:cs="Arial"/>
                <w:szCs w:val="20"/>
              </w:rPr>
              <w:t>Predlagani ukrepi naj bi prispevali k doseganju podnebnih ciljev Evropske unije, krepitvi gospodarske varnosti ter ustvarjanju in ohranjanju kakovostnih delovnih mest, hkrati pa podprli prehod delovne sile v nove dejavnosti.</w:t>
            </w:r>
          </w:p>
          <w:p w14:paraId="584A1A7F" w14:textId="77777777" w:rsidR="005A0FB2" w:rsidRPr="005A0FB2" w:rsidRDefault="005A0FB2" w:rsidP="005A0FB2">
            <w:pPr>
              <w:jc w:val="both"/>
              <w:rPr>
                <w:rFonts w:cs="Arial"/>
                <w:szCs w:val="20"/>
              </w:rPr>
            </w:pPr>
          </w:p>
          <w:p w14:paraId="2DE75254" w14:textId="77777777" w:rsidR="005A0FB2" w:rsidRPr="005A0FB2" w:rsidRDefault="005A0FB2" w:rsidP="005A0FB2">
            <w:pPr>
              <w:jc w:val="both"/>
              <w:rPr>
                <w:rFonts w:cs="Arial"/>
                <w:szCs w:val="20"/>
              </w:rPr>
            </w:pPr>
            <w:r w:rsidRPr="005A0FB2">
              <w:rPr>
                <w:rFonts w:cs="Arial"/>
                <w:szCs w:val="20"/>
              </w:rPr>
              <w:t>Glavni cilj predloga je izboljšati delovanje notranjega trga ter okrepiti odporno in razogljičeno industrijsko proizvodnjo v Evropski uniji. Poseben poudarek je namenjen energetsko intenzivnim industrijam, tehnologijam za doseganje neto ničelnih emisij ter avtomobilski industriji, saj imajo pomembno vlogo pri krepitvi konkurenčnosti, gospodarske varnosti in trajnostne gospodarske rasti Evrope.</w:t>
            </w:r>
          </w:p>
          <w:p w14:paraId="1E4E3257" w14:textId="77777777" w:rsidR="005A0FB2" w:rsidRPr="005A0FB2" w:rsidRDefault="005A0FB2" w:rsidP="005A0FB2">
            <w:pPr>
              <w:jc w:val="both"/>
              <w:rPr>
                <w:rFonts w:cs="Arial"/>
                <w:szCs w:val="20"/>
              </w:rPr>
            </w:pPr>
          </w:p>
          <w:p w14:paraId="38EDF492" w14:textId="77777777" w:rsidR="005A0FB2" w:rsidRPr="005A0FB2" w:rsidRDefault="005A0FB2" w:rsidP="005A0FB2">
            <w:pPr>
              <w:jc w:val="both"/>
              <w:rPr>
                <w:rFonts w:cs="Arial"/>
                <w:szCs w:val="20"/>
              </w:rPr>
            </w:pPr>
            <w:r w:rsidRPr="005A0FB2">
              <w:rPr>
                <w:rFonts w:cs="Arial"/>
                <w:szCs w:val="20"/>
              </w:rPr>
              <w:t xml:space="preserve">Slovenija načeloma podpira prizadevanja za krepitev evropske industrijske baze, pospeševanje razogljičenja ter zmanjševanje strateške odvisnosti Evropske unije v ključnih sektorjih. Podpira tudi ukrepe, ki bodo povečali ustvarjanje dodane vrednosti v evropski industriji in okrepili njeno konkurenčnost ob vse močnejši nelojalni konkurenci na svetovnem trgu ter vse večji odvisnosti od dobaviteljev iz tretjih držav. </w:t>
            </w:r>
          </w:p>
          <w:p w14:paraId="1BCC4B06" w14:textId="77777777" w:rsidR="005A0FB2" w:rsidRPr="005A0FB2" w:rsidRDefault="005A0FB2" w:rsidP="005A0FB2">
            <w:pPr>
              <w:jc w:val="both"/>
              <w:rPr>
                <w:rFonts w:cs="Arial"/>
                <w:szCs w:val="20"/>
              </w:rPr>
            </w:pPr>
          </w:p>
          <w:p w14:paraId="0766F1AF" w14:textId="77777777" w:rsidR="005A0FB2" w:rsidRPr="005A0FB2" w:rsidRDefault="005A0FB2" w:rsidP="005A0FB2">
            <w:pPr>
              <w:jc w:val="both"/>
              <w:rPr>
                <w:rFonts w:cs="Arial"/>
                <w:szCs w:val="20"/>
              </w:rPr>
            </w:pPr>
            <w:r w:rsidRPr="005A0FB2">
              <w:rPr>
                <w:rFonts w:cs="Arial"/>
                <w:szCs w:val="20"/>
              </w:rPr>
              <w:t>Ob tem Slovenija poudarja, da morajo biti ukrepi za dolgoročno konkurenčnost in odpornost evropske industrije usklajeni z vsemi ključnimi politikami Evropske unije, med drugim na področjih notranjega trga, industrije, trgovine, okolja in podnebja, konkurence, energetike ter digitalizacije. Hkrati Slovenija opozarja na nekatere pomisleke glede sposobnosti predloga, da doseže zastavljene cilje. Industrijska proizvodnja v Evropski uniji namreč že dalj časa upada, obenem pa ostajajo prisotni pomembni strukturni izzivi, kot so visoki stroški energije, negotovost glede naložb in razvoja tehnologij, pomanjkanje ustrezno usposobljenega kadra ter naraščajoča administrativna bremena za podjetja in države članice.</w:t>
            </w:r>
          </w:p>
          <w:p w14:paraId="13528B83" w14:textId="77777777" w:rsidR="005A0FB2" w:rsidRPr="005A0FB2" w:rsidRDefault="005A0FB2" w:rsidP="005A0FB2">
            <w:pPr>
              <w:jc w:val="both"/>
              <w:rPr>
                <w:rFonts w:cs="Arial"/>
                <w:szCs w:val="20"/>
              </w:rPr>
            </w:pPr>
          </w:p>
          <w:p w14:paraId="60BED843" w14:textId="77777777" w:rsidR="005A0FB2" w:rsidRPr="005A0FB2" w:rsidRDefault="005A0FB2" w:rsidP="005A0FB2">
            <w:pPr>
              <w:jc w:val="both"/>
              <w:rPr>
                <w:rFonts w:cs="Arial"/>
                <w:szCs w:val="20"/>
              </w:rPr>
            </w:pPr>
            <w:r w:rsidRPr="005A0FB2">
              <w:rPr>
                <w:rFonts w:cs="Arial"/>
                <w:szCs w:val="20"/>
              </w:rPr>
              <w:t>Slovenija izraža tudi pomisleke glede zelo kratkih rokov za sprejem akta in njegove pripravljenosti za učinkovito izvajanje v praksi. Opozarja, da zaradi ambiciozne časovnice kakovost končnega besedila ne sme biti okrnjena. Ker gre za horizontalni zakonodajni akt, Slovenija meni, da morajo biti njegove določbe jasne, sorazmerne in izvedljive. Rešitve morajo biti usklajene z veljavnim pravnim okvirom Evropske unije in mednarodnim pravom ter ne smejo povzročati dodatnega prekrivanja predpisov, pravne nepreglednosti ali nesorazmernih bremen za podjetja, zlasti za mala in srednje velika podjetja, niti prekomernih upravnih obremenitev za države članice z omejenimi administrativnimi zmogljivostmi.</w:t>
            </w:r>
          </w:p>
          <w:p w14:paraId="147B5A9C" w14:textId="77777777" w:rsidR="005A0FB2" w:rsidRPr="005A0FB2" w:rsidRDefault="005A0FB2" w:rsidP="005A0FB2">
            <w:pPr>
              <w:jc w:val="both"/>
              <w:rPr>
                <w:rFonts w:cs="Arial"/>
                <w:szCs w:val="20"/>
              </w:rPr>
            </w:pPr>
          </w:p>
          <w:p w14:paraId="25EC3293" w14:textId="77777777" w:rsidR="00750DE0" w:rsidRDefault="005A0FB2" w:rsidP="00535CBB">
            <w:pPr>
              <w:pStyle w:val="Vir"/>
            </w:pPr>
            <w:r w:rsidRPr="005A0FB2">
              <w:lastRenderedPageBreak/>
              <w:t>Vir: Ministrstvo za gospodarstvo, delo in šport</w:t>
            </w:r>
          </w:p>
          <w:p w14:paraId="5786DF9F" w14:textId="753D4BF3" w:rsidR="00750DE0" w:rsidRPr="00C518C0" w:rsidRDefault="00750DE0" w:rsidP="00535CBB">
            <w:pPr>
              <w:pStyle w:val="Naslov2"/>
            </w:pPr>
            <w:r w:rsidRPr="00C518C0">
              <w:t>Predlog zakona o ratifikaciji Pogodbe o prijateljstvu in sodelovanju v jugovzhodni Aziji - ASEAN</w:t>
            </w:r>
          </w:p>
          <w:p w14:paraId="15CC7433" w14:textId="41D7F1A0" w:rsidR="00750DE0" w:rsidRPr="00C518C0" w:rsidRDefault="00750DE0" w:rsidP="00750DE0">
            <w:pPr>
              <w:tabs>
                <w:tab w:val="left" w:pos="3402"/>
              </w:tabs>
              <w:spacing w:line="240" w:lineRule="auto"/>
              <w:jc w:val="both"/>
              <w:rPr>
                <w:rFonts w:cs="Arial"/>
                <w:szCs w:val="20"/>
              </w:rPr>
            </w:pPr>
            <w:r w:rsidRPr="00C518C0">
              <w:rPr>
                <w:rFonts w:cs="Arial"/>
                <w:szCs w:val="20"/>
              </w:rPr>
              <w:t>Vlada je določila besedilo Predloga zakona o ratifikaciji Pogodbe o prijateljstvu in sodelovanju v jugovzhodni Aziji, podpisane v Denpasarju 24. februarja 1976, Protokola o spremembi Pogodbe o prijateljstvu in sodelovanju v jugovzhodni Aziji, podpisanega v Manili 15. decembra 1987, Drugega protokola o spremembi Pogodbe o prijateljstvu in sodelovanju v jugovzhodni Aziji, podpisanega v Manili 25. julija 1998, in Tretjega protokola o spremembi Pogodbe o prijateljstvu in sodelovanju v jugovzhodni Aziji, podpisanega v Hanoju 23. julija 2010. Ta zakonski predlog pošlje v obravnavo Državnemu zboru.</w:t>
            </w:r>
          </w:p>
          <w:p w14:paraId="5F9274A9" w14:textId="77777777" w:rsidR="00750DE0" w:rsidRPr="00C518C0" w:rsidRDefault="00750DE0" w:rsidP="00750DE0">
            <w:pPr>
              <w:tabs>
                <w:tab w:val="left" w:pos="3402"/>
              </w:tabs>
              <w:spacing w:line="240" w:lineRule="auto"/>
              <w:jc w:val="both"/>
              <w:rPr>
                <w:rFonts w:cs="Arial"/>
                <w:szCs w:val="20"/>
              </w:rPr>
            </w:pPr>
          </w:p>
          <w:p w14:paraId="109250B6" w14:textId="77777777" w:rsidR="00750DE0" w:rsidRPr="00C518C0" w:rsidRDefault="00750DE0" w:rsidP="00750DE0">
            <w:pPr>
              <w:tabs>
                <w:tab w:val="left" w:pos="3402"/>
              </w:tabs>
              <w:spacing w:line="240" w:lineRule="auto"/>
              <w:jc w:val="both"/>
              <w:rPr>
                <w:rFonts w:cs="Arial"/>
                <w:szCs w:val="20"/>
              </w:rPr>
            </w:pPr>
            <w:r w:rsidRPr="00C518C0">
              <w:rPr>
                <w:rFonts w:cs="Arial"/>
                <w:szCs w:val="20"/>
              </w:rPr>
              <w:t>Pričakovano je, da bo Republika Slovenija po pristopu z državami regije vodila reden politični dialog ter v sodelovanju s posameznimi državami regije oz. sekretariatom ASEAN preučila možnosti konkretnega sodelovanja vladnih resorjev s partnerji v državah združenja ASEAN na področjih skupnega interesa.</w:t>
            </w:r>
          </w:p>
          <w:p w14:paraId="582F1D5F" w14:textId="77777777" w:rsidR="00750DE0" w:rsidRPr="00C518C0" w:rsidRDefault="00750DE0" w:rsidP="00750DE0">
            <w:pPr>
              <w:tabs>
                <w:tab w:val="left" w:pos="3402"/>
              </w:tabs>
              <w:spacing w:line="240" w:lineRule="auto"/>
              <w:jc w:val="both"/>
              <w:rPr>
                <w:rFonts w:cs="Arial"/>
                <w:szCs w:val="20"/>
              </w:rPr>
            </w:pPr>
            <w:r w:rsidRPr="00C518C0">
              <w:rPr>
                <w:rFonts w:cs="Arial"/>
                <w:szCs w:val="20"/>
              </w:rPr>
              <w:t xml:space="preserve"> </w:t>
            </w:r>
          </w:p>
          <w:p w14:paraId="2286BBC0" w14:textId="77777777" w:rsidR="00750DE0" w:rsidRPr="00C518C0" w:rsidRDefault="00750DE0" w:rsidP="00750DE0">
            <w:pPr>
              <w:tabs>
                <w:tab w:val="left" w:pos="3402"/>
              </w:tabs>
              <w:spacing w:line="240" w:lineRule="auto"/>
              <w:jc w:val="both"/>
              <w:rPr>
                <w:rFonts w:cs="Arial"/>
                <w:szCs w:val="20"/>
              </w:rPr>
            </w:pPr>
            <w:r w:rsidRPr="00C518C0">
              <w:rPr>
                <w:rFonts w:cs="Arial"/>
                <w:szCs w:val="20"/>
              </w:rPr>
              <w:t>Cilj pogodbe je spodbujati mir, stabilnost in sodelovanje v regiji skladno z načeli vzajemnega spoštovanja suverenosti pogodbenic, nevmešavanja v notranje zadeve, mirnega reševanja sporov, neuporabi sile ali grožnje s silo in sodelovanja.</w:t>
            </w:r>
          </w:p>
          <w:p w14:paraId="25DD805B" w14:textId="77777777" w:rsidR="00750DE0" w:rsidRPr="00C518C0" w:rsidRDefault="00750DE0" w:rsidP="00750DE0">
            <w:pPr>
              <w:tabs>
                <w:tab w:val="left" w:pos="3402"/>
              </w:tabs>
              <w:spacing w:line="240" w:lineRule="auto"/>
              <w:jc w:val="both"/>
              <w:rPr>
                <w:rFonts w:cs="Arial"/>
                <w:szCs w:val="20"/>
              </w:rPr>
            </w:pPr>
          </w:p>
          <w:p w14:paraId="20756535" w14:textId="1F26CDD1" w:rsidR="00750DE0" w:rsidRPr="00C518C0" w:rsidRDefault="00750DE0" w:rsidP="00750DE0">
            <w:pPr>
              <w:tabs>
                <w:tab w:val="left" w:pos="3402"/>
              </w:tabs>
              <w:spacing w:line="240" w:lineRule="auto"/>
              <w:jc w:val="both"/>
              <w:rPr>
                <w:rFonts w:cs="Arial"/>
                <w:szCs w:val="20"/>
              </w:rPr>
            </w:pPr>
            <w:r w:rsidRPr="00C518C0">
              <w:rPr>
                <w:rFonts w:cs="Arial"/>
                <w:szCs w:val="20"/>
              </w:rPr>
              <w:t>Pogodba ima trenutno 55 pogodbenic, med drugim Združene države Amerike, Kitajsko, Indijo, Japonsko, Republiko Korejo, Novo Zelandijo, Avstralijo, Brazilijo, Argentino, Srbijo. Leta 2012 je bila EU prva regionalna organizacija, ki je pristopila k pogodbi. Znotraj EU so k pogodbi že pristopile oz. je v postopku pristopa več držav članic EU, npr. Francija, Nemčija, Danska, Nizozemska, Španija, Grčija, Hrvaška, Ciper, Švedska, Luksemburg, Romunija, Poljska, Italija, Finska in Madžarska.</w:t>
            </w:r>
          </w:p>
          <w:p w14:paraId="1CF96CDC" w14:textId="314516B4" w:rsidR="00750DE0" w:rsidRPr="004046D2" w:rsidRDefault="00750DE0" w:rsidP="004046D2">
            <w:pPr>
              <w:pStyle w:val="Vir"/>
              <w:rPr>
                <w:rFonts w:eastAsia="Calibri"/>
                <w:b/>
                <w:bCs/>
              </w:rPr>
            </w:pPr>
            <w:r w:rsidRPr="00C518C0">
              <w:t>Vir: Ministrstvo za zunanje in evropske zadeve Republike Slovenije</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913"/>
            </w:tblGrid>
            <w:tr w:rsidR="00750DE0" w:rsidRPr="00687279" w14:paraId="0E14556B" w14:textId="77777777" w:rsidTr="006D4428">
              <w:tc>
                <w:tcPr>
                  <w:tcW w:w="7913" w:type="dxa"/>
                  <w:tcBorders>
                    <w:top w:val="nil"/>
                    <w:left w:val="nil"/>
                    <w:bottom w:val="nil"/>
                    <w:right w:val="nil"/>
                  </w:tcBorders>
                </w:tcPr>
                <w:tbl>
                  <w:tblPr>
                    <w:tblW w:w="8455"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321"/>
                    <w:gridCol w:w="567"/>
                  </w:tblGrid>
                  <w:tr w:rsidR="00750DE0" w:rsidRPr="00687279" w14:paraId="092EBC3D" w14:textId="77777777" w:rsidTr="006D4428">
                    <w:trPr>
                      <w:gridAfter w:val="1"/>
                      <w:wAfter w:w="567" w:type="dxa"/>
                    </w:trPr>
                    <w:tc>
                      <w:tcPr>
                        <w:tcW w:w="7888" w:type="dxa"/>
                        <w:gridSpan w:val="2"/>
                        <w:tcBorders>
                          <w:top w:val="nil"/>
                          <w:left w:val="nil"/>
                          <w:bottom w:val="nil"/>
                          <w:right w:val="nil"/>
                        </w:tcBorders>
                      </w:tcPr>
                      <w:p w14:paraId="27D2012D" w14:textId="77777777" w:rsidR="00750DE0" w:rsidRPr="005A0FB2" w:rsidRDefault="00750DE0" w:rsidP="00535CBB">
                        <w:pPr>
                          <w:pStyle w:val="Naslov2"/>
                        </w:pPr>
                        <w:r w:rsidRPr="005A0FB2">
                          <w:t>Vlada izdala Odlok o finančni pomoči za odpravo posledic škode v kmetijstvu zaradi pozebe leta 2025</w:t>
                        </w:r>
                      </w:p>
                      <w:p w14:paraId="6331D459" w14:textId="77777777" w:rsidR="00750DE0" w:rsidRPr="005A0FB2" w:rsidRDefault="00750DE0" w:rsidP="00750DE0">
                        <w:pPr>
                          <w:jc w:val="both"/>
                          <w:rPr>
                            <w:rFonts w:cs="Arial"/>
                            <w:szCs w:val="20"/>
                          </w:rPr>
                        </w:pPr>
                        <w:r w:rsidRPr="005A0FB2">
                          <w:rPr>
                            <w:rFonts w:cs="Arial"/>
                            <w:szCs w:val="20"/>
                          </w:rPr>
                          <w:t>Vlada je izdala Odlok o finančni pomoči za odpravo posledic škode v kmetijstvu zaradi pozebe leta 2025, ki se objavi v Uradnem listu Republike Slovenije.</w:t>
                        </w:r>
                      </w:p>
                      <w:p w14:paraId="09AC3659" w14:textId="77777777" w:rsidR="00750DE0" w:rsidRPr="005A0FB2" w:rsidRDefault="00750DE0" w:rsidP="00750DE0">
                        <w:pPr>
                          <w:jc w:val="both"/>
                          <w:rPr>
                            <w:rFonts w:cs="Arial"/>
                            <w:szCs w:val="20"/>
                          </w:rPr>
                        </w:pPr>
                      </w:p>
                      <w:p w14:paraId="2EADA9E8" w14:textId="77777777" w:rsidR="00750DE0" w:rsidRPr="005A0FB2" w:rsidRDefault="00750DE0" w:rsidP="00750DE0">
                        <w:pPr>
                          <w:jc w:val="both"/>
                          <w:rPr>
                            <w:rFonts w:cs="Arial"/>
                            <w:szCs w:val="20"/>
                          </w:rPr>
                        </w:pPr>
                        <w:r w:rsidRPr="005A0FB2">
                          <w:rPr>
                            <w:rFonts w:cs="Arial"/>
                            <w:szCs w:val="20"/>
                          </w:rPr>
                          <w:t>Odlok o finančni pomoči za odpravo posledic škode v kmetijstvu zaradi pozebe leta 2025 je pripravljen na podlagi Zakona o odpravi posledic naravnih nesreč (ZOPNN).</w:t>
                        </w:r>
                      </w:p>
                      <w:p w14:paraId="575BFE40" w14:textId="77777777" w:rsidR="00750DE0" w:rsidRPr="005A0FB2" w:rsidRDefault="00750DE0" w:rsidP="00750DE0">
                        <w:pPr>
                          <w:jc w:val="both"/>
                          <w:rPr>
                            <w:rFonts w:cs="Arial"/>
                            <w:szCs w:val="20"/>
                          </w:rPr>
                        </w:pPr>
                      </w:p>
                      <w:p w14:paraId="7F35B656" w14:textId="77777777" w:rsidR="00750DE0" w:rsidRPr="005A0FB2" w:rsidRDefault="00750DE0" w:rsidP="00750DE0">
                        <w:pPr>
                          <w:jc w:val="both"/>
                          <w:rPr>
                            <w:rFonts w:cs="Arial"/>
                            <w:szCs w:val="20"/>
                          </w:rPr>
                        </w:pPr>
                        <w:r w:rsidRPr="005A0FB2">
                          <w:rPr>
                            <w:rFonts w:cs="Arial"/>
                            <w:szCs w:val="20"/>
                          </w:rPr>
                          <w:t>Ocena škode na trajnih nasadih zaradi posledic pozebe v letu 2025, ki jo je Vlada obravnavala in potrdila na 418. dopisni seji dne 25. 2. 2026, znaša 35.194.178,83 evra. Pozeba je leta 2025 v 95 občinah prizadela 486 oškodovancev in 2044,02 ha kmetijskih površin. Od tega je 100 odstotno škodo utrpelo 62 oškodovancev v 23 občinah na 61,84 ha v višini 1.221.581,26 evra. Finančna pomoč se upravičencu za posamezni kmetijski pridelek dodeli v višini 30 odstotkov ocene neposredne škode.</w:t>
                        </w:r>
                      </w:p>
                      <w:p w14:paraId="4AA10052" w14:textId="77777777" w:rsidR="00750DE0" w:rsidRPr="005A0FB2" w:rsidRDefault="00750DE0" w:rsidP="00750DE0">
                        <w:pPr>
                          <w:jc w:val="both"/>
                          <w:rPr>
                            <w:rFonts w:cs="Arial"/>
                            <w:szCs w:val="20"/>
                          </w:rPr>
                        </w:pPr>
                      </w:p>
                      <w:p w14:paraId="243DA506" w14:textId="0711123B" w:rsidR="00750DE0" w:rsidRPr="00535CBB" w:rsidRDefault="00750DE0" w:rsidP="00750DE0">
                        <w:pPr>
                          <w:jc w:val="both"/>
                          <w:rPr>
                            <w:rFonts w:cs="Arial"/>
                            <w:szCs w:val="20"/>
                          </w:rPr>
                        </w:pPr>
                        <w:r w:rsidRPr="005A0FB2">
                          <w:rPr>
                            <w:rFonts w:cs="Arial"/>
                            <w:szCs w:val="20"/>
                          </w:rPr>
                          <w:t>Glede na podatke o 100 odstotni škodi in višini pomoči, ki znaša 30 odstotkov ocene neposredne škode, bo za dodelitev finančne pomoči upravičencem, za popolno škodo zaradi pozebe leta 2025 treba zagotoviti 360.000 evrov v letu 2026.</w:t>
                        </w:r>
                      </w:p>
                      <w:p w14:paraId="6BF09FC8" w14:textId="77777777" w:rsidR="00750DE0" w:rsidRPr="00687279" w:rsidRDefault="00750DE0" w:rsidP="00750DE0">
                        <w:pPr>
                          <w:jc w:val="both"/>
                          <w:rPr>
                            <w:rFonts w:cs="Arial"/>
                            <w:color w:val="FF0000"/>
                            <w:szCs w:val="20"/>
                          </w:rPr>
                        </w:pPr>
                      </w:p>
                    </w:tc>
                  </w:tr>
                  <w:tr w:rsidR="00750DE0" w:rsidRPr="00687279" w14:paraId="280CDB12" w14:textId="77777777" w:rsidTr="006D4428">
                    <w:trPr>
                      <w:gridAfter w:val="1"/>
                      <w:wAfter w:w="567" w:type="dxa"/>
                    </w:trPr>
                    <w:tc>
                      <w:tcPr>
                        <w:tcW w:w="7888" w:type="dxa"/>
                        <w:gridSpan w:val="2"/>
                        <w:tcBorders>
                          <w:top w:val="nil"/>
                          <w:left w:val="nil"/>
                          <w:bottom w:val="nil"/>
                          <w:right w:val="nil"/>
                        </w:tcBorders>
                      </w:tcPr>
                      <w:p w14:paraId="60F817F2" w14:textId="77777777" w:rsidR="00750DE0" w:rsidRPr="005A49DA" w:rsidRDefault="00750DE0" w:rsidP="00535CBB">
                        <w:pPr>
                          <w:pStyle w:val="Naslov2"/>
                        </w:pPr>
                        <w:r w:rsidRPr="005A49DA">
                          <w:t>Vlada izdala odločbo o delnem dostopu do informacij javnega značaja</w:t>
                        </w:r>
                      </w:p>
                      <w:p w14:paraId="28BB8A10" w14:textId="77777777" w:rsidR="00750DE0" w:rsidRDefault="00750DE0" w:rsidP="00535CBB">
                        <w:pPr>
                          <w:pStyle w:val="Naslov2"/>
                        </w:pPr>
                      </w:p>
                      <w:p w14:paraId="3DAC57E9" w14:textId="4D3A31F9" w:rsidR="00750DE0" w:rsidRDefault="00750DE0" w:rsidP="00750DE0">
                        <w:pPr>
                          <w:pStyle w:val="Neotevilenodstavek"/>
                          <w:spacing w:line="260" w:lineRule="atLeast"/>
                          <w:rPr>
                            <w:color w:val="000000"/>
                            <w:sz w:val="20"/>
                            <w:szCs w:val="20"/>
                          </w:rPr>
                        </w:pPr>
                        <w:r w:rsidRPr="000F18CA">
                          <w:rPr>
                            <w:color w:val="000000"/>
                            <w:sz w:val="20"/>
                            <w:szCs w:val="20"/>
                          </w:rPr>
                          <w:lastRenderedPageBreak/>
                          <w:t>Vlada</w:t>
                        </w:r>
                        <w:r>
                          <w:rPr>
                            <w:color w:val="000000"/>
                            <w:sz w:val="20"/>
                            <w:szCs w:val="20"/>
                          </w:rPr>
                          <w:t xml:space="preserve"> </w:t>
                        </w:r>
                        <w:r w:rsidRPr="000F18CA">
                          <w:rPr>
                            <w:color w:val="000000"/>
                            <w:sz w:val="20"/>
                            <w:szCs w:val="20"/>
                          </w:rPr>
                          <w:t xml:space="preserve">je izdala odločbo o </w:t>
                        </w:r>
                        <w:r w:rsidRPr="003A3CF1">
                          <w:rPr>
                            <w:color w:val="000000"/>
                            <w:sz w:val="20"/>
                            <w:szCs w:val="20"/>
                          </w:rPr>
                          <w:t xml:space="preserve">delnem dostopu </w:t>
                        </w:r>
                        <w:r w:rsidRPr="000F18CA">
                          <w:rPr>
                            <w:color w:val="000000"/>
                            <w:sz w:val="20"/>
                            <w:szCs w:val="20"/>
                          </w:rPr>
                          <w:t>do informacij javnega značaja</w:t>
                        </w:r>
                        <w:r>
                          <w:rPr>
                            <w:color w:val="000000"/>
                            <w:sz w:val="20"/>
                            <w:szCs w:val="20"/>
                          </w:rPr>
                          <w:t xml:space="preserve"> </w:t>
                        </w:r>
                        <w:r w:rsidRPr="008872CC">
                          <w:rPr>
                            <w:color w:val="000000"/>
                            <w:sz w:val="20"/>
                            <w:szCs w:val="20"/>
                          </w:rPr>
                          <w:t>v zadevi zahteve za dostop do informacij javnega značaja</w:t>
                        </w:r>
                        <w:r w:rsidRPr="000F18CA">
                          <w:rPr>
                            <w:color w:val="000000"/>
                            <w:sz w:val="20"/>
                            <w:szCs w:val="20"/>
                          </w:rPr>
                          <w:t xml:space="preserve">, </w:t>
                        </w:r>
                        <w:r>
                          <w:rPr>
                            <w:color w:val="000000"/>
                            <w:sz w:val="20"/>
                            <w:szCs w:val="20"/>
                          </w:rPr>
                          <w:t>v kateri je</w:t>
                        </w:r>
                        <w:r w:rsidRPr="000F18CA">
                          <w:rPr>
                            <w:color w:val="000000"/>
                            <w:sz w:val="20"/>
                            <w:szCs w:val="20"/>
                          </w:rPr>
                          <w:t xml:space="preserve"> prosilec zahteval posredovanje dokumentacije, internih gradiv, pravnih podlag</w:t>
                        </w:r>
                        <w:r>
                          <w:rPr>
                            <w:color w:val="000000"/>
                            <w:sz w:val="20"/>
                            <w:szCs w:val="20"/>
                          </w:rPr>
                          <w:t>, strokovnih mnenj, usmeritev, navodil, zapisnikov</w:t>
                        </w:r>
                        <w:r w:rsidRPr="000F18CA">
                          <w:rPr>
                            <w:color w:val="000000"/>
                            <w:sz w:val="20"/>
                            <w:szCs w:val="20"/>
                          </w:rPr>
                          <w:t xml:space="preserve"> in korespondence F</w:t>
                        </w:r>
                        <w:r>
                          <w:rPr>
                            <w:color w:val="000000"/>
                            <w:sz w:val="20"/>
                            <w:szCs w:val="20"/>
                          </w:rPr>
                          <w:t>inančne uprave Republike Slovenije (FURS) in drugega dokumentarnega gradiva</w:t>
                        </w:r>
                        <w:r w:rsidRPr="000F18CA">
                          <w:rPr>
                            <w:color w:val="000000"/>
                            <w:sz w:val="20"/>
                            <w:szCs w:val="20"/>
                          </w:rPr>
                          <w:t>, povezan</w:t>
                        </w:r>
                        <w:r>
                          <w:rPr>
                            <w:color w:val="000000"/>
                            <w:sz w:val="20"/>
                            <w:szCs w:val="20"/>
                          </w:rPr>
                          <w:t>ega</w:t>
                        </w:r>
                        <w:r w:rsidRPr="000F18CA">
                          <w:rPr>
                            <w:color w:val="000000"/>
                            <w:sz w:val="20"/>
                            <w:szCs w:val="20"/>
                          </w:rPr>
                          <w:t xml:space="preserve"> z oblikovanjem stališča glede obdavčitve</w:t>
                        </w:r>
                        <w:r>
                          <w:rPr>
                            <w:color w:val="000000"/>
                            <w:sz w:val="20"/>
                            <w:szCs w:val="20"/>
                          </w:rPr>
                          <w:t>,</w:t>
                        </w:r>
                        <w:r w:rsidRPr="000F18CA">
                          <w:rPr>
                            <w:color w:val="000000"/>
                            <w:sz w:val="20"/>
                            <w:szCs w:val="20"/>
                          </w:rPr>
                          <w:t xml:space="preserve"> prekrškovne odgovornosti in opravljanja dejavnosti preko platforme OnlyFans</w:t>
                        </w:r>
                        <w:r>
                          <w:rPr>
                            <w:color w:val="000000"/>
                            <w:sz w:val="20"/>
                            <w:szCs w:val="20"/>
                          </w:rPr>
                          <w:t xml:space="preserve"> </w:t>
                        </w:r>
                        <w:r w:rsidRPr="00C6564F">
                          <w:rPr>
                            <w:color w:val="000000"/>
                            <w:sz w:val="20"/>
                            <w:szCs w:val="20"/>
                          </w:rPr>
                          <w:t>oziroma drugih primerljivih spletnih platform</w:t>
                        </w:r>
                        <w:r w:rsidRPr="000F18CA">
                          <w:rPr>
                            <w:color w:val="000000"/>
                            <w:sz w:val="20"/>
                            <w:szCs w:val="20"/>
                          </w:rPr>
                          <w:t>, vključno s podatki o pripravljavcih gradiv in internimi usmeritvami.</w:t>
                        </w:r>
                      </w:p>
                      <w:p w14:paraId="17B56628" w14:textId="77777777" w:rsidR="00750DE0" w:rsidRPr="008105E4" w:rsidRDefault="00750DE0" w:rsidP="00750DE0">
                        <w:pPr>
                          <w:pStyle w:val="Naslovpredpisa"/>
                          <w:spacing w:before="0" w:after="0" w:line="260" w:lineRule="atLeast"/>
                          <w:jc w:val="left"/>
                          <w:rPr>
                            <w:rStyle w:val="Krepko"/>
                            <w:sz w:val="20"/>
                            <w:szCs w:val="20"/>
                          </w:rPr>
                        </w:pPr>
                      </w:p>
                      <w:p w14:paraId="315D6A52" w14:textId="421EBDE2" w:rsidR="00750DE0" w:rsidRDefault="00750DE0" w:rsidP="00750DE0">
                        <w:pPr>
                          <w:jc w:val="both"/>
                          <w:rPr>
                            <w:rFonts w:cs="Arial"/>
                            <w:color w:val="000000"/>
                            <w:szCs w:val="20"/>
                            <w:lang w:eastAsia="sl-SI"/>
                          </w:rPr>
                        </w:pPr>
                        <w:r w:rsidRPr="000F18CA">
                          <w:rPr>
                            <w:rFonts w:cs="Arial"/>
                            <w:color w:val="000000"/>
                            <w:szCs w:val="20"/>
                            <w:lang w:eastAsia="sl-SI"/>
                          </w:rPr>
                          <w:t>Vlada je odločila, da se zahtevi prosilca za posredovanje zahtevane dokumentacije delno</w:t>
                        </w:r>
                        <w:r w:rsidRPr="000F18CA">
                          <w:rPr>
                            <w:rFonts w:cs="Arial"/>
                            <w:b/>
                            <w:bCs/>
                            <w:color w:val="000000"/>
                            <w:szCs w:val="20"/>
                            <w:lang w:eastAsia="sl-SI"/>
                          </w:rPr>
                          <w:t xml:space="preserve"> </w:t>
                        </w:r>
                        <w:r w:rsidRPr="000F18CA">
                          <w:rPr>
                            <w:rFonts w:cs="Arial"/>
                            <w:color w:val="000000"/>
                            <w:szCs w:val="20"/>
                            <w:lang w:eastAsia="sl-SI"/>
                          </w:rPr>
                          <w:t>ugodi</w:t>
                        </w:r>
                        <w:r>
                          <w:rPr>
                            <w:rFonts w:cs="Arial"/>
                            <w:color w:val="000000"/>
                            <w:szCs w:val="20"/>
                            <w:lang w:eastAsia="sl-SI"/>
                          </w:rPr>
                          <w:t xml:space="preserve"> ter posredovala dokumentacijo in </w:t>
                        </w:r>
                        <w:r>
                          <w:rPr>
                            <w:rFonts w:cs="Arial"/>
                            <w:color w:val="000000"/>
                            <w:szCs w:val="20"/>
                          </w:rPr>
                          <w:t xml:space="preserve">povezavo do javno objavljenih dokumentov na spletni strani </w:t>
                        </w:r>
                        <w:r>
                          <w:rPr>
                            <w:rFonts w:cs="Arial"/>
                            <w:color w:val="000000"/>
                            <w:szCs w:val="20"/>
                            <w:lang w:eastAsia="sl-SI"/>
                          </w:rPr>
                          <w:t>FURS.</w:t>
                        </w:r>
                        <w:r w:rsidRPr="000F18CA">
                          <w:rPr>
                            <w:rFonts w:cs="Arial"/>
                            <w:color w:val="000000"/>
                            <w:szCs w:val="20"/>
                            <w:lang w:eastAsia="sl-SI"/>
                          </w:rPr>
                          <w:t xml:space="preserve"> </w:t>
                        </w:r>
                        <w:r>
                          <w:rPr>
                            <w:rFonts w:cs="Arial"/>
                            <w:color w:val="000000"/>
                            <w:szCs w:val="20"/>
                            <w:lang w:eastAsia="sl-SI"/>
                          </w:rPr>
                          <w:t xml:space="preserve">Delno pa je Vlada zahtevo </w:t>
                        </w:r>
                        <w:r w:rsidRPr="000F18CA">
                          <w:rPr>
                            <w:rFonts w:cs="Arial"/>
                            <w:color w:val="000000"/>
                            <w:szCs w:val="20"/>
                            <w:lang w:eastAsia="sl-SI"/>
                          </w:rPr>
                          <w:t>zavrn</w:t>
                        </w:r>
                        <w:r>
                          <w:rPr>
                            <w:rFonts w:cs="Arial"/>
                            <w:color w:val="000000"/>
                            <w:szCs w:val="20"/>
                            <w:lang w:eastAsia="sl-SI"/>
                          </w:rPr>
                          <w:t>ila</w:t>
                        </w:r>
                        <w:r w:rsidRPr="000F18CA">
                          <w:rPr>
                            <w:rFonts w:cs="Arial"/>
                            <w:color w:val="000000"/>
                            <w:szCs w:val="20"/>
                            <w:lang w:eastAsia="sl-SI"/>
                          </w:rPr>
                          <w:t xml:space="preserve"> v delu, v</w:t>
                        </w:r>
                        <w:r w:rsidRPr="000F18CA">
                          <w:rPr>
                            <w:rFonts w:cs="Arial"/>
                            <w:b/>
                            <w:bCs/>
                            <w:color w:val="000000"/>
                            <w:szCs w:val="20"/>
                            <w:lang w:eastAsia="sl-SI"/>
                          </w:rPr>
                          <w:t xml:space="preserve"> </w:t>
                        </w:r>
                        <w:r w:rsidRPr="000F18CA">
                          <w:rPr>
                            <w:rFonts w:cs="Arial"/>
                            <w:color w:val="000000"/>
                            <w:szCs w:val="20"/>
                            <w:lang w:eastAsia="sl-SI"/>
                          </w:rPr>
                          <w:t>katerem so v posredovani dokumentaciji vsebovani podatki, ki predstavljajo občutljive informacije o notranjem delovanju organa, kakor tudi</w:t>
                        </w:r>
                        <w:r w:rsidRPr="000F18CA">
                          <w:rPr>
                            <w:rFonts w:cs="Arial"/>
                            <w:b/>
                            <w:bCs/>
                            <w:color w:val="000000"/>
                            <w:szCs w:val="20"/>
                            <w:lang w:eastAsia="sl-SI"/>
                          </w:rPr>
                          <w:t xml:space="preserve"> </w:t>
                        </w:r>
                        <w:r w:rsidRPr="000F18CA">
                          <w:rPr>
                            <w:rFonts w:cs="Arial"/>
                            <w:color w:val="000000"/>
                            <w:szCs w:val="20"/>
                            <w:lang w:eastAsia="sl-SI"/>
                          </w:rPr>
                          <w:t>v delu dokumentacije, s katero davčni organ ne razpolaga. Vlada je po izvedenem tehtanju obstoja prevladujočega javnega interesa ugotovila</w:t>
                        </w:r>
                        <w:r w:rsidRPr="00DB7BA1">
                          <w:rPr>
                            <w:rFonts w:cs="Arial"/>
                            <w:szCs w:val="20"/>
                          </w:rPr>
                          <w:t>, da v obravnavanem primeru interes varstva notranjega delovanja organa in zagotavljanja učinkovitega izvajanja nadzornih nalog prevlada nad interesom javnosti za razkritje zahtevanih informacij</w:t>
                        </w:r>
                        <w:r w:rsidRPr="000F18CA">
                          <w:rPr>
                            <w:rFonts w:cs="Arial"/>
                            <w:color w:val="000000"/>
                            <w:szCs w:val="20"/>
                            <w:lang w:eastAsia="sl-SI"/>
                          </w:rPr>
                          <w:t>.</w:t>
                        </w:r>
                      </w:p>
                      <w:p w14:paraId="0697D475" w14:textId="30676B48" w:rsidR="00535CBB" w:rsidRPr="00535CBB" w:rsidRDefault="00535CBB" w:rsidP="00535CBB">
                        <w:pPr>
                          <w:pStyle w:val="Vir"/>
                          <w:rPr>
                            <w:lang w:eastAsia="sl-SI"/>
                          </w:rPr>
                        </w:pPr>
                        <w:r>
                          <w:rPr>
                            <w:lang w:eastAsia="sl-SI"/>
                          </w:rPr>
                          <w:t>Vir: Ministrstvo za finance</w:t>
                        </w:r>
                      </w:p>
                      <w:tbl>
                        <w:tblPr>
                          <w:tblW w:w="84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346"/>
                          <w:gridCol w:w="572"/>
                        </w:tblGrid>
                        <w:tr w:rsidR="00750DE0" w:rsidRPr="00687279" w14:paraId="15DCCB6B" w14:textId="77777777" w:rsidTr="00664765">
                          <w:trPr>
                            <w:gridAfter w:val="1"/>
                            <w:wAfter w:w="572" w:type="dxa"/>
                          </w:trPr>
                          <w:tc>
                            <w:tcPr>
                              <w:tcW w:w="7913" w:type="dxa"/>
                              <w:gridSpan w:val="2"/>
                              <w:tcBorders>
                                <w:top w:val="nil"/>
                                <w:left w:val="nil"/>
                                <w:bottom w:val="nil"/>
                                <w:right w:val="nil"/>
                              </w:tcBorders>
                            </w:tcPr>
                            <w:p w14:paraId="56A40F5E" w14:textId="77777777" w:rsidR="00750DE0" w:rsidRPr="00687279" w:rsidRDefault="00750DE0" w:rsidP="00535CBB">
                              <w:pPr>
                                <w:pStyle w:val="Naslov2"/>
                              </w:pPr>
                              <w:r w:rsidRPr="00687279">
                                <w:t>Imenovan državni sekretar v Ministrstvu za infrastrukturo in energetiko</w:t>
                              </w:r>
                            </w:p>
                            <w:p w14:paraId="667057CF" w14:textId="3DFBD3AB" w:rsidR="00750DE0" w:rsidRPr="00687279" w:rsidRDefault="00750DE0" w:rsidP="00535CBB">
                              <w:pPr>
                                <w:spacing w:line="288" w:lineRule="auto"/>
                                <w:jc w:val="both"/>
                                <w:rPr>
                                  <w:rFonts w:cs="Arial"/>
                                  <w:szCs w:val="20"/>
                                </w:rPr>
                              </w:pPr>
                              <w:r w:rsidRPr="00687279">
                                <w:rPr>
                                  <w:rFonts w:cs="Arial"/>
                                  <w:szCs w:val="20"/>
                                </w:rPr>
                                <w:t>Vlada je na predlog ministra za infrastrukturo in energetiko sprejela sklep, da se z dnem 6. julija 2026 za državnega sekretarja v Ministrstvu za infrastrukturo in energetiko imenuje Marko Dvornik. Državne sekretarje v skladu z Zakonom o državni upravi imenuje in razrešuje vlada na predlog ministra, ki vodi ministrstvo.</w:t>
                              </w:r>
                            </w:p>
                            <w:p w14:paraId="7EE58E0A" w14:textId="77777777" w:rsidR="00750DE0" w:rsidRDefault="00750DE0" w:rsidP="00535CBB">
                              <w:pPr>
                                <w:pStyle w:val="Vir"/>
                              </w:pPr>
                              <w:r w:rsidRPr="00687279">
                                <w:t>Vir: Ministrstvo za infrastrukturo in energetiko</w:t>
                              </w:r>
                            </w:p>
                            <w:p w14:paraId="2601319C" w14:textId="77777777" w:rsidR="00750DE0" w:rsidRPr="0054780C" w:rsidRDefault="00750DE0" w:rsidP="00664765">
                              <w:pPr>
                                <w:pStyle w:val="Naslov2"/>
                              </w:pPr>
                              <w:r w:rsidRPr="0054780C">
                                <w:t xml:space="preserve">Vlada za vršilko dolžnosti generalnega direktorja Direktorata za prostor in graditev na Ministrstvu za okolje in prostor imenovala mag. Ašo Rogelj </w:t>
                              </w:r>
                            </w:p>
                            <w:p w14:paraId="1C0E0047" w14:textId="62443C92" w:rsidR="00750DE0" w:rsidRPr="0054780C" w:rsidRDefault="00750DE0" w:rsidP="00750DE0">
                              <w:pPr>
                                <w:rPr>
                                  <w:rFonts w:cs="Arial"/>
                                  <w:szCs w:val="20"/>
                                </w:rPr>
                              </w:pPr>
                              <w:r w:rsidRPr="0054780C">
                                <w:rPr>
                                  <w:rFonts w:cs="Arial"/>
                                  <w:szCs w:val="20"/>
                                </w:rPr>
                                <w:t>Vlada je razrešila dr. Natašo Bratina s položaja generalne direktorice Direktorata za prostor in graditev na Ministrstvu za okolje in prostor ter za vršilko dolžnosti generalnega direktorja imenovala mag. Ašo Rogelj. Vršilka dolžnosti bo do imenovanja novega generalnega direktorja, vendar največ šest mesecev, to je najdlje do 2. 1. 2027.</w:t>
                              </w:r>
                            </w:p>
                            <w:p w14:paraId="602D607C" w14:textId="77777777" w:rsidR="00750DE0" w:rsidRPr="0054780C" w:rsidRDefault="00750DE0" w:rsidP="00750DE0">
                              <w:pPr>
                                <w:rPr>
                                  <w:rFonts w:cs="Arial"/>
                                  <w:szCs w:val="20"/>
                                </w:rPr>
                              </w:pPr>
                            </w:p>
                            <w:p w14:paraId="47DB53D5" w14:textId="77777777" w:rsidR="00750DE0" w:rsidRPr="00687279" w:rsidRDefault="00750DE0" w:rsidP="00750DE0">
                              <w:pPr>
                                <w:rPr>
                                  <w:rFonts w:cs="Arial"/>
                                  <w:szCs w:val="20"/>
                                </w:rPr>
                              </w:pPr>
                              <w:r w:rsidRPr="0054780C">
                                <w:rPr>
                                  <w:rFonts w:cs="Arial"/>
                                  <w:szCs w:val="20"/>
                                </w:rPr>
                                <w:t>Vir: Ministrstvo za okolje in prostor</w:t>
                              </w:r>
                            </w:p>
                            <w:p w14:paraId="62C760E3" w14:textId="77777777" w:rsidR="00750DE0" w:rsidRPr="00687279" w:rsidRDefault="00750DE0" w:rsidP="00750DE0">
                              <w:pPr>
                                <w:jc w:val="both"/>
                                <w:rPr>
                                  <w:rFonts w:cs="Arial"/>
                                  <w:szCs w:val="20"/>
                                </w:rPr>
                              </w:pPr>
                            </w:p>
                          </w:tc>
                        </w:tr>
                        <w:tr w:rsidR="00750DE0" w:rsidRPr="00687279" w14:paraId="52BC18A2" w14:textId="77777777" w:rsidTr="00664765">
                          <w:trPr>
                            <w:gridAfter w:val="1"/>
                            <w:wAfter w:w="572" w:type="dxa"/>
                          </w:trPr>
                          <w:tc>
                            <w:tcPr>
                              <w:tcW w:w="7913" w:type="dxa"/>
                              <w:gridSpan w:val="2"/>
                              <w:tcBorders>
                                <w:top w:val="nil"/>
                                <w:left w:val="nil"/>
                                <w:bottom w:val="nil"/>
                                <w:right w:val="nil"/>
                              </w:tcBorders>
                            </w:tcPr>
                            <w:p w14:paraId="52749160" w14:textId="77777777" w:rsidR="00750DE0" w:rsidRPr="0054780C" w:rsidRDefault="00750DE0" w:rsidP="00664765">
                              <w:pPr>
                                <w:pStyle w:val="Naslov2"/>
                              </w:pPr>
                              <w:r w:rsidRPr="0054780C">
                                <w:t>Vlada za vršilko dolžnosti generalnega direktorja Direktorata za vode na Ministrstvu za okolje in prostor imenovala mag. Mojco Štritof Brus</w:t>
                              </w:r>
                            </w:p>
                            <w:p w14:paraId="12D047F4" w14:textId="41C037B0" w:rsidR="00750DE0" w:rsidRPr="0054780C" w:rsidRDefault="00750DE0" w:rsidP="00750DE0">
                              <w:pPr>
                                <w:jc w:val="both"/>
                                <w:rPr>
                                  <w:rFonts w:cs="Arial"/>
                                  <w:szCs w:val="20"/>
                                </w:rPr>
                              </w:pPr>
                              <w:r w:rsidRPr="0054780C">
                                <w:rPr>
                                  <w:rFonts w:cs="Arial"/>
                                  <w:szCs w:val="20"/>
                                </w:rPr>
                                <w:t>Vlada je razrešila dr. Lidijo Globevnik s položaja generalne direktorice Direktorata za vode na Ministrstvu za okolje in prostor ter za vršilko dolžnosti generalnega direktorja imenovala mag. Mojco Štritof Brus. Vršilka dolžnosti bo do imenovanja novega generalnega direktorja, vendar največ šest mesecev, to je najdlje do 2. 1. 2027.</w:t>
                              </w:r>
                            </w:p>
                            <w:p w14:paraId="284E4DD1" w14:textId="77777777" w:rsidR="00750DE0" w:rsidRDefault="00750DE0" w:rsidP="00664765">
                              <w:pPr>
                                <w:pStyle w:val="Vir"/>
                              </w:pPr>
                              <w:r w:rsidRPr="0054780C">
                                <w:t>Vir: Ministrstvo za okolje in prostor</w:t>
                              </w:r>
                            </w:p>
                            <w:p w14:paraId="6DE8BC06" w14:textId="77777777" w:rsidR="00750DE0" w:rsidRDefault="00750DE0" w:rsidP="00750DE0">
                              <w:pPr>
                                <w:jc w:val="both"/>
                                <w:rPr>
                                  <w:rFonts w:cs="Arial"/>
                                  <w:szCs w:val="20"/>
                                </w:rPr>
                              </w:pPr>
                            </w:p>
                            <w:p w14:paraId="5768DC18" w14:textId="5F0C175A" w:rsidR="00750DE0" w:rsidRPr="00687279" w:rsidRDefault="00750DE0" w:rsidP="00664765">
                              <w:pPr>
                                <w:pStyle w:val="Naslov2"/>
                              </w:pPr>
                              <w:r w:rsidRPr="00687279">
                                <w:lastRenderedPageBreak/>
                                <w:t>Vlada imenovala Branka Jezovška za vršilca dolžnosti generalnega direktorja Direktorata za medije</w:t>
                              </w:r>
                            </w:p>
                            <w:p w14:paraId="1397054B" w14:textId="0DA57EB0" w:rsidR="00750DE0" w:rsidRPr="00687279" w:rsidRDefault="00750DE0" w:rsidP="00750DE0">
                              <w:pPr>
                                <w:jc w:val="both"/>
                                <w:rPr>
                                  <w:rFonts w:cs="Arial"/>
                                  <w:szCs w:val="20"/>
                                </w:rPr>
                              </w:pPr>
                              <w:r w:rsidRPr="00687279">
                                <w:rPr>
                                  <w:rFonts w:cs="Arial"/>
                                  <w:szCs w:val="20"/>
                                </w:rPr>
                                <w:t>Vlada je za vršilca dolžnosti generalnega direktorja Direktorata za kulturo imenovala Branka Jezovška. Branko Jezovšek bo mandat vršilca dolžnosti prevzel 6. julija, in sicer do imenovanja novega generalnega direktorja oziroma najdlje do 5. januarja 2027.</w:t>
                              </w:r>
                            </w:p>
                            <w:p w14:paraId="23B2C6D2" w14:textId="77777777" w:rsidR="00750DE0" w:rsidRPr="00687279" w:rsidRDefault="00750DE0" w:rsidP="00750DE0">
                              <w:pPr>
                                <w:jc w:val="both"/>
                                <w:rPr>
                                  <w:rFonts w:cs="Arial"/>
                                  <w:b/>
                                  <w:bCs/>
                                  <w:szCs w:val="20"/>
                                </w:rPr>
                              </w:pPr>
                            </w:p>
                            <w:p w14:paraId="1C821F16" w14:textId="77777777" w:rsidR="00750DE0" w:rsidRPr="00687279" w:rsidRDefault="00750DE0" w:rsidP="00750DE0">
                              <w:pPr>
                                <w:jc w:val="both"/>
                                <w:rPr>
                                  <w:rFonts w:cs="Arial"/>
                                  <w:szCs w:val="20"/>
                                </w:rPr>
                              </w:pPr>
                              <w:r w:rsidRPr="00687279">
                                <w:rPr>
                                  <w:rFonts w:cs="Arial"/>
                                  <w:szCs w:val="20"/>
                                </w:rPr>
                                <w:t>Branko Jezovšek je univerzitetni diplomirani pravnik, ki je že od leta 2008 zaposlen na Direktoratu za medije. Zadolžen je za pripravo predpisov s področja medijev, spremljanje njihovega izvajanja ter pripravo drugih pomembnejših dokumentov. Zaradi dolgoletnih izkušenj in poglobljenega poznavanja nacionalnega ter evropskega pravnega okvira velja za enega izmed najboljših poznavalcev medijske zakonodaje v Sloveniji.</w:t>
                              </w:r>
                            </w:p>
                            <w:p w14:paraId="67C3DA00" w14:textId="7E3284DD" w:rsidR="00750DE0" w:rsidRDefault="00750DE0" w:rsidP="00750DE0">
                              <w:pPr>
                                <w:jc w:val="both"/>
                                <w:rPr>
                                  <w:rFonts w:cs="Arial"/>
                                  <w:szCs w:val="20"/>
                                </w:rPr>
                              </w:pPr>
                              <w:r w:rsidRPr="00687279">
                                <w:rPr>
                                  <w:rFonts w:cs="Arial"/>
                                  <w:szCs w:val="20"/>
                                </w:rPr>
                                <w:t>Od leta 2013 je tudi član sveta javnega zavoda Slovenska kinoteka, med letoma 2017 in 2025 je bil tudi njegov predsednik, od leta 2018 je član sveta Filmskega studia Viba film Ljubljana.</w:t>
                              </w:r>
                            </w:p>
                            <w:p w14:paraId="04A775F4" w14:textId="320D24BD" w:rsidR="00750DE0" w:rsidRPr="00664765" w:rsidRDefault="00750DE0" w:rsidP="00664765">
                              <w:pPr>
                                <w:pStyle w:val="Vir"/>
                                <w:rPr>
                                  <w:b/>
                                </w:rPr>
                              </w:pPr>
                              <w:r w:rsidRPr="00687279">
                                <w:t>Vir: Ministrstvo za kulturo</w:t>
                              </w:r>
                            </w:p>
                            <w:p w14:paraId="284EB184" w14:textId="0D47557E" w:rsidR="00750DE0" w:rsidRPr="00687279" w:rsidRDefault="00750DE0" w:rsidP="00664765">
                              <w:pPr>
                                <w:pStyle w:val="Naslov2"/>
                              </w:pPr>
                              <w:r w:rsidRPr="00687279">
                                <w:t>Vlada imenovala člane v Ekonomsko-socialni svet</w:t>
                              </w:r>
                            </w:p>
                            <w:p w14:paraId="11F395AB" w14:textId="2F1F06F5"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Vlada je sprejela sklep o razrešitvi in imenovanju članov ter namestnikov članov v Ekonomsko-socialni svet.</w:t>
                              </w:r>
                            </w:p>
                            <w:p w14:paraId="48C184A2"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V Ekonomsko-socialnem svetu se razrešijo:</w:t>
                              </w:r>
                            </w:p>
                            <w:p w14:paraId="430A0794"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Luka Mesec – član;</w:t>
                              </w:r>
                            </w:p>
                            <w:p w14:paraId="72D1929A"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Dan Juvan –  namestnik člana;</w:t>
                              </w:r>
                            </w:p>
                            <w:p w14:paraId="6CF215FA"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Igor Feketija –  namestnik člana;</w:t>
                              </w:r>
                            </w:p>
                            <w:p w14:paraId="1E4217BA"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Klemen Boštjančič – član;</w:t>
                              </w:r>
                            </w:p>
                            <w:p w14:paraId="6894F071"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Katja Božič – namestnica člana;</w:t>
                              </w:r>
                            </w:p>
                            <w:p w14:paraId="34D90FE5"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Saša Jazbec – namestnica člana;</w:t>
                              </w:r>
                            </w:p>
                            <w:p w14:paraId="06438CCD"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Matjaž Han – član;</w:t>
                              </w:r>
                            </w:p>
                            <w:p w14:paraId="687D4852"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Dejan Židan – namestnik člana;</w:t>
                              </w:r>
                            </w:p>
                            <w:p w14:paraId="294C664E"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Matevž Frangež – namestnik člana;</w:t>
                              </w:r>
                            </w:p>
                            <w:p w14:paraId="72FD831E"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Franc Props – član;</w:t>
                              </w:r>
                            </w:p>
                            <w:p w14:paraId="029C0C5D"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Mojca Ramšak Pešec – namestnica člana;</w:t>
                              </w:r>
                            </w:p>
                            <w:p w14:paraId="37930601"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Jure Trbič – namestnik člana;</w:t>
                              </w:r>
                            </w:p>
                            <w:p w14:paraId="1E5A3361"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Igor Papič – član;</w:t>
                              </w:r>
                            </w:p>
                            <w:p w14:paraId="0571C0A5"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Jure Gašparič – namestnik člana;</w:t>
                              </w:r>
                            </w:p>
                            <w:p w14:paraId="77F83A74"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Urban Kodrič – namestnik člana;</w:t>
                              </w:r>
                            </w:p>
                            <w:p w14:paraId="08E75D0B"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Valentina Prevolnik – članica;</w:t>
                              </w:r>
                            </w:p>
                            <w:p w14:paraId="2EE92DDD"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Denis Kordež – namestnik članice;</w:t>
                              </w:r>
                            </w:p>
                            <w:p w14:paraId="429139F9"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Aleksander Jevšek – član;</w:t>
                              </w:r>
                            </w:p>
                            <w:p w14:paraId="5869D242"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Marko Koprivc – namestnik člana;</w:t>
                              </w:r>
                            </w:p>
                            <w:p w14:paraId="6EB40EC8"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Srečko Đurov – namestnik člana;</w:t>
                              </w:r>
                            </w:p>
                            <w:p w14:paraId="0CA80293"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Alenka Kajzer – članica;</w:t>
                              </w:r>
                            </w:p>
                            <w:p w14:paraId="247774E1"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xml:space="preserve">–   Mitja Perko – namestnik članice. </w:t>
                              </w:r>
                            </w:p>
                            <w:p w14:paraId="15CBAD6A" w14:textId="77777777" w:rsidR="00664765" w:rsidRPr="00664765" w:rsidRDefault="00664765" w:rsidP="00664765">
                              <w:pPr>
                                <w:pStyle w:val="Brezrazmikov"/>
                                <w:jc w:val="both"/>
                                <w:rPr>
                                  <w:rFonts w:ascii="Arial" w:hAnsi="Arial" w:cs="Arial"/>
                                  <w:sz w:val="20"/>
                                  <w:szCs w:val="20"/>
                                </w:rPr>
                              </w:pPr>
                            </w:p>
                            <w:p w14:paraId="41C86E89"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V Ekonomsko-socialni svet se imenujejo:</w:t>
                              </w:r>
                            </w:p>
                            <w:p w14:paraId="41454BFF"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Anže Logar, minister za gospodarstvo, delo in šport – član;</w:t>
                              </w:r>
                            </w:p>
                            <w:p w14:paraId="1A814164"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Štefan Kušar, državni sekretar v Ministrstvu za gospodarstvo, delo in šport –  namestnik člana;</w:t>
                              </w:r>
                            </w:p>
                            <w:p w14:paraId="6BB6654E"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Leon Korošec, državni sekretar v Ministrstvu za gospodarstvo, delo in šport –  namestnik člana;</w:t>
                              </w:r>
                            </w:p>
                            <w:p w14:paraId="4F594238"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Andrej Šircelj, minister za finance – član;</w:t>
                              </w:r>
                            </w:p>
                            <w:p w14:paraId="2E4E32F0"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Maja Hostnik Kališek, državna sekretarka v Ministrstvu za finance – namestnica člana;</w:t>
                              </w:r>
                            </w:p>
                            <w:p w14:paraId="0904FDCD"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Kristina Šteblaj, državna sekretarka v Ministrstvu za finance – namestnica člana;</w:t>
                              </w:r>
                            </w:p>
                            <w:p w14:paraId="1F89686F"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Mateja Ribič, ministrica za demografijo, družino in socialne zadeve – članica;</w:t>
                              </w:r>
                            </w:p>
                            <w:p w14:paraId="75781E52"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lastRenderedPageBreak/>
                                <w:t>–   Andrej Štesl, državni sekretar v Ministrstvu za demografijo, družino in socialne zadeve – namestnik članice;</w:t>
                              </w:r>
                            </w:p>
                            <w:p w14:paraId="1C30323E"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mag. Tomislav Nemec, državni sekretar v Ministrstvu za demografijo, družino in socialne zadeve – namestnik članice;</w:t>
                              </w:r>
                            </w:p>
                            <w:p w14:paraId="00043125"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Borut Rončević, minister za izobraževanje, znanost in mladino – član;</w:t>
                              </w:r>
                            </w:p>
                            <w:p w14:paraId="3BDE09E5"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Mojca Škrinjar, državna sekretarka v Ministrstvu za izobraževanje, znanost in mladino – namestnica člana;</w:t>
                              </w:r>
                            </w:p>
                            <w:p w14:paraId="502E6B89"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Rok Strašek, državni sekretar v Ministrstvu za izobraževanje, znanost in mladino – namestnik člana;</w:t>
                              </w:r>
                            </w:p>
                            <w:p w14:paraId="1FE04A34"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Tadej Ostrc, minister za zdravje – član;</w:t>
                              </w:r>
                            </w:p>
                            <w:p w14:paraId="7A8B61C9"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xml:space="preserve">–   Vesna Marinko, državna sekretarka v Ministrstvu za zdravje, namestnica člana; </w:t>
                              </w:r>
                            </w:p>
                            <w:p w14:paraId="5033655D"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Monika Kirbiš Rojs, ministrica za lokalno samoupravo, kohezijo in regionalni razvoj – članica;</w:t>
                              </w:r>
                            </w:p>
                            <w:p w14:paraId="5EC478AD"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Ivan Meglič, državni sekretar v Ministrstvu za lokalno samoupravo, kohezijo in regionalni razvoj – namestnik članice;</w:t>
                              </w:r>
                            </w:p>
                            <w:p w14:paraId="32566129"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Rok Šimenc, državni sekretar v Ministrstvu za lokalno samoupravo, kohezijo in regionalni razvoj – namestnik članice;</w:t>
                              </w:r>
                            </w:p>
                            <w:p w14:paraId="36DA3358"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Franci Matoz, minister za notranje zadeve in javno upravo – član;</w:t>
                              </w:r>
                            </w:p>
                            <w:p w14:paraId="6BF07B73"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Božo Predalič, državni sekretar v Ministrstvu za notranje zadeve in javno upravo – namestnik člana;</w:t>
                              </w:r>
                            </w:p>
                            <w:p w14:paraId="03BCEBBC"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Franc Kangler, državni sekretar v Ministrstvu za notranje zadeve in javno upravo – namestnik člana;</w:t>
                              </w:r>
                            </w:p>
                            <w:p w14:paraId="01AC2FA4"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dr. Alenka Kajzer, v.d. direktorja Urada RS za makroekonomske analize in razvoj – članica;</w:t>
                              </w:r>
                            </w:p>
                            <w:p w14:paraId="45AC5DBA"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   Mitja Perko, sekretar v Uradu RS za makroekonomske analize in razvoj – namestnik članice.</w:t>
                              </w:r>
                            </w:p>
                            <w:p w14:paraId="5A8FF383" w14:textId="77777777" w:rsidR="00664765" w:rsidRPr="00664765" w:rsidRDefault="00664765" w:rsidP="00664765">
                              <w:pPr>
                                <w:pStyle w:val="Brezrazmikov"/>
                                <w:jc w:val="both"/>
                                <w:rPr>
                                  <w:rFonts w:ascii="Arial" w:hAnsi="Arial" w:cs="Arial"/>
                                  <w:sz w:val="20"/>
                                  <w:szCs w:val="20"/>
                                </w:rPr>
                              </w:pPr>
                            </w:p>
                            <w:p w14:paraId="5F7DC01B" w14:textId="77777777" w:rsidR="00664765" w:rsidRPr="00664765" w:rsidRDefault="00664765" w:rsidP="00664765">
                              <w:pPr>
                                <w:pStyle w:val="Brezrazmikov"/>
                                <w:jc w:val="both"/>
                                <w:rPr>
                                  <w:rFonts w:ascii="Arial" w:hAnsi="Arial" w:cs="Arial"/>
                                  <w:sz w:val="20"/>
                                  <w:szCs w:val="20"/>
                                </w:rPr>
                              </w:pPr>
                              <w:r w:rsidRPr="00664765">
                                <w:rPr>
                                  <w:rFonts w:ascii="Arial" w:hAnsi="Arial" w:cs="Arial"/>
                                  <w:sz w:val="20"/>
                                  <w:szCs w:val="20"/>
                                </w:rPr>
                                <w:t>Na podlagi drugega odstavka 5. člena Pravil delovanja Ekonomsko socialnega sveta vsak od partnerjev v Ekonomsko-socialnem svetu imenuje svoje predstavnike v svet, s tem da ima vsak partner največ 8 članov, vsak član pa ima lahko največ dva namestnika. V prvem odstavku 5. člena Pravila določajo, da mora sestava predstavnikov vsakega od partnerjev zagotavljati zastopanje interesov vsakega partnerja, ki je udeležen v tripartitnem socialnem dogovarjanju, nadalje v tretjem odstavku 5. člena predstavnike vlade imenuje Vlada Republike Slovenije.</w:t>
                              </w:r>
                            </w:p>
                            <w:p w14:paraId="763FB71A" w14:textId="77777777" w:rsidR="00664765" w:rsidRPr="00664765" w:rsidRDefault="00664765" w:rsidP="00664765">
                              <w:pPr>
                                <w:pStyle w:val="Brezrazmikov"/>
                                <w:jc w:val="both"/>
                                <w:rPr>
                                  <w:rFonts w:ascii="Arial" w:hAnsi="Arial" w:cs="Arial"/>
                                  <w:sz w:val="20"/>
                                  <w:szCs w:val="20"/>
                                </w:rPr>
                              </w:pPr>
                            </w:p>
                            <w:p w14:paraId="5B6527FE" w14:textId="49D3309C" w:rsidR="00750DE0" w:rsidRPr="00664765" w:rsidRDefault="00664765" w:rsidP="00664765">
                              <w:pPr>
                                <w:pStyle w:val="Brezrazmikov"/>
                                <w:jc w:val="both"/>
                                <w:rPr>
                                  <w:rFonts w:ascii="Arial" w:hAnsi="Arial" w:cs="Arial"/>
                                  <w:sz w:val="20"/>
                                  <w:szCs w:val="20"/>
                                </w:rPr>
                              </w:pPr>
                              <w:r w:rsidRPr="00664765">
                                <w:rPr>
                                  <w:rFonts w:ascii="Arial" w:hAnsi="Arial" w:cs="Arial"/>
                                  <w:sz w:val="20"/>
                                  <w:szCs w:val="20"/>
                                </w:rPr>
                                <w:t>Zaradi sprememb v sestavi Vlade Republike Slovenije oziroma njenih služb se razrešijo dosedanji člani in njihovi namestniki v Ekonomsko-socialnem svetu ter imenujejo novi člani in namestniki članov v Ekonomsko-socialnem svetu.</w:t>
                              </w:r>
                            </w:p>
                          </w:tc>
                        </w:tr>
                        <w:tr w:rsidR="00750DE0" w:rsidRPr="00687279" w14:paraId="2D99CB6C" w14:textId="77777777" w:rsidTr="00664765">
                          <w:trPr>
                            <w:gridAfter w:val="1"/>
                            <w:wAfter w:w="572" w:type="dxa"/>
                          </w:trPr>
                          <w:tc>
                            <w:tcPr>
                              <w:tcW w:w="7913" w:type="dxa"/>
                              <w:gridSpan w:val="2"/>
                              <w:tcBorders>
                                <w:top w:val="nil"/>
                                <w:left w:val="nil"/>
                                <w:bottom w:val="nil"/>
                                <w:right w:val="nil"/>
                              </w:tcBorders>
                            </w:tcPr>
                            <w:p w14:paraId="24034C7B" w14:textId="77777777" w:rsidR="00750DE0" w:rsidRPr="00687279" w:rsidRDefault="00750DE0" w:rsidP="00664765">
                              <w:pPr>
                                <w:pStyle w:val="Vir"/>
                                <w:rPr>
                                  <w:rFonts w:cs="Arial"/>
                                  <w:color w:val="FF0000"/>
                                  <w:szCs w:val="20"/>
                                </w:rPr>
                              </w:pPr>
                              <w:r w:rsidRPr="004B7CB0">
                                <w:rPr>
                                  <w:rFonts w:cs="Arial"/>
                                  <w:szCs w:val="20"/>
                                </w:rPr>
                                <w:lastRenderedPageBreak/>
                                <w:t xml:space="preserve">Vir: </w:t>
                              </w:r>
                              <w:r w:rsidRPr="004B7CB0">
                                <w:t>Generalni sekretariat vlade</w:t>
                              </w:r>
                            </w:p>
                          </w:tc>
                        </w:tr>
                        <w:tr w:rsidR="00750DE0" w:rsidRPr="00687279" w14:paraId="678A8FD1" w14:textId="77777777" w:rsidTr="00664765">
                          <w:trPr>
                            <w:gridAfter w:val="1"/>
                            <w:wAfter w:w="572" w:type="dxa"/>
                          </w:trPr>
                          <w:tc>
                            <w:tcPr>
                              <w:tcW w:w="7913" w:type="dxa"/>
                              <w:gridSpan w:val="2"/>
                              <w:tcBorders>
                                <w:top w:val="nil"/>
                                <w:left w:val="nil"/>
                                <w:bottom w:val="nil"/>
                                <w:right w:val="nil"/>
                              </w:tcBorders>
                            </w:tcPr>
                            <w:p w14:paraId="7D3003D9" w14:textId="77777777" w:rsidR="00750DE0" w:rsidRPr="00687279" w:rsidRDefault="00750DE0" w:rsidP="00664765">
                              <w:pPr>
                                <w:pStyle w:val="Naslov2"/>
                                <w:rPr>
                                  <w:lang w:eastAsia="sl-SI"/>
                                </w:rPr>
                              </w:pPr>
                              <w:r w:rsidRPr="00687279">
                                <w:rPr>
                                  <w:lang w:eastAsia="sl-SI"/>
                                </w:rPr>
                                <w:t>Vlada imenovala člane Komisije Vlade Republike Slovenije za reševanje vprašanj prikritih grobišč</w:t>
                              </w:r>
                            </w:p>
                            <w:p w14:paraId="343C4E17" w14:textId="0974330E" w:rsidR="00750DE0" w:rsidRPr="00687279" w:rsidRDefault="00750DE0" w:rsidP="00750DE0">
                              <w:pPr>
                                <w:jc w:val="both"/>
                                <w:rPr>
                                  <w:rFonts w:cs="Arial"/>
                                  <w:szCs w:val="20"/>
                                  <w:lang w:eastAsia="sl-SI"/>
                                </w:rPr>
                              </w:pPr>
                              <w:r w:rsidRPr="00687279">
                                <w:rPr>
                                  <w:rFonts w:cs="Arial"/>
                                  <w:szCs w:val="20"/>
                                  <w:lang w:eastAsia="sl-SI"/>
                                </w:rPr>
                                <w:t xml:space="preserve">Vlada je sprejela sklep o spremembi Sklepa o imenovanju članov Komisije Vlade Republike Slovenije za reševanje vprašanj prikritih grobišč. V komisijo so bili imenovani: </w:t>
                              </w:r>
                            </w:p>
                            <w:p w14:paraId="088CAA84" w14:textId="77777777" w:rsidR="00750DE0" w:rsidRPr="00687279" w:rsidRDefault="00750DE0" w:rsidP="00750DE0">
                              <w:pPr>
                                <w:jc w:val="both"/>
                                <w:rPr>
                                  <w:rFonts w:cs="Arial"/>
                                  <w:szCs w:val="20"/>
                                  <w:lang w:eastAsia="sl-SI"/>
                                </w:rPr>
                              </w:pPr>
                            </w:p>
                            <w:p w14:paraId="17763B7C" w14:textId="77777777" w:rsidR="00750DE0" w:rsidRPr="00687279" w:rsidRDefault="00750DE0" w:rsidP="00750DE0">
                              <w:pPr>
                                <w:numPr>
                                  <w:ilvl w:val="0"/>
                                  <w:numId w:val="14"/>
                                </w:numPr>
                                <w:contextualSpacing/>
                                <w:jc w:val="both"/>
                                <w:rPr>
                                  <w:rFonts w:cs="Arial"/>
                                  <w:szCs w:val="20"/>
                                  <w:lang w:eastAsia="sl-SI"/>
                                </w:rPr>
                              </w:pPr>
                              <w:r w:rsidRPr="00687279">
                                <w:rPr>
                                  <w:rFonts w:cs="Arial"/>
                                  <w:szCs w:val="20"/>
                                  <w:lang w:eastAsia="sl-SI"/>
                                </w:rPr>
                                <w:t xml:space="preserve">dr. Mitja Ferenc, predsednik, </w:t>
                              </w:r>
                            </w:p>
                            <w:p w14:paraId="2DD4B9FF" w14:textId="77777777" w:rsidR="00750DE0" w:rsidRPr="00687279" w:rsidRDefault="00750DE0" w:rsidP="00750DE0">
                              <w:pPr>
                                <w:numPr>
                                  <w:ilvl w:val="0"/>
                                  <w:numId w:val="14"/>
                                </w:numPr>
                                <w:contextualSpacing/>
                                <w:jc w:val="both"/>
                                <w:rPr>
                                  <w:rFonts w:cs="Arial"/>
                                  <w:szCs w:val="20"/>
                                  <w:lang w:eastAsia="sl-SI"/>
                                </w:rPr>
                              </w:pPr>
                              <w:r w:rsidRPr="00687279">
                                <w:rPr>
                                  <w:rFonts w:cs="Arial"/>
                                  <w:szCs w:val="20"/>
                                  <w:lang w:eastAsia="sl-SI"/>
                                </w:rPr>
                                <w:t xml:space="preserve">dr. Katja Drobnič, članica, </w:t>
                              </w:r>
                            </w:p>
                            <w:p w14:paraId="54F03D15" w14:textId="77777777" w:rsidR="00750DE0" w:rsidRPr="00687279" w:rsidRDefault="00750DE0" w:rsidP="00750DE0">
                              <w:pPr>
                                <w:numPr>
                                  <w:ilvl w:val="0"/>
                                  <w:numId w:val="14"/>
                                </w:numPr>
                                <w:contextualSpacing/>
                                <w:jc w:val="both"/>
                                <w:rPr>
                                  <w:rFonts w:cs="Arial"/>
                                  <w:szCs w:val="20"/>
                                  <w:lang w:eastAsia="sl-SI"/>
                                </w:rPr>
                              </w:pPr>
                              <w:r w:rsidRPr="00687279">
                                <w:rPr>
                                  <w:rFonts w:cs="Arial"/>
                                  <w:szCs w:val="20"/>
                                  <w:lang w:eastAsia="sl-SI"/>
                                </w:rPr>
                                <w:t xml:space="preserve">dr. Uroš Košir, član, </w:t>
                              </w:r>
                            </w:p>
                            <w:p w14:paraId="1F64397B" w14:textId="77777777" w:rsidR="00750DE0" w:rsidRPr="00687279" w:rsidRDefault="00750DE0" w:rsidP="00750DE0">
                              <w:pPr>
                                <w:numPr>
                                  <w:ilvl w:val="0"/>
                                  <w:numId w:val="14"/>
                                </w:numPr>
                                <w:contextualSpacing/>
                                <w:jc w:val="both"/>
                                <w:rPr>
                                  <w:rFonts w:cs="Arial"/>
                                  <w:szCs w:val="20"/>
                                  <w:lang w:eastAsia="sl-SI"/>
                                </w:rPr>
                              </w:pPr>
                              <w:r w:rsidRPr="00687279">
                                <w:rPr>
                                  <w:rFonts w:cs="Arial"/>
                                  <w:szCs w:val="20"/>
                                  <w:lang w:eastAsia="sl-SI"/>
                                </w:rPr>
                                <w:t xml:space="preserve">dr. Anton Velušček, član, </w:t>
                              </w:r>
                            </w:p>
                            <w:p w14:paraId="62FDD7E8" w14:textId="77777777" w:rsidR="00750DE0" w:rsidRPr="00687279" w:rsidRDefault="00750DE0" w:rsidP="00750DE0">
                              <w:pPr>
                                <w:numPr>
                                  <w:ilvl w:val="0"/>
                                  <w:numId w:val="14"/>
                                </w:numPr>
                                <w:contextualSpacing/>
                                <w:jc w:val="both"/>
                                <w:rPr>
                                  <w:rFonts w:cs="Arial"/>
                                  <w:szCs w:val="20"/>
                                  <w:lang w:eastAsia="sl-SI"/>
                                </w:rPr>
                              </w:pPr>
                              <w:r w:rsidRPr="00687279">
                                <w:rPr>
                                  <w:rFonts w:cs="Arial"/>
                                  <w:szCs w:val="20"/>
                                  <w:lang w:eastAsia="sl-SI"/>
                                </w:rPr>
                                <w:t xml:space="preserve">dr. Maksimiljan Sagadin, član, </w:t>
                              </w:r>
                            </w:p>
                            <w:p w14:paraId="3F50D046" w14:textId="77777777" w:rsidR="00750DE0" w:rsidRPr="00687279" w:rsidRDefault="00750DE0" w:rsidP="00750DE0">
                              <w:pPr>
                                <w:numPr>
                                  <w:ilvl w:val="0"/>
                                  <w:numId w:val="14"/>
                                </w:numPr>
                                <w:contextualSpacing/>
                                <w:jc w:val="both"/>
                                <w:rPr>
                                  <w:rFonts w:cs="Arial"/>
                                  <w:szCs w:val="20"/>
                                  <w:lang w:eastAsia="sl-SI"/>
                                </w:rPr>
                              </w:pPr>
                              <w:r w:rsidRPr="00687279">
                                <w:rPr>
                                  <w:rFonts w:cs="Arial"/>
                                  <w:szCs w:val="20"/>
                                  <w:lang w:eastAsia="sl-SI"/>
                                </w:rPr>
                                <w:t xml:space="preserve">dr. Jožef Možina, član, </w:t>
                              </w:r>
                            </w:p>
                            <w:p w14:paraId="1A52E3F9" w14:textId="77777777" w:rsidR="00750DE0" w:rsidRPr="00687279" w:rsidRDefault="00750DE0" w:rsidP="00750DE0">
                              <w:pPr>
                                <w:numPr>
                                  <w:ilvl w:val="0"/>
                                  <w:numId w:val="14"/>
                                </w:numPr>
                                <w:contextualSpacing/>
                                <w:jc w:val="both"/>
                                <w:rPr>
                                  <w:rFonts w:cs="Arial"/>
                                  <w:szCs w:val="20"/>
                                  <w:lang w:eastAsia="sl-SI"/>
                                </w:rPr>
                              </w:pPr>
                              <w:r w:rsidRPr="00687279">
                                <w:rPr>
                                  <w:rFonts w:cs="Arial"/>
                                  <w:szCs w:val="20"/>
                                  <w:lang w:eastAsia="sl-SI"/>
                                </w:rPr>
                                <w:t xml:space="preserve">dr. Renata Podbersič, članica, </w:t>
                              </w:r>
                            </w:p>
                            <w:p w14:paraId="7900996D" w14:textId="77777777" w:rsidR="00750DE0" w:rsidRPr="00687279" w:rsidRDefault="00750DE0" w:rsidP="00750DE0">
                              <w:pPr>
                                <w:numPr>
                                  <w:ilvl w:val="0"/>
                                  <w:numId w:val="14"/>
                                </w:numPr>
                                <w:contextualSpacing/>
                                <w:jc w:val="both"/>
                                <w:rPr>
                                  <w:rFonts w:cs="Arial"/>
                                  <w:szCs w:val="20"/>
                                  <w:lang w:eastAsia="sl-SI"/>
                                </w:rPr>
                              </w:pPr>
                              <w:r w:rsidRPr="00687279">
                                <w:rPr>
                                  <w:rFonts w:cs="Arial"/>
                                  <w:szCs w:val="20"/>
                                  <w:lang w:eastAsia="sl-SI"/>
                                </w:rPr>
                                <w:t xml:space="preserve">dr. Tomaž Ivešić, član, </w:t>
                              </w:r>
                            </w:p>
                            <w:p w14:paraId="673ADF19" w14:textId="7B3DFB9E" w:rsidR="00750DE0" w:rsidRPr="00664765" w:rsidRDefault="00750DE0" w:rsidP="00750DE0">
                              <w:pPr>
                                <w:numPr>
                                  <w:ilvl w:val="0"/>
                                  <w:numId w:val="14"/>
                                </w:numPr>
                                <w:contextualSpacing/>
                                <w:jc w:val="both"/>
                                <w:rPr>
                                  <w:rFonts w:cs="Arial"/>
                                  <w:szCs w:val="20"/>
                                  <w:lang w:eastAsia="sl-SI"/>
                                </w:rPr>
                              </w:pPr>
                              <w:r w:rsidRPr="00687279">
                                <w:rPr>
                                  <w:rFonts w:cs="Arial"/>
                                  <w:szCs w:val="20"/>
                                  <w:lang w:eastAsia="sl-SI"/>
                                </w:rPr>
                                <w:t>Peter Sušnik, član.</w:t>
                              </w:r>
                            </w:p>
                            <w:p w14:paraId="588DBCAA" w14:textId="77777777" w:rsidR="00750DE0" w:rsidRPr="00687279" w:rsidRDefault="00750DE0" w:rsidP="00664765">
                              <w:pPr>
                                <w:pStyle w:val="Vir"/>
                              </w:pPr>
                              <w:r w:rsidRPr="00687279">
                                <w:lastRenderedPageBreak/>
                                <w:t>Vir: Ministrstvo za obrambo</w:t>
                              </w:r>
                            </w:p>
                            <w:p w14:paraId="508BA5E4" w14:textId="77777777" w:rsidR="00750DE0" w:rsidRPr="00687279" w:rsidRDefault="00750DE0" w:rsidP="00750DE0">
                              <w:pPr>
                                <w:jc w:val="both"/>
                                <w:rPr>
                                  <w:rFonts w:cs="Arial"/>
                                  <w:szCs w:val="20"/>
                                </w:rPr>
                              </w:pPr>
                            </w:p>
                            <w:p w14:paraId="1867F765" w14:textId="77777777" w:rsidR="00750DE0" w:rsidRPr="00687279" w:rsidRDefault="00750DE0" w:rsidP="00750DE0">
                              <w:pPr>
                                <w:jc w:val="both"/>
                                <w:rPr>
                                  <w:rFonts w:cs="Arial"/>
                                  <w:szCs w:val="20"/>
                                </w:rPr>
                              </w:pPr>
                            </w:p>
                          </w:tc>
                        </w:tr>
                        <w:tr w:rsidR="00750DE0" w:rsidRPr="00687279" w14:paraId="0C5F05CB" w14:textId="77777777" w:rsidTr="00664765">
                          <w:tc>
                            <w:tcPr>
                              <w:tcW w:w="567" w:type="dxa"/>
                              <w:tcBorders>
                                <w:top w:val="nil"/>
                                <w:left w:val="nil"/>
                                <w:bottom w:val="nil"/>
                                <w:right w:val="nil"/>
                              </w:tcBorders>
                            </w:tcPr>
                            <w:p w14:paraId="49BC329F" w14:textId="77777777" w:rsidR="00750DE0" w:rsidRPr="00687279" w:rsidRDefault="00750DE0" w:rsidP="00750DE0">
                              <w:pPr>
                                <w:jc w:val="both"/>
                                <w:rPr>
                                  <w:rFonts w:cs="Arial"/>
                                  <w:color w:val="7030A0"/>
                                  <w:szCs w:val="20"/>
                                </w:rPr>
                              </w:pPr>
                            </w:p>
                          </w:tc>
                          <w:tc>
                            <w:tcPr>
                              <w:tcW w:w="7918" w:type="dxa"/>
                              <w:gridSpan w:val="2"/>
                              <w:tcBorders>
                                <w:top w:val="nil"/>
                                <w:left w:val="nil"/>
                                <w:bottom w:val="nil"/>
                                <w:right w:val="nil"/>
                              </w:tcBorders>
                            </w:tcPr>
                            <w:p w14:paraId="53EED49A" w14:textId="77777777" w:rsidR="00750DE0" w:rsidRPr="00687279" w:rsidRDefault="00750DE0" w:rsidP="00750DE0">
                              <w:pPr>
                                <w:jc w:val="both"/>
                                <w:rPr>
                                  <w:rFonts w:cs="Arial"/>
                                  <w:color w:val="7030A0"/>
                                  <w:szCs w:val="20"/>
                                </w:rPr>
                              </w:pPr>
                            </w:p>
                          </w:tc>
                        </w:tr>
                        <w:tr w:rsidR="00750DE0" w:rsidRPr="00687279" w14:paraId="662FA2AA" w14:textId="77777777" w:rsidTr="00664765">
                          <w:tc>
                            <w:tcPr>
                              <w:tcW w:w="567" w:type="dxa"/>
                              <w:tcBorders>
                                <w:top w:val="nil"/>
                                <w:left w:val="nil"/>
                                <w:bottom w:val="nil"/>
                                <w:right w:val="nil"/>
                              </w:tcBorders>
                            </w:tcPr>
                            <w:p w14:paraId="346DFB2A" w14:textId="77777777" w:rsidR="00750DE0" w:rsidRPr="00687279" w:rsidRDefault="00750DE0" w:rsidP="00750DE0">
                              <w:pPr>
                                <w:jc w:val="both"/>
                                <w:rPr>
                                  <w:rFonts w:cs="Arial"/>
                                  <w:color w:val="7030A0"/>
                                  <w:szCs w:val="20"/>
                                </w:rPr>
                              </w:pPr>
                            </w:p>
                          </w:tc>
                          <w:tc>
                            <w:tcPr>
                              <w:tcW w:w="7918" w:type="dxa"/>
                              <w:gridSpan w:val="2"/>
                              <w:tcBorders>
                                <w:top w:val="nil"/>
                                <w:left w:val="nil"/>
                                <w:bottom w:val="nil"/>
                                <w:right w:val="nil"/>
                              </w:tcBorders>
                            </w:tcPr>
                            <w:p w14:paraId="7A49397E" w14:textId="77777777" w:rsidR="00750DE0" w:rsidRPr="00687279" w:rsidRDefault="00750DE0" w:rsidP="00750DE0">
                              <w:pPr>
                                <w:jc w:val="both"/>
                                <w:rPr>
                                  <w:rFonts w:cs="Arial"/>
                                  <w:color w:val="7030A0"/>
                                  <w:szCs w:val="20"/>
                                </w:rPr>
                              </w:pPr>
                            </w:p>
                          </w:tc>
                        </w:tr>
                      </w:tbl>
                      <w:p w14:paraId="4C803264" w14:textId="77777777" w:rsidR="00750DE0" w:rsidRPr="00687279" w:rsidRDefault="00750DE0" w:rsidP="00750DE0">
                        <w:pPr>
                          <w:jc w:val="both"/>
                          <w:rPr>
                            <w:rFonts w:cs="Arial"/>
                            <w:color w:val="FF0000"/>
                            <w:szCs w:val="20"/>
                          </w:rPr>
                        </w:pPr>
                      </w:p>
                      <w:p w14:paraId="6D1A0FF9" w14:textId="77777777" w:rsidR="00750DE0" w:rsidRPr="00687279" w:rsidRDefault="00750DE0" w:rsidP="00750DE0">
                        <w:pPr>
                          <w:rPr>
                            <w:rFonts w:cs="Arial"/>
                            <w:color w:val="FF0000"/>
                            <w:szCs w:val="20"/>
                          </w:rPr>
                        </w:pPr>
                      </w:p>
                      <w:p w14:paraId="1BE3C802" w14:textId="77777777" w:rsidR="00750DE0" w:rsidRPr="0054780C" w:rsidRDefault="00750DE0" w:rsidP="00750DE0">
                        <w:pPr>
                          <w:rPr>
                            <w:rFonts w:cs="Arial"/>
                            <w:color w:val="FF0000"/>
                            <w:szCs w:val="20"/>
                          </w:rPr>
                        </w:pPr>
                      </w:p>
                      <w:p w14:paraId="0C7CB4A5" w14:textId="77777777" w:rsidR="00750DE0" w:rsidRPr="0054780C" w:rsidRDefault="00750DE0" w:rsidP="00750DE0">
                        <w:pPr>
                          <w:rPr>
                            <w:rFonts w:cs="Arial"/>
                            <w:color w:val="FF0000"/>
                            <w:szCs w:val="20"/>
                          </w:rPr>
                        </w:pPr>
                      </w:p>
                      <w:p w14:paraId="71F13F9D" w14:textId="77777777" w:rsidR="00750DE0" w:rsidRPr="00687279" w:rsidRDefault="00750DE0" w:rsidP="00750DE0">
                        <w:pPr>
                          <w:jc w:val="both"/>
                          <w:rPr>
                            <w:rFonts w:cs="Arial"/>
                            <w:color w:val="FF0000"/>
                            <w:szCs w:val="20"/>
                          </w:rPr>
                        </w:pPr>
                      </w:p>
                      <w:p w14:paraId="4F224EF7" w14:textId="77777777" w:rsidR="00750DE0" w:rsidRPr="00687279" w:rsidRDefault="00750DE0" w:rsidP="00750DE0">
                        <w:pPr>
                          <w:rPr>
                            <w:rFonts w:cs="Arial"/>
                            <w:color w:val="FF0000"/>
                            <w:szCs w:val="20"/>
                          </w:rPr>
                        </w:pPr>
                      </w:p>
                      <w:tbl>
                        <w:tblPr>
                          <w:tblW w:w="846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93"/>
                        </w:tblGrid>
                        <w:tr w:rsidR="00750DE0" w:rsidRPr="00687279" w14:paraId="6EE45706" w14:textId="77777777" w:rsidTr="0001188F">
                          <w:trPr>
                            <w:trHeight w:val="417"/>
                          </w:trPr>
                          <w:tc>
                            <w:tcPr>
                              <w:tcW w:w="567" w:type="dxa"/>
                              <w:tcBorders>
                                <w:top w:val="nil"/>
                                <w:left w:val="nil"/>
                                <w:bottom w:val="nil"/>
                                <w:right w:val="nil"/>
                              </w:tcBorders>
                            </w:tcPr>
                            <w:p w14:paraId="723C26FB" w14:textId="77777777" w:rsidR="00750DE0" w:rsidRPr="00687279" w:rsidRDefault="00750DE0" w:rsidP="00750DE0">
                              <w:pPr>
                                <w:jc w:val="both"/>
                                <w:rPr>
                                  <w:rFonts w:cs="Arial"/>
                                  <w:color w:val="FF0000"/>
                                  <w:szCs w:val="20"/>
                                </w:rPr>
                              </w:pPr>
                            </w:p>
                          </w:tc>
                          <w:tc>
                            <w:tcPr>
                              <w:tcW w:w="7893" w:type="dxa"/>
                              <w:tcBorders>
                                <w:top w:val="nil"/>
                                <w:left w:val="nil"/>
                                <w:bottom w:val="nil"/>
                                <w:right w:val="nil"/>
                              </w:tcBorders>
                            </w:tcPr>
                            <w:p w14:paraId="08B04F71" w14:textId="77777777" w:rsidR="00750DE0" w:rsidRPr="00687279" w:rsidRDefault="00750DE0" w:rsidP="00750DE0">
                              <w:pPr>
                                <w:jc w:val="both"/>
                                <w:rPr>
                                  <w:rFonts w:cs="Arial"/>
                                  <w:color w:val="FF0000"/>
                                  <w:szCs w:val="20"/>
                                </w:rPr>
                              </w:pPr>
                            </w:p>
                          </w:tc>
                        </w:tr>
                        <w:tr w:rsidR="00750DE0" w:rsidRPr="00687279" w14:paraId="33A3A421" w14:textId="77777777" w:rsidTr="0001188F">
                          <w:tc>
                            <w:tcPr>
                              <w:tcW w:w="567" w:type="dxa"/>
                              <w:tcBorders>
                                <w:top w:val="nil"/>
                                <w:left w:val="nil"/>
                                <w:bottom w:val="nil"/>
                                <w:right w:val="nil"/>
                              </w:tcBorders>
                            </w:tcPr>
                            <w:p w14:paraId="48EB6B21" w14:textId="77777777" w:rsidR="00750DE0" w:rsidRPr="00687279" w:rsidRDefault="00750DE0" w:rsidP="00750DE0">
                              <w:pPr>
                                <w:jc w:val="both"/>
                                <w:rPr>
                                  <w:rFonts w:cs="Arial"/>
                                  <w:color w:val="FF0000"/>
                                  <w:szCs w:val="20"/>
                                </w:rPr>
                              </w:pPr>
                            </w:p>
                            <w:p w14:paraId="0A79A4D6" w14:textId="77777777" w:rsidR="00750DE0" w:rsidRPr="00687279" w:rsidRDefault="00750DE0" w:rsidP="00750DE0">
                              <w:pPr>
                                <w:jc w:val="both"/>
                                <w:rPr>
                                  <w:rFonts w:cs="Arial"/>
                                  <w:color w:val="FF0000"/>
                                  <w:szCs w:val="20"/>
                                </w:rPr>
                              </w:pPr>
                            </w:p>
                          </w:tc>
                          <w:tc>
                            <w:tcPr>
                              <w:tcW w:w="7893" w:type="dxa"/>
                              <w:tcBorders>
                                <w:top w:val="nil"/>
                                <w:left w:val="nil"/>
                                <w:bottom w:val="nil"/>
                                <w:right w:val="nil"/>
                              </w:tcBorders>
                            </w:tcPr>
                            <w:p w14:paraId="77B56308" w14:textId="77777777" w:rsidR="00750DE0" w:rsidRPr="00687279" w:rsidRDefault="00750DE0" w:rsidP="00750DE0">
                              <w:pPr>
                                <w:jc w:val="both"/>
                                <w:rPr>
                                  <w:rFonts w:cs="Arial"/>
                                  <w:color w:val="FF0000"/>
                                  <w:szCs w:val="20"/>
                                </w:rPr>
                              </w:pPr>
                            </w:p>
                            <w:p w14:paraId="04A51A14" w14:textId="77777777" w:rsidR="00750DE0" w:rsidRPr="00687279" w:rsidRDefault="00750DE0" w:rsidP="00750DE0">
                              <w:pPr>
                                <w:jc w:val="both"/>
                                <w:rPr>
                                  <w:rFonts w:cs="Arial"/>
                                  <w:color w:val="FF0000"/>
                                  <w:szCs w:val="20"/>
                                </w:rPr>
                              </w:pPr>
                            </w:p>
                            <w:p w14:paraId="4CE62198" w14:textId="77777777" w:rsidR="00750DE0" w:rsidRPr="00687279" w:rsidRDefault="00750DE0" w:rsidP="00750DE0">
                              <w:pPr>
                                <w:jc w:val="both"/>
                                <w:rPr>
                                  <w:rFonts w:cs="Arial"/>
                                  <w:color w:val="FF0000"/>
                                  <w:szCs w:val="20"/>
                                </w:rPr>
                              </w:pPr>
                            </w:p>
                          </w:tc>
                        </w:tr>
                      </w:tbl>
                      <w:p w14:paraId="27DC4CA6" w14:textId="77777777" w:rsidR="00750DE0" w:rsidRPr="00687279" w:rsidRDefault="00750DE0" w:rsidP="00750DE0">
                        <w:pPr>
                          <w:rPr>
                            <w:rFonts w:cs="Arial"/>
                            <w:color w:val="FF0000"/>
                            <w:szCs w:val="20"/>
                          </w:rPr>
                        </w:pPr>
                      </w:p>
                      <w:p w14:paraId="251CBE36" w14:textId="2E80996B" w:rsidR="00750DE0" w:rsidRPr="000F18CA" w:rsidRDefault="00750DE0" w:rsidP="00750DE0">
                        <w:pPr>
                          <w:jc w:val="both"/>
                          <w:rPr>
                            <w:rFonts w:cs="Arial"/>
                            <w:color w:val="000000"/>
                            <w:szCs w:val="20"/>
                            <w:lang w:eastAsia="sl-SI"/>
                          </w:rPr>
                        </w:pPr>
                      </w:p>
                      <w:p w14:paraId="5AB9E180" w14:textId="77777777" w:rsidR="00750DE0" w:rsidRPr="00687279" w:rsidRDefault="00750DE0" w:rsidP="00750DE0">
                        <w:pPr>
                          <w:jc w:val="both"/>
                          <w:rPr>
                            <w:rFonts w:cs="Arial"/>
                            <w:color w:val="FF0000"/>
                            <w:szCs w:val="20"/>
                          </w:rPr>
                        </w:pPr>
                      </w:p>
                    </w:tc>
                  </w:tr>
                  <w:tr w:rsidR="00750DE0" w:rsidRPr="00687279" w14:paraId="0FC0E91B" w14:textId="77777777" w:rsidTr="006D4428">
                    <w:tc>
                      <w:tcPr>
                        <w:tcW w:w="567" w:type="dxa"/>
                        <w:tcBorders>
                          <w:top w:val="nil"/>
                          <w:left w:val="nil"/>
                          <w:bottom w:val="nil"/>
                          <w:right w:val="nil"/>
                        </w:tcBorders>
                      </w:tcPr>
                      <w:p w14:paraId="103D06C7" w14:textId="77777777" w:rsidR="00750DE0" w:rsidRPr="00687279" w:rsidRDefault="00750DE0" w:rsidP="00750DE0">
                        <w:pPr>
                          <w:jc w:val="both"/>
                          <w:rPr>
                            <w:rFonts w:cs="Arial"/>
                            <w:color w:val="7030A0"/>
                            <w:szCs w:val="20"/>
                          </w:rPr>
                        </w:pPr>
                      </w:p>
                    </w:tc>
                    <w:tc>
                      <w:tcPr>
                        <w:tcW w:w="7888" w:type="dxa"/>
                        <w:gridSpan w:val="2"/>
                        <w:tcBorders>
                          <w:top w:val="nil"/>
                          <w:left w:val="nil"/>
                          <w:bottom w:val="nil"/>
                          <w:right w:val="nil"/>
                        </w:tcBorders>
                      </w:tcPr>
                      <w:p w14:paraId="1039AD7A" w14:textId="77777777" w:rsidR="00750DE0" w:rsidRPr="00687279" w:rsidRDefault="00750DE0" w:rsidP="00750DE0">
                        <w:pPr>
                          <w:jc w:val="both"/>
                          <w:rPr>
                            <w:rFonts w:cs="Arial"/>
                            <w:color w:val="7030A0"/>
                            <w:szCs w:val="20"/>
                          </w:rPr>
                        </w:pPr>
                      </w:p>
                    </w:tc>
                  </w:tr>
                </w:tbl>
                <w:p w14:paraId="76BB64BB" w14:textId="77777777" w:rsidR="00750DE0" w:rsidRPr="00687279" w:rsidRDefault="00750DE0" w:rsidP="00750DE0">
                  <w:pPr>
                    <w:jc w:val="both"/>
                    <w:rPr>
                      <w:rFonts w:cs="Arial"/>
                      <w:szCs w:val="20"/>
                    </w:rPr>
                  </w:pPr>
                </w:p>
              </w:tc>
            </w:tr>
          </w:tbl>
          <w:p w14:paraId="05A8FCB6" w14:textId="3D1DAA89" w:rsidR="005A0FB2" w:rsidRPr="005A0FB2" w:rsidRDefault="005A0FB2" w:rsidP="00750DE0">
            <w:pPr>
              <w:rPr>
                <w:rFonts w:cs="Arial"/>
                <w:szCs w:val="20"/>
              </w:rPr>
            </w:pPr>
          </w:p>
        </w:tc>
      </w:tr>
      <w:tr w:rsidR="00172E55" w:rsidRPr="00687279" w14:paraId="3308DCF1" w14:textId="77777777" w:rsidTr="005A0FB2">
        <w:trPr>
          <w:trHeight w:val="146"/>
        </w:trPr>
        <w:tc>
          <w:tcPr>
            <w:tcW w:w="426" w:type="dxa"/>
            <w:tcBorders>
              <w:top w:val="nil"/>
              <w:left w:val="nil"/>
              <w:bottom w:val="nil"/>
              <w:right w:val="nil"/>
            </w:tcBorders>
          </w:tcPr>
          <w:p w14:paraId="1F338B93" w14:textId="5A7D1252" w:rsidR="00172E55" w:rsidRPr="00687279" w:rsidRDefault="00172E55" w:rsidP="00721A97">
            <w:pPr>
              <w:jc w:val="both"/>
              <w:rPr>
                <w:rFonts w:cs="Arial"/>
                <w:color w:val="FF0000"/>
                <w:szCs w:val="20"/>
              </w:rPr>
            </w:pPr>
          </w:p>
        </w:tc>
        <w:tc>
          <w:tcPr>
            <w:tcW w:w="8034" w:type="dxa"/>
            <w:gridSpan w:val="2"/>
            <w:tcBorders>
              <w:top w:val="nil"/>
              <w:left w:val="nil"/>
              <w:bottom w:val="nil"/>
              <w:right w:val="nil"/>
            </w:tcBorders>
          </w:tcPr>
          <w:p w14:paraId="68B997FE" w14:textId="77777777" w:rsidR="00172E55" w:rsidRPr="00687279" w:rsidRDefault="00172E55" w:rsidP="00721A97">
            <w:pPr>
              <w:jc w:val="both"/>
              <w:rPr>
                <w:rFonts w:cs="Arial"/>
                <w:color w:val="FF0000"/>
                <w:szCs w:val="20"/>
              </w:rPr>
            </w:pPr>
          </w:p>
        </w:tc>
      </w:tr>
      <w:tr w:rsidR="00750DE0" w:rsidRPr="00687279" w14:paraId="21404371" w14:textId="77777777" w:rsidTr="0054780C">
        <w:tc>
          <w:tcPr>
            <w:tcW w:w="426" w:type="dxa"/>
            <w:tcBorders>
              <w:top w:val="nil"/>
              <w:left w:val="nil"/>
              <w:bottom w:val="nil"/>
              <w:right w:val="nil"/>
            </w:tcBorders>
          </w:tcPr>
          <w:p w14:paraId="7610D214" w14:textId="34A3C649" w:rsidR="00750DE0" w:rsidRPr="00687279" w:rsidRDefault="00750DE0" w:rsidP="00721A97">
            <w:pPr>
              <w:jc w:val="both"/>
              <w:rPr>
                <w:rFonts w:cs="Arial"/>
                <w:color w:val="FF0000"/>
                <w:szCs w:val="20"/>
              </w:rPr>
            </w:pPr>
          </w:p>
        </w:tc>
        <w:tc>
          <w:tcPr>
            <w:tcW w:w="8034" w:type="dxa"/>
            <w:gridSpan w:val="2"/>
            <w:tcBorders>
              <w:top w:val="nil"/>
              <w:left w:val="nil"/>
              <w:bottom w:val="nil"/>
              <w:right w:val="nil"/>
            </w:tcBorders>
          </w:tcPr>
          <w:p w14:paraId="414222DD" w14:textId="77777777" w:rsidR="00750DE0" w:rsidRPr="00687279" w:rsidRDefault="00750DE0" w:rsidP="0004687A">
            <w:pPr>
              <w:rPr>
                <w:rFonts w:cs="Arial"/>
                <w:color w:val="FF0000"/>
                <w:szCs w:val="20"/>
              </w:rPr>
            </w:pPr>
          </w:p>
        </w:tc>
      </w:tr>
      <w:tr w:rsidR="00750DE0" w:rsidRPr="00687279" w14:paraId="65AC42F7" w14:textId="77777777" w:rsidTr="0054780C">
        <w:tc>
          <w:tcPr>
            <w:tcW w:w="426" w:type="dxa"/>
            <w:tcBorders>
              <w:top w:val="nil"/>
              <w:left w:val="nil"/>
              <w:bottom w:val="nil"/>
              <w:right w:val="nil"/>
            </w:tcBorders>
          </w:tcPr>
          <w:p w14:paraId="396800A5" w14:textId="1AE12609" w:rsidR="00750DE0" w:rsidRPr="00687279" w:rsidRDefault="00750DE0" w:rsidP="00721A97">
            <w:pPr>
              <w:jc w:val="both"/>
              <w:rPr>
                <w:rFonts w:cs="Arial"/>
                <w:color w:val="FF0000"/>
                <w:szCs w:val="20"/>
              </w:rPr>
            </w:pPr>
          </w:p>
        </w:tc>
        <w:tc>
          <w:tcPr>
            <w:tcW w:w="8034" w:type="dxa"/>
            <w:gridSpan w:val="2"/>
            <w:tcBorders>
              <w:top w:val="nil"/>
              <w:left w:val="nil"/>
              <w:bottom w:val="nil"/>
              <w:right w:val="nil"/>
            </w:tcBorders>
          </w:tcPr>
          <w:p w14:paraId="67BD567F" w14:textId="77777777" w:rsidR="00750DE0" w:rsidRPr="00687279" w:rsidRDefault="00750DE0" w:rsidP="00721A97">
            <w:pPr>
              <w:jc w:val="both"/>
              <w:rPr>
                <w:rFonts w:cs="Arial"/>
                <w:color w:val="FF0000"/>
                <w:szCs w:val="20"/>
              </w:rPr>
            </w:pPr>
          </w:p>
        </w:tc>
      </w:tr>
    </w:tbl>
    <w:p w14:paraId="153CE4E5" w14:textId="77777777" w:rsidR="00750DE0" w:rsidRPr="00687279" w:rsidRDefault="00750DE0">
      <w:pPr>
        <w:rPr>
          <w:rFonts w:cs="Arial"/>
          <w:color w:val="FF0000"/>
          <w:szCs w:val="20"/>
        </w:rPr>
      </w:pPr>
    </w:p>
    <w:sectPr w:rsidR="00750DE0" w:rsidRPr="00687279"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52C4" w14:textId="77777777" w:rsidR="00953F7E" w:rsidRDefault="00953F7E" w:rsidP="00750D01">
      <w:pPr>
        <w:spacing w:line="240" w:lineRule="auto"/>
      </w:pPr>
      <w:r>
        <w:separator/>
      </w:r>
    </w:p>
  </w:endnote>
  <w:endnote w:type="continuationSeparator" w:id="0">
    <w:p w14:paraId="446697FB" w14:textId="77777777" w:rsidR="00953F7E" w:rsidRDefault="00953F7E"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63AD" w14:textId="77777777" w:rsidR="00953F7E" w:rsidRDefault="00953F7E" w:rsidP="00750D01">
      <w:pPr>
        <w:spacing w:line="240" w:lineRule="auto"/>
      </w:pPr>
      <w:r>
        <w:separator/>
      </w:r>
    </w:p>
  </w:footnote>
  <w:footnote w:type="continuationSeparator" w:id="0">
    <w:p w14:paraId="0E1D961A" w14:textId="77777777" w:rsidR="00953F7E" w:rsidRDefault="00953F7E"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4B8"/>
    <w:multiLevelType w:val="hybridMultilevel"/>
    <w:tmpl w:val="03E6CE7E"/>
    <w:lvl w:ilvl="0" w:tplc="9F9A769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E32157"/>
    <w:multiLevelType w:val="hybridMultilevel"/>
    <w:tmpl w:val="9C644A96"/>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0"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2F037C"/>
    <w:multiLevelType w:val="hybridMultilevel"/>
    <w:tmpl w:val="B33C89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7A8108DF"/>
    <w:multiLevelType w:val="hybridMultilevel"/>
    <w:tmpl w:val="12F81454"/>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176576364">
    <w:abstractNumId w:val="12"/>
  </w:num>
  <w:num w:numId="2" w16cid:durableId="984821814">
    <w:abstractNumId w:val="7"/>
  </w:num>
  <w:num w:numId="3" w16cid:durableId="150218247">
    <w:abstractNumId w:val="1"/>
  </w:num>
  <w:num w:numId="4" w16cid:durableId="1026903286">
    <w:abstractNumId w:val="8"/>
  </w:num>
  <w:num w:numId="5" w16cid:durableId="231817878">
    <w:abstractNumId w:val="3"/>
  </w:num>
  <w:num w:numId="6" w16cid:durableId="2110814889">
    <w:abstractNumId w:val="13"/>
  </w:num>
  <w:num w:numId="7" w16cid:durableId="695153758">
    <w:abstractNumId w:val="4"/>
  </w:num>
  <w:num w:numId="8" w16cid:durableId="853298866">
    <w:abstractNumId w:val="6"/>
  </w:num>
  <w:num w:numId="9" w16cid:durableId="1789348953">
    <w:abstractNumId w:val="2"/>
  </w:num>
  <w:num w:numId="10" w16cid:durableId="1415012333">
    <w:abstractNumId w:val="10"/>
  </w:num>
  <w:num w:numId="11" w16cid:durableId="886650520">
    <w:abstractNumId w:val="5"/>
  </w:num>
  <w:num w:numId="12" w16cid:durableId="719011779">
    <w:abstractNumId w:val="11"/>
  </w:num>
  <w:num w:numId="13" w16cid:durableId="1549806541">
    <w:abstractNumId w:val="9"/>
  </w:num>
  <w:num w:numId="14" w16cid:durableId="1976177913">
    <w:abstractNumId w:val="14"/>
  </w:num>
  <w:num w:numId="15" w16cid:durableId="4584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4687A"/>
    <w:rsid w:val="00050A56"/>
    <w:rsid w:val="000610D5"/>
    <w:rsid w:val="00063BBD"/>
    <w:rsid w:val="00073339"/>
    <w:rsid w:val="00076DF7"/>
    <w:rsid w:val="00082F13"/>
    <w:rsid w:val="00083F2E"/>
    <w:rsid w:val="00085D04"/>
    <w:rsid w:val="00087069"/>
    <w:rsid w:val="00087A14"/>
    <w:rsid w:val="000928C7"/>
    <w:rsid w:val="00097B85"/>
    <w:rsid w:val="000B1D39"/>
    <w:rsid w:val="000C4B9F"/>
    <w:rsid w:val="000D5520"/>
    <w:rsid w:val="000E0657"/>
    <w:rsid w:val="00110932"/>
    <w:rsid w:val="00110B8F"/>
    <w:rsid w:val="00111A16"/>
    <w:rsid w:val="00113F85"/>
    <w:rsid w:val="00125753"/>
    <w:rsid w:val="0012724F"/>
    <w:rsid w:val="0013016C"/>
    <w:rsid w:val="00131C6F"/>
    <w:rsid w:val="0015313E"/>
    <w:rsid w:val="001602C9"/>
    <w:rsid w:val="00161638"/>
    <w:rsid w:val="0016530C"/>
    <w:rsid w:val="001673A5"/>
    <w:rsid w:val="0017115C"/>
    <w:rsid w:val="00172E55"/>
    <w:rsid w:val="00173343"/>
    <w:rsid w:val="0017504F"/>
    <w:rsid w:val="001B00EC"/>
    <w:rsid w:val="001B01DD"/>
    <w:rsid w:val="001B2F54"/>
    <w:rsid w:val="001B42F9"/>
    <w:rsid w:val="001C3560"/>
    <w:rsid w:val="001C5F19"/>
    <w:rsid w:val="001D4277"/>
    <w:rsid w:val="001D69D6"/>
    <w:rsid w:val="001E03C5"/>
    <w:rsid w:val="001F51BC"/>
    <w:rsid w:val="001F7F63"/>
    <w:rsid w:val="00203CAB"/>
    <w:rsid w:val="00203F5F"/>
    <w:rsid w:val="00215140"/>
    <w:rsid w:val="00220CDD"/>
    <w:rsid w:val="0022511A"/>
    <w:rsid w:val="00231021"/>
    <w:rsid w:val="00236C0A"/>
    <w:rsid w:val="002434F1"/>
    <w:rsid w:val="002501CE"/>
    <w:rsid w:val="00255F3C"/>
    <w:rsid w:val="002856E5"/>
    <w:rsid w:val="00290FD0"/>
    <w:rsid w:val="00297EF6"/>
    <w:rsid w:val="002A25FB"/>
    <w:rsid w:val="002C0766"/>
    <w:rsid w:val="002C36A6"/>
    <w:rsid w:val="002D5B5D"/>
    <w:rsid w:val="002E3F96"/>
    <w:rsid w:val="002F313C"/>
    <w:rsid w:val="002F3BE7"/>
    <w:rsid w:val="00302938"/>
    <w:rsid w:val="00304583"/>
    <w:rsid w:val="0032428F"/>
    <w:rsid w:val="0033519E"/>
    <w:rsid w:val="00346E22"/>
    <w:rsid w:val="00351E1E"/>
    <w:rsid w:val="00357DC0"/>
    <w:rsid w:val="00361255"/>
    <w:rsid w:val="00363A41"/>
    <w:rsid w:val="00381018"/>
    <w:rsid w:val="003847C8"/>
    <w:rsid w:val="003877EB"/>
    <w:rsid w:val="00390DF7"/>
    <w:rsid w:val="0039662C"/>
    <w:rsid w:val="003A3742"/>
    <w:rsid w:val="003A4001"/>
    <w:rsid w:val="003A4829"/>
    <w:rsid w:val="003C7EB1"/>
    <w:rsid w:val="003D64D8"/>
    <w:rsid w:val="003E17B6"/>
    <w:rsid w:val="003E1B89"/>
    <w:rsid w:val="003E6170"/>
    <w:rsid w:val="003F4CC5"/>
    <w:rsid w:val="004046D2"/>
    <w:rsid w:val="00407B36"/>
    <w:rsid w:val="00415527"/>
    <w:rsid w:val="00431C65"/>
    <w:rsid w:val="00432937"/>
    <w:rsid w:val="00435CF5"/>
    <w:rsid w:val="004403EC"/>
    <w:rsid w:val="00447B57"/>
    <w:rsid w:val="0045565C"/>
    <w:rsid w:val="00455B63"/>
    <w:rsid w:val="00460370"/>
    <w:rsid w:val="00465AB5"/>
    <w:rsid w:val="00472762"/>
    <w:rsid w:val="0047427A"/>
    <w:rsid w:val="00480AE5"/>
    <w:rsid w:val="004A00A8"/>
    <w:rsid w:val="004A2E06"/>
    <w:rsid w:val="004A7BFC"/>
    <w:rsid w:val="004A7CAD"/>
    <w:rsid w:val="004B4753"/>
    <w:rsid w:val="004B6FDB"/>
    <w:rsid w:val="004B7346"/>
    <w:rsid w:val="004B7CB0"/>
    <w:rsid w:val="004B7ED1"/>
    <w:rsid w:val="004C3F67"/>
    <w:rsid w:val="004C668C"/>
    <w:rsid w:val="004C721D"/>
    <w:rsid w:val="004D1535"/>
    <w:rsid w:val="004D31AD"/>
    <w:rsid w:val="00514121"/>
    <w:rsid w:val="00522637"/>
    <w:rsid w:val="00527867"/>
    <w:rsid w:val="00527AA5"/>
    <w:rsid w:val="005314D7"/>
    <w:rsid w:val="00535CBB"/>
    <w:rsid w:val="00544398"/>
    <w:rsid w:val="005458D4"/>
    <w:rsid w:val="0054780C"/>
    <w:rsid w:val="005515BD"/>
    <w:rsid w:val="005740C1"/>
    <w:rsid w:val="0059143B"/>
    <w:rsid w:val="005A0FB2"/>
    <w:rsid w:val="005A570D"/>
    <w:rsid w:val="005B5886"/>
    <w:rsid w:val="005C1523"/>
    <w:rsid w:val="005C7596"/>
    <w:rsid w:val="005D526B"/>
    <w:rsid w:val="005D5D80"/>
    <w:rsid w:val="005E1ABB"/>
    <w:rsid w:val="006102DC"/>
    <w:rsid w:val="00614FFD"/>
    <w:rsid w:val="0062078D"/>
    <w:rsid w:val="00626A98"/>
    <w:rsid w:val="006274BB"/>
    <w:rsid w:val="00627BEC"/>
    <w:rsid w:val="00634EFA"/>
    <w:rsid w:val="00635D43"/>
    <w:rsid w:val="006367B9"/>
    <w:rsid w:val="00640B98"/>
    <w:rsid w:val="00641347"/>
    <w:rsid w:val="0064180E"/>
    <w:rsid w:val="00642DDA"/>
    <w:rsid w:val="0066249C"/>
    <w:rsid w:val="00664765"/>
    <w:rsid w:val="0067375D"/>
    <w:rsid w:val="00676F03"/>
    <w:rsid w:val="00687279"/>
    <w:rsid w:val="006906AF"/>
    <w:rsid w:val="00693BA3"/>
    <w:rsid w:val="006A51B4"/>
    <w:rsid w:val="006B3F12"/>
    <w:rsid w:val="006C1B31"/>
    <w:rsid w:val="006F29FA"/>
    <w:rsid w:val="0070324C"/>
    <w:rsid w:val="0071171B"/>
    <w:rsid w:val="007120FD"/>
    <w:rsid w:val="007130E1"/>
    <w:rsid w:val="00716545"/>
    <w:rsid w:val="00717E59"/>
    <w:rsid w:val="007219B5"/>
    <w:rsid w:val="0073796B"/>
    <w:rsid w:val="00750D01"/>
    <w:rsid w:val="00750DE0"/>
    <w:rsid w:val="0075264D"/>
    <w:rsid w:val="007643A0"/>
    <w:rsid w:val="007669A3"/>
    <w:rsid w:val="00767A18"/>
    <w:rsid w:val="00771D15"/>
    <w:rsid w:val="00774510"/>
    <w:rsid w:val="00781345"/>
    <w:rsid w:val="00781B06"/>
    <w:rsid w:val="00784E57"/>
    <w:rsid w:val="0079749C"/>
    <w:rsid w:val="007A38F3"/>
    <w:rsid w:val="007A6460"/>
    <w:rsid w:val="007B0ADD"/>
    <w:rsid w:val="007B515F"/>
    <w:rsid w:val="007B5220"/>
    <w:rsid w:val="007C21FB"/>
    <w:rsid w:val="007D52D9"/>
    <w:rsid w:val="007D6BF2"/>
    <w:rsid w:val="007E198F"/>
    <w:rsid w:val="007F5D6B"/>
    <w:rsid w:val="007F6EE3"/>
    <w:rsid w:val="007F6EF7"/>
    <w:rsid w:val="00801A29"/>
    <w:rsid w:val="008139D4"/>
    <w:rsid w:val="008220A3"/>
    <w:rsid w:val="00823125"/>
    <w:rsid w:val="008244C0"/>
    <w:rsid w:val="008336E7"/>
    <w:rsid w:val="00836E94"/>
    <w:rsid w:val="00844BB8"/>
    <w:rsid w:val="00847AD3"/>
    <w:rsid w:val="00851FE1"/>
    <w:rsid w:val="008522C0"/>
    <w:rsid w:val="008624E8"/>
    <w:rsid w:val="00867C2F"/>
    <w:rsid w:val="0088720B"/>
    <w:rsid w:val="008A16D8"/>
    <w:rsid w:val="008B6738"/>
    <w:rsid w:val="008B7AF2"/>
    <w:rsid w:val="008C0D30"/>
    <w:rsid w:val="008C4231"/>
    <w:rsid w:val="008C4BFB"/>
    <w:rsid w:val="008D49BD"/>
    <w:rsid w:val="00905C96"/>
    <w:rsid w:val="009174DA"/>
    <w:rsid w:val="00933061"/>
    <w:rsid w:val="00933087"/>
    <w:rsid w:val="00945B27"/>
    <w:rsid w:val="00950A20"/>
    <w:rsid w:val="00953F7E"/>
    <w:rsid w:val="009540E4"/>
    <w:rsid w:val="00955926"/>
    <w:rsid w:val="00974186"/>
    <w:rsid w:val="00983241"/>
    <w:rsid w:val="00985096"/>
    <w:rsid w:val="009900DE"/>
    <w:rsid w:val="009A41AA"/>
    <w:rsid w:val="009B22C6"/>
    <w:rsid w:val="009B3707"/>
    <w:rsid w:val="009C2C98"/>
    <w:rsid w:val="009C2D77"/>
    <w:rsid w:val="009C562E"/>
    <w:rsid w:val="009D10D1"/>
    <w:rsid w:val="009F035C"/>
    <w:rsid w:val="009F136D"/>
    <w:rsid w:val="009F29D8"/>
    <w:rsid w:val="009F37F4"/>
    <w:rsid w:val="009F4DB0"/>
    <w:rsid w:val="00A06971"/>
    <w:rsid w:val="00A26F91"/>
    <w:rsid w:val="00A30052"/>
    <w:rsid w:val="00A34FC4"/>
    <w:rsid w:val="00A41749"/>
    <w:rsid w:val="00A445DF"/>
    <w:rsid w:val="00A521C4"/>
    <w:rsid w:val="00A5415F"/>
    <w:rsid w:val="00A60A37"/>
    <w:rsid w:val="00A60FBF"/>
    <w:rsid w:val="00A67305"/>
    <w:rsid w:val="00A726C3"/>
    <w:rsid w:val="00A73CC4"/>
    <w:rsid w:val="00A73FD5"/>
    <w:rsid w:val="00A7406B"/>
    <w:rsid w:val="00A7412B"/>
    <w:rsid w:val="00A85553"/>
    <w:rsid w:val="00AB1DC2"/>
    <w:rsid w:val="00AD1AFD"/>
    <w:rsid w:val="00AE6CD6"/>
    <w:rsid w:val="00AF0CDF"/>
    <w:rsid w:val="00AF2612"/>
    <w:rsid w:val="00AF5FC8"/>
    <w:rsid w:val="00B022E5"/>
    <w:rsid w:val="00B06EAB"/>
    <w:rsid w:val="00B10433"/>
    <w:rsid w:val="00B33C4A"/>
    <w:rsid w:val="00B37A37"/>
    <w:rsid w:val="00B43836"/>
    <w:rsid w:val="00B47F61"/>
    <w:rsid w:val="00B53301"/>
    <w:rsid w:val="00B53594"/>
    <w:rsid w:val="00B602CF"/>
    <w:rsid w:val="00B60F58"/>
    <w:rsid w:val="00B632F2"/>
    <w:rsid w:val="00B70F5B"/>
    <w:rsid w:val="00B753A8"/>
    <w:rsid w:val="00B84862"/>
    <w:rsid w:val="00B903E5"/>
    <w:rsid w:val="00B94D8D"/>
    <w:rsid w:val="00BA743D"/>
    <w:rsid w:val="00BB1111"/>
    <w:rsid w:val="00BB185E"/>
    <w:rsid w:val="00BB4431"/>
    <w:rsid w:val="00BB51D5"/>
    <w:rsid w:val="00BB73C0"/>
    <w:rsid w:val="00BE5C43"/>
    <w:rsid w:val="00BF1453"/>
    <w:rsid w:val="00C227A8"/>
    <w:rsid w:val="00C3152B"/>
    <w:rsid w:val="00C354D9"/>
    <w:rsid w:val="00C365A8"/>
    <w:rsid w:val="00C40F89"/>
    <w:rsid w:val="00C43D34"/>
    <w:rsid w:val="00C458C2"/>
    <w:rsid w:val="00C518C0"/>
    <w:rsid w:val="00C5302B"/>
    <w:rsid w:val="00C666AC"/>
    <w:rsid w:val="00C748E9"/>
    <w:rsid w:val="00C823A2"/>
    <w:rsid w:val="00C843E1"/>
    <w:rsid w:val="00C9727D"/>
    <w:rsid w:val="00C97F7B"/>
    <w:rsid w:val="00CA4BAC"/>
    <w:rsid w:val="00CA5624"/>
    <w:rsid w:val="00CA6356"/>
    <w:rsid w:val="00CA69C4"/>
    <w:rsid w:val="00CB7ADA"/>
    <w:rsid w:val="00CC3123"/>
    <w:rsid w:val="00CC3530"/>
    <w:rsid w:val="00CC37B3"/>
    <w:rsid w:val="00CD04B8"/>
    <w:rsid w:val="00CD6BF7"/>
    <w:rsid w:val="00CE21D5"/>
    <w:rsid w:val="00CE45D7"/>
    <w:rsid w:val="00CF099E"/>
    <w:rsid w:val="00D10EB4"/>
    <w:rsid w:val="00D14EEC"/>
    <w:rsid w:val="00D15A93"/>
    <w:rsid w:val="00D22282"/>
    <w:rsid w:val="00D245F7"/>
    <w:rsid w:val="00D24C77"/>
    <w:rsid w:val="00D42266"/>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1CD9"/>
    <w:rsid w:val="00DB55BA"/>
    <w:rsid w:val="00DE199D"/>
    <w:rsid w:val="00DE1B54"/>
    <w:rsid w:val="00DE27BA"/>
    <w:rsid w:val="00DE475C"/>
    <w:rsid w:val="00DF4A39"/>
    <w:rsid w:val="00E02AB3"/>
    <w:rsid w:val="00E05EEE"/>
    <w:rsid w:val="00E14AAE"/>
    <w:rsid w:val="00E20351"/>
    <w:rsid w:val="00E2036F"/>
    <w:rsid w:val="00E22972"/>
    <w:rsid w:val="00E3207D"/>
    <w:rsid w:val="00E3507E"/>
    <w:rsid w:val="00E6065F"/>
    <w:rsid w:val="00E65986"/>
    <w:rsid w:val="00E67BC0"/>
    <w:rsid w:val="00E7132A"/>
    <w:rsid w:val="00E77496"/>
    <w:rsid w:val="00E83E60"/>
    <w:rsid w:val="00E86C78"/>
    <w:rsid w:val="00E948BD"/>
    <w:rsid w:val="00EA1AF3"/>
    <w:rsid w:val="00EC012E"/>
    <w:rsid w:val="00ED104A"/>
    <w:rsid w:val="00ED2EC7"/>
    <w:rsid w:val="00EE35F8"/>
    <w:rsid w:val="00EF1263"/>
    <w:rsid w:val="00F01966"/>
    <w:rsid w:val="00F03257"/>
    <w:rsid w:val="00F20884"/>
    <w:rsid w:val="00F21123"/>
    <w:rsid w:val="00F21419"/>
    <w:rsid w:val="00F21BAD"/>
    <w:rsid w:val="00F22A26"/>
    <w:rsid w:val="00F23144"/>
    <w:rsid w:val="00F240E9"/>
    <w:rsid w:val="00F30E33"/>
    <w:rsid w:val="00F31222"/>
    <w:rsid w:val="00F462C7"/>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basedOn w:val="Privzetapisavaodstavka"/>
    <w:uiPriority w:val="99"/>
    <w:unhideWhenUsed/>
    <w:rsid w:val="00640B98"/>
    <w:rPr>
      <w:color w:val="0563C1" w:themeColor="hyperlink"/>
      <w:u w:val="single"/>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rsid w:val="00CA69C4"/>
    <w:rPr>
      <w:rFonts w:ascii="Arial" w:eastAsia="Times New Roman" w:hAnsi="Arial" w:cs="Times New Roman"/>
      <w:sz w:val="20"/>
      <w:szCs w:val="24"/>
    </w:rPr>
  </w:style>
  <w:style w:type="character" w:styleId="SledenaHiperpovezava">
    <w:name w:val="FollowedHyperlink"/>
    <w:basedOn w:val="Privzetapisavaodstavka"/>
    <w:uiPriority w:val="99"/>
    <w:semiHidden/>
    <w:unhideWhenUsed/>
    <w:rsid w:val="002A25FB"/>
    <w:rPr>
      <w:color w:val="954F72" w:themeColor="followedHyperlink"/>
      <w:u w:val="single"/>
    </w:rPr>
  </w:style>
  <w:style w:type="paragraph" w:customStyle="1" w:styleId="xmsonormal">
    <w:name w:val="x_msonormal"/>
    <w:basedOn w:val="Navaden"/>
    <w:rsid w:val="009F29D8"/>
    <w:pPr>
      <w:spacing w:line="240" w:lineRule="auto"/>
    </w:pPr>
    <w:rPr>
      <w:rFonts w:ascii="Aptos" w:eastAsiaTheme="minorHAnsi" w:hAnsi="Aptos" w:cs="Aptos"/>
      <w:sz w:val="24"/>
      <w:lang w:eastAsia="sl-SI"/>
    </w:rPr>
  </w:style>
  <w:style w:type="character" w:customStyle="1" w:styleId="BrezrazmikovZnak">
    <w:name w:val="Brez razmikov Znak"/>
    <w:link w:val="Brezrazmikov"/>
    <w:uiPriority w:val="1"/>
    <w:locked/>
    <w:rsid w:val="004A2E06"/>
  </w:style>
  <w:style w:type="paragraph" w:styleId="Brezrazmikov">
    <w:name w:val="No Spacing"/>
    <w:link w:val="BrezrazmikovZnak"/>
    <w:uiPriority w:val="1"/>
    <w:qFormat/>
    <w:rsid w:val="004A2E06"/>
    <w:pPr>
      <w:spacing w:after="0" w:line="240" w:lineRule="auto"/>
    </w:pPr>
  </w:style>
  <w:style w:type="paragraph" w:customStyle="1" w:styleId="podpisi">
    <w:name w:val="podpisi"/>
    <w:basedOn w:val="Navaden"/>
    <w:qFormat/>
    <w:rsid w:val="003A4829"/>
    <w:pPr>
      <w:tabs>
        <w:tab w:val="left" w:pos="3402"/>
      </w:tabs>
      <w:suppressAutoHyphens/>
      <w:autoSpaceDN w:val="0"/>
      <w:textAlignment w:val="baseline"/>
    </w:pPr>
    <w:rPr>
      <w:lang w:val="it-IT"/>
    </w:rPr>
  </w:style>
  <w:style w:type="character" w:customStyle="1" w:styleId="NeotevilenodstavekZnak">
    <w:name w:val="Neoštevilčen odstavek Znak"/>
    <w:link w:val="Neotevilenodstavek"/>
    <w:locked/>
    <w:rsid w:val="00781B06"/>
    <w:rPr>
      <w:rFonts w:ascii="Arial" w:hAnsi="Arial" w:cs="Arial"/>
    </w:rPr>
  </w:style>
  <w:style w:type="paragraph" w:customStyle="1" w:styleId="Neotevilenodstavek">
    <w:name w:val="Neoštevilčen odstavek"/>
    <w:basedOn w:val="Navaden"/>
    <w:link w:val="NeotevilenodstavekZnak"/>
    <w:qFormat/>
    <w:rsid w:val="00781B06"/>
    <w:pPr>
      <w:overflowPunct w:val="0"/>
      <w:autoSpaceDE w:val="0"/>
      <w:autoSpaceDN w:val="0"/>
      <w:adjustRightInd w:val="0"/>
      <w:spacing w:before="60" w:after="60" w:line="200" w:lineRule="exact"/>
      <w:jc w:val="both"/>
    </w:pPr>
    <w:rPr>
      <w:rFonts w:eastAsiaTheme="minorHAnsi" w:cs="Arial"/>
      <w:sz w:val="22"/>
      <w:szCs w:val="22"/>
    </w:rPr>
  </w:style>
  <w:style w:type="character" w:styleId="Krepko">
    <w:name w:val="Strong"/>
    <w:qFormat/>
    <w:rsid w:val="0054780C"/>
    <w:rPr>
      <w:b/>
      <w:bCs/>
    </w:rPr>
  </w:style>
  <w:style w:type="paragraph" w:customStyle="1" w:styleId="Naslovpredpisa">
    <w:name w:val="Naslov_predpisa"/>
    <w:basedOn w:val="Navaden"/>
    <w:link w:val="NaslovpredpisaZnak"/>
    <w:qFormat/>
    <w:rsid w:val="0054780C"/>
    <w:pPr>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54780C"/>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2C695D88-41D0-4D94-8F20-06CCAE564D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5597</Words>
  <Characters>31908</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2026-06-23T08:32:00Z</dcterms:created>
  <dcterms:modified xsi:type="dcterms:W3CDTF">2026-07-02T11:21:00Z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