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Pr="00087AAB" w:rsidRDefault="00F01966" w:rsidP="0073796B">
      <w:pPr>
        <w:autoSpaceDE w:val="0"/>
        <w:autoSpaceDN w:val="0"/>
        <w:adjustRightInd w:val="0"/>
        <w:spacing w:line="240" w:lineRule="auto"/>
        <w:ind w:left="-1701"/>
        <w:sectPr w:rsidR="00F01966" w:rsidRPr="00087AAB"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087AAB" w:rsidRDefault="0073796B" w:rsidP="009D10D1">
      <w:pPr>
        <w:pStyle w:val="Naslov"/>
      </w:pPr>
      <w:r w:rsidRPr="00087AAB">
        <w:t>SPOROČILO ZA JAVNOST</w:t>
      </w:r>
    </w:p>
    <w:p w14:paraId="6AD96446" w14:textId="77777777" w:rsidR="00231021" w:rsidRPr="00087AAB" w:rsidRDefault="00231021" w:rsidP="0039662C">
      <w:pPr>
        <w:pStyle w:val="Naslov1"/>
      </w:pPr>
    </w:p>
    <w:p w14:paraId="71A02687" w14:textId="43A207FD" w:rsidR="0073796B" w:rsidRPr="00087AAB" w:rsidRDefault="00963D99" w:rsidP="0039662C">
      <w:pPr>
        <w:pStyle w:val="Naslov1"/>
      </w:pPr>
      <w:r w:rsidRPr="00087AAB">
        <w:t>6</w:t>
      </w:r>
      <w:r w:rsidR="0073796B" w:rsidRPr="00087AAB">
        <w:t xml:space="preserve">. </w:t>
      </w:r>
      <w:r w:rsidR="00D74A82" w:rsidRPr="00087AAB">
        <w:t>red</w:t>
      </w:r>
      <w:r w:rsidR="00F03257" w:rsidRPr="00087AAB">
        <w:t xml:space="preserve">na </w:t>
      </w:r>
      <w:r w:rsidR="0073796B" w:rsidRPr="00087AAB">
        <w:t>seja Vlade Republike Slovenije</w:t>
      </w:r>
    </w:p>
    <w:p w14:paraId="27F30B92" w14:textId="29F3B891" w:rsidR="0073796B" w:rsidRPr="00087AAB" w:rsidRDefault="00963D99" w:rsidP="008B7AF2">
      <w:pPr>
        <w:pStyle w:val="DatumSZJ"/>
      </w:pPr>
      <w:r w:rsidRPr="00087AAB">
        <w:t>9. julij</w:t>
      </w:r>
      <w:r w:rsidR="00B94D8D" w:rsidRPr="00087AAB">
        <w:t xml:space="preserve"> </w:t>
      </w:r>
      <w:r w:rsidR="0073796B" w:rsidRPr="00087AAB">
        <w:t>202</w:t>
      </w:r>
      <w:r w:rsidR="00F03257" w:rsidRPr="00087AAB">
        <w:t>6</w:t>
      </w:r>
    </w:p>
    <w:p w14:paraId="46D0EA35" w14:textId="77777777" w:rsidR="003F5977" w:rsidRPr="00087AAB" w:rsidRDefault="003F5977" w:rsidP="003F5977"/>
    <w:p w14:paraId="6DBEECDE" w14:textId="2E0DB1E4" w:rsidR="00D469DC" w:rsidRPr="00D469DC" w:rsidRDefault="00D469DC" w:rsidP="00D469DC">
      <w:pPr>
        <w:pStyle w:val="Naslov2"/>
      </w:pPr>
      <w:r w:rsidRPr="00D469DC">
        <w:t>Vlada o uredbi o izvajanju uredbe o preglednosti in celovitosti dejavnosti ocenjevanja okoljskih, socialnih in upravljavskih dejavnikov</w:t>
      </w:r>
    </w:p>
    <w:p w14:paraId="5091E3A1" w14:textId="0366015E" w:rsidR="00D469DC" w:rsidRPr="00D469DC" w:rsidRDefault="00D469DC" w:rsidP="00D469DC">
      <w:pPr>
        <w:jc w:val="both"/>
      </w:pPr>
      <w:r w:rsidRPr="00D469DC">
        <w:t>Vlada je izdala uredbo o izvajanju uredbe (EU) o preglednosti in celovitosti dejavnosti ocenjevanja okoljskih, socialnih in upravljavskih (ESG) dejavnikov.</w:t>
      </w:r>
    </w:p>
    <w:p w14:paraId="07D66F62" w14:textId="77777777" w:rsidR="00D469DC" w:rsidRPr="00D469DC" w:rsidRDefault="00D469DC" w:rsidP="00D469DC">
      <w:pPr>
        <w:jc w:val="both"/>
      </w:pPr>
      <w:r w:rsidRPr="00D469DC">
        <w:t xml:space="preserve">Z uredbo se določi pristojni nacionalni organ za izvajanje te uredbe, in sicer Agencija za trg vrednostnih papirjev (ATVP). Pristojnost agencije je omejena na posamične nadzorne postopke v obsegu nalog, ki ji jih s pooblastilom prenese </w:t>
      </w:r>
      <w:proofErr w:type="gramStart"/>
      <w:r w:rsidRPr="00D469DC">
        <w:t>Evropski</w:t>
      </w:r>
      <w:proofErr w:type="gramEnd"/>
      <w:r w:rsidRPr="00D469DC">
        <w:t xml:space="preserve"> organ za vrednostne papirje in trge (ESMA) v zvezi s pridobivanjem informacij, izvajanjem preiskav in inšpekcijskim pregledom na kraju samem. </w:t>
      </w:r>
    </w:p>
    <w:p w14:paraId="5A1447CA" w14:textId="487BB88D" w:rsidR="003F5977" w:rsidRPr="00D469DC" w:rsidRDefault="00D469DC" w:rsidP="00D469DC">
      <w:pPr>
        <w:jc w:val="both"/>
      </w:pPr>
      <w:r w:rsidRPr="00D469DC">
        <w:t xml:space="preserve">Nadzor ostaja pri </w:t>
      </w:r>
      <w:proofErr w:type="gramStart"/>
      <w:r w:rsidRPr="00D469DC">
        <w:t>ESMA</w:t>
      </w:r>
      <w:proofErr w:type="gramEnd"/>
      <w:r w:rsidRPr="00D469DC">
        <w:t>, ki na ATVP ne more prenesti odločanja o dovoljenjih, končnih ocen in odločitev o kršitvah. Uredba ne uvaja novih nacionalnih obveznosti.</w:t>
      </w:r>
    </w:p>
    <w:p w14:paraId="37BE4DA4" w14:textId="357465EB" w:rsidR="003F5977" w:rsidRDefault="003F5977" w:rsidP="00D469DC">
      <w:pPr>
        <w:pStyle w:val="Vir"/>
      </w:pPr>
      <w:r w:rsidRPr="00D469DC">
        <w:t>Vir: Ministrstvo za finance</w:t>
      </w:r>
    </w:p>
    <w:p w14:paraId="2273401F" w14:textId="20BB248C" w:rsidR="00D469DC" w:rsidRPr="00D469DC" w:rsidRDefault="003F5977" w:rsidP="00D469DC">
      <w:pPr>
        <w:pStyle w:val="Naslov2"/>
      </w:pPr>
      <w:r w:rsidRPr="00D469DC">
        <w:t xml:space="preserve"> </w:t>
      </w:r>
      <w:r w:rsidR="00D469DC" w:rsidRPr="00D469DC">
        <w:t>Prilagoditev izvajanja evropske uredbe o izboljšanju ureditve poravnav vrednostnih papirjev</w:t>
      </w:r>
    </w:p>
    <w:p w14:paraId="67AAAC2A" w14:textId="3076FE84" w:rsidR="00D469DC" w:rsidRPr="00D469DC" w:rsidRDefault="00D469DC" w:rsidP="00D469DC">
      <w:pPr>
        <w:jc w:val="both"/>
      </w:pPr>
      <w:r w:rsidRPr="00D469DC">
        <w:t>Vlada je</w:t>
      </w:r>
      <w:r w:rsidR="006C2BCF">
        <w:t xml:space="preserve"> </w:t>
      </w:r>
      <w:r w:rsidRPr="00D469DC">
        <w:t xml:space="preserve">spremenila uredbo o izvajanju uredbe Evropske unije o izboljšanju ureditve poravnav vrednostnih papirjev v Uniji in o centralnih depotnih družbah. </w:t>
      </w:r>
    </w:p>
    <w:p w14:paraId="199BB69B" w14:textId="77777777" w:rsidR="00D469DC" w:rsidRPr="00D469DC" w:rsidRDefault="00D469DC" w:rsidP="00D469DC">
      <w:pPr>
        <w:jc w:val="both"/>
      </w:pPr>
    </w:p>
    <w:p w14:paraId="05B908A4" w14:textId="77777777" w:rsidR="00D469DC" w:rsidRPr="00D469DC" w:rsidRDefault="00D469DC" w:rsidP="00D469DC">
      <w:pPr>
        <w:jc w:val="both"/>
      </w:pPr>
      <w:r w:rsidRPr="00D469DC">
        <w:t xml:space="preserve">Nacionalni izvedbeni predpis je treba prilagoditi zaradi sprememb uredbe o izboljšanju ureditve poravnav vrednostnih papirjev v Uniji, do katerih je prišlo zaradi sprememb uredbe glede discipline pri poravnavi, čezmejnega opravljanja storitev, sodelovanja pri nadzoru, zagotavljanja pomožnih bančnih storitev in zahtev za centralne depotne družbe tretjih držav. </w:t>
      </w:r>
    </w:p>
    <w:p w14:paraId="268D3520" w14:textId="77777777" w:rsidR="00D469DC" w:rsidRPr="00D469DC" w:rsidRDefault="00D469DC" w:rsidP="00D469DC">
      <w:pPr>
        <w:jc w:val="both"/>
      </w:pPr>
    </w:p>
    <w:p w14:paraId="14075571" w14:textId="123BD349" w:rsidR="003F5977" w:rsidRPr="00D469DC" w:rsidRDefault="00D469DC" w:rsidP="00D469DC">
      <w:pPr>
        <w:jc w:val="both"/>
      </w:pPr>
      <w:r w:rsidRPr="00D469DC">
        <w:t>Spremembe so pretežno tehnične narave, med drugim pa se vzpostavlja kolegij nadzornikov, razdelitev nadzornih pristojnosti med Agencijo za trg vrednostnih papirjev in Banko Slovenije se usklajuje z novimi oziroma spremenjenimi členi uredbe o izboljšanju ureditve poravnav vrednostnih papirjev v Uniji, natančneje pa se opredeljuje še krog oseb, na katere se nanašajo nadzorni ukrepi pristojnih organov.</w:t>
      </w:r>
    </w:p>
    <w:p w14:paraId="2EB52E82" w14:textId="01D5BEB9" w:rsidR="003F5977" w:rsidRPr="00D469DC" w:rsidRDefault="003F5977" w:rsidP="00D469DC">
      <w:pPr>
        <w:pStyle w:val="Vir"/>
      </w:pPr>
      <w:r w:rsidRPr="00D469DC">
        <w:t>Vir: Ministrstvo za finance</w:t>
      </w:r>
    </w:p>
    <w:p w14:paraId="2FB8ACB8" w14:textId="7A6C21EF" w:rsidR="00D72848" w:rsidRPr="00D72848" w:rsidRDefault="00D72848" w:rsidP="00D72848">
      <w:pPr>
        <w:rPr>
          <w:b/>
          <w:bCs/>
        </w:rPr>
      </w:pPr>
      <w:r w:rsidRPr="00D72848">
        <w:rPr>
          <w:b/>
          <w:bCs/>
        </w:rPr>
        <w:t xml:space="preserve">Uskladitev indeksov življenjskih stroškov in odstotnih deležev za izračun </w:t>
      </w:r>
      <w:proofErr w:type="spellStart"/>
      <w:proofErr w:type="gramStart"/>
      <w:r w:rsidRPr="00D72848">
        <w:rPr>
          <w:b/>
          <w:bCs/>
        </w:rPr>
        <w:t>od</w:t>
      </w:r>
      <w:proofErr w:type="gramEnd"/>
      <w:r w:rsidRPr="00D72848">
        <w:rPr>
          <w:b/>
          <w:bCs/>
        </w:rPr>
        <w:t>me</w:t>
      </w:r>
      <w:r>
        <w:rPr>
          <w:b/>
          <w:bCs/>
        </w:rPr>
        <w:t>n</w:t>
      </w:r>
      <w:r w:rsidRPr="00D72848">
        <w:rPr>
          <w:b/>
          <w:bCs/>
        </w:rPr>
        <w:t>e</w:t>
      </w:r>
      <w:proofErr w:type="spellEnd"/>
      <w:r w:rsidRPr="00D72848">
        <w:rPr>
          <w:b/>
          <w:bCs/>
        </w:rPr>
        <w:t xml:space="preserve"> za nastanitev za posamezen kraj napotitve v tujini </w:t>
      </w:r>
    </w:p>
    <w:p w14:paraId="5AC6DC8B" w14:textId="77777777" w:rsidR="00D72848" w:rsidRPr="00D72848" w:rsidRDefault="00D72848" w:rsidP="00D72848"/>
    <w:p w14:paraId="1A07A833" w14:textId="5C3ACCE9" w:rsidR="00D72848" w:rsidRPr="00D72848" w:rsidRDefault="00D72848" w:rsidP="00D72848">
      <w:pPr>
        <w:jc w:val="both"/>
      </w:pPr>
      <w:r w:rsidRPr="00D72848">
        <w:t xml:space="preserve">Vlada je izdala Uredbo o spremembah Uredbe o določitvi indeksov življenjskih stroškov, območij glede na težje življenjske razmere in odstotnih deležev za izračun </w:t>
      </w:r>
      <w:proofErr w:type="spellStart"/>
      <w:proofErr w:type="gramStart"/>
      <w:r w:rsidRPr="00D72848">
        <w:t>od</w:t>
      </w:r>
      <w:proofErr w:type="gramEnd"/>
      <w:r w:rsidRPr="00D72848">
        <w:t>mene</w:t>
      </w:r>
      <w:proofErr w:type="spellEnd"/>
      <w:r w:rsidRPr="00D72848">
        <w:t xml:space="preserve"> za nastanitev za posamezen kraj napotitve v tujini in jo objavi v Uradnem listu Republike Slovenije.</w:t>
      </w:r>
    </w:p>
    <w:p w14:paraId="32CC6EFD" w14:textId="77777777" w:rsidR="00D72848" w:rsidRPr="00D72848" w:rsidRDefault="00D72848" w:rsidP="00D72848">
      <w:pPr>
        <w:jc w:val="both"/>
      </w:pPr>
    </w:p>
    <w:p w14:paraId="67CABE2B" w14:textId="77777777" w:rsidR="00D72848" w:rsidRPr="00D72848" w:rsidRDefault="00D72848" w:rsidP="00D72848">
      <w:pPr>
        <w:jc w:val="both"/>
      </w:pPr>
      <w:r w:rsidRPr="00D72848">
        <w:t xml:space="preserve">V skladu z 20. in 24. členom Zakona o plačah in drugih prejemkih javnih uslužbencev in funkcionarjev, povezanih z delom v tujini, vlada na predlog ministrstva, pristojnega za zunanje zadeve, z uredbo določa indekse življenjskih stroškov za namen določanja višine </w:t>
      </w:r>
      <w:proofErr w:type="spellStart"/>
      <w:proofErr w:type="gramStart"/>
      <w:r w:rsidRPr="00D72848">
        <w:t>od</w:t>
      </w:r>
      <w:proofErr w:type="gramEnd"/>
      <w:r w:rsidRPr="00D72848">
        <w:t>mene</w:t>
      </w:r>
      <w:proofErr w:type="spellEnd"/>
      <w:r w:rsidRPr="00D72848">
        <w:t xml:space="preserve"> za višje življenjske stroške v tujini in višine odstotnih deležev za posamezen kraj bivanja za namen določanja višine </w:t>
      </w:r>
      <w:proofErr w:type="spellStart"/>
      <w:r w:rsidRPr="00D72848">
        <w:t>odmene</w:t>
      </w:r>
      <w:proofErr w:type="spellEnd"/>
      <w:r w:rsidRPr="00D72848">
        <w:t xml:space="preserve"> za nastanitev. S spremembo uredbe se usklajujejo indeksi življenjskih stroškov in odstotni deleži za </w:t>
      </w:r>
      <w:proofErr w:type="spellStart"/>
      <w:r w:rsidRPr="00D72848">
        <w:t>odmeno</w:t>
      </w:r>
      <w:proofErr w:type="spellEnd"/>
      <w:r w:rsidRPr="00D72848">
        <w:t xml:space="preserve"> za nastanitev enkrat oziroma dvakrat letno, in sicer 1. januarja in 1. julija vsako leto. </w:t>
      </w:r>
    </w:p>
    <w:p w14:paraId="65F28F29" w14:textId="77368D8C" w:rsidR="003F5977" w:rsidRPr="00D72848" w:rsidRDefault="003F5977" w:rsidP="00D72848">
      <w:pPr>
        <w:pStyle w:val="Vir"/>
      </w:pPr>
      <w:r w:rsidRPr="00D72848">
        <w:lastRenderedPageBreak/>
        <w:t>Vir: Ministrstvo za zunanje in evropske zadeve</w:t>
      </w:r>
    </w:p>
    <w:p w14:paraId="1D3383EE" w14:textId="6B1E7ED1" w:rsidR="00F46E72" w:rsidRPr="00F46E72" w:rsidRDefault="003F5977" w:rsidP="00F46E72">
      <w:pPr>
        <w:jc w:val="both"/>
      </w:pPr>
      <w:r w:rsidRPr="00087AAB">
        <w:rPr>
          <w:color w:val="FF0000"/>
        </w:rPr>
        <w:t xml:space="preserve"> </w:t>
      </w:r>
      <w:r w:rsidR="00F46E72" w:rsidRPr="00F46E72">
        <w:rPr>
          <w:rStyle w:val="Naslov2Znak"/>
        </w:rPr>
        <w:t>Vlada podaljšala začasni ukrep za premostitev zaostrenih varnostnih razmer v zavodih za prestajanje kazni zapora</w:t>
      </w:r>
    </w:p>
    <w:p w14:paraId="5C58F071" w14:textId="77777777" w:rsidR="00F46E72" w:rsidRPr="00F46E72" w:rsidRDefault="00F46E72" w:rsidP="00F46E72">
      <w:pPr>
        <w:jc w:val="both"/>
      </w:pPr>
    </w:p>
    <w:p w14:paraId="5B0CF49E" w14:textId="77777777" w:rsidR="00F46E72" w:rsidRPr="00F46E72" w:rsidRDefault="00F46E72" w:rsidP="00F46E72">
      <w:pPr>
        <w:jc w:val="both"/>
      </w:pPr>
      <w:r w:rsidRPr="00F46E72">
        <w:t>Vlada Republike Slovenije je izdala odlok, s katerim se do 12. oktobra 2026 podaljšuje trajanje začasnega ukrepa za premostitev zaostrenih varnostnih razmer zaradi kadrovskih težav v zavodih za prestajanje kazni zapora.</w:t>
      </w:r>
    </w:p>
    <w:p w14:paraId="1B113BE0" w14:textId="77777777" w:rsidR="00F46E72" w:rsidRPr="00F46E72" w:rsidRDefault="00F46E72" w:rsidP="00F46E72">
      <w:pPr>
        <w:jc w:val="both"/>
      </w:pPr>
    </w:p>
    <w:p w14:paraId="1F6C379A" w14:textId="3CF6471E" w:rsidR="00F46E72" w:rsidRPr="00F46E72" w:rsidRDefault="00F46E72" w:rsidP="00F46E72">
      <w:pPr>
        <w:jc w:val="both"/>
      </w:pPr>
      <w:r w:rsidRPr="00F46E72">
        <w:t>Ukrep omogoča, da dela in naloge pravosodnega policista opravlja delavec uprave, ki je bil v preteklosti zaposlen na delovnem mestu pravosodni policist.</w:t>
      </w:r>
      <w:r w:rsidR="00BC0E4D">
        <w:t xml:space="preserve"> </w:t>
      </w:r>
      <w:r w:rsidRPr="00F46E72">
        <w:t xml:space="preserve">Z začasnim ukrepom je Upravi Republike Slovenije za izvrševanje kazenskih sankcij (URSIKS) uspelo omiliti kadrovsko stisko in zagotoviti opravljanje del in nalog pravosodnih policistov v večjem obsegu, kot bi jih sicer. Zaradi pomoči navedenih zaposlenih je URSIKS pravosodnim policistom tudi lažje zagotavljal posamezne pravice, na primer pravico do počitka, odmora in koriščenja letnega </w:t>
      </w:r>
      <w:proofErr w:type="spellStart"/>
      <w:r w:rsidRPr="00F46E72">
        <w:t>dopusta</w:t>
      </w:r>
      <w:proofErr w:type="gramStart"/>
      <w:r w:rsidRPr="00F46E72">
        <w:t>.</w:t>
      </w:r>
      <w:proofErr w:type="gramEnd"/>
      <w:r w:rsidRPr="00F46E72">
        <w:t>Na</w:t>
      </w:r>
      <w:proofErr w:type="spellEnd"/>
      <w:r w:rsidRPr="00F46E72">
        <w:t xml:space="preserve"> podlagi sprejetega ukrepa je URSIKS sklenil deset dogovorov z zaposlenimi, ki so bili v preteklosti zaposleni na delovnem mestu pravosodni policist, ter s tem vsaj začasno omilil kadrovske težave v zavodih za prestajanje kazni zapora. </w:t>
      </w:r>
    </w:p>
    <w:p w14:paraId="159DC3B3" w14:textId="77777777" w:rsidR="00F46E72" w:rsidRPr="00F46E72" w:rsidRDefault="00F46E72" w:rsidP="00F46E72">
      <w:pPr>
        <w:jc w:val="both"/>
      </w:pPr>
    </w:p>
    <w:p w14:paraId="7A9D8E48" w14:textId="606958B5" w:rsidR="003F5977" w:rsidRDefault="00F46E72" w:rsidP="00F46E72">
      <w:pPr>
        <w:jc w:val="both"/>
      </w:pPr>
      <w:r w:rsidRPr="00F46E72">
        <w:t>URSIKS je s ciljem pridobitve dodatnih kadrov, predvsem pravosodnih policistov, že izvedel več ukrepov in jih bo izvajal tudi v prihodnje. Med drugim izvaja promocijske aktivnosti za poklic pravosodnega policista oziroma pravosodne policistke, sodeluje na zaposlitvenih sejmih, kariernih dogodkih, dnevih odprtih vrat in predstavitvah v srednjih šolah ter krepi sodelovanje s srednjimi šolami, ki izvajajo program Tehnik varovanja.</w:t>
      </w:r>
    </w:p>
    <w:p w14:paraId="60A0E3C3" w14:textId="31FF0722" w:rsidR="003F5977" w:rsidRPr="00F46E72" w:rsidRDefault="003F5977" w:rsidP="00F46E72">
      <w:pPr>
        <w:pStyle w:val="Vir"/>
      </w:pPr>
      <w:r w:rsidRPr="00F46E72">
        <w:t>Vir: Ministrstvo za pravosodje</w:t>
      </w:r>
    </w:p>
    <w:p w14:paraId="33960219" w14:textId="2684A394" w:rsidR="003F5977" w:rsidRPr="006C2BCF" w:rsidRDefault="006C2BCF" w:rsidP="006C2BCF">
      <w:pPr>
        <w:rPr>
          <w:b/>
          <w:bCs/>
        </w:rPr>
      </w:pPr>
      <w:r w:rsidRPr="006C2BCF">
        <w:rPr>
          <w:rStyle w:val="Naslov2Znak"/>
        </w:rPr>
        <w:t xml:space="preserve">Vlada dopolnila </w:t>
      </w:r>
      <w:r w:rsidR="003F5977" w:rsidRPr="006C2BCF">
        <w:rPr>
          <w:rStyle w:val="Naslov2Znak"/>
        </w:rPr>
        <w:t>sestav</w:t>
      </w:r>
      <w:r w:rsidRPr="006C2BCF">
        <w:rPr>
          <w:rStyle w:val="Naslov2Znak"/>
        </w:rPr>
        <w:t>o</w:t>
      </w:r>
      <w:r w:rsidR="003F5977" w:rsidRPr="006C2BCF">
        <w:rPr>
          <w:rStyle w:val="Naslov2Znak"/>
        </w:rPr>
        <w:t xml:space="preserve"> Odbora Vlade Republike Slovenije za gospodarstvo</w:t>
      </w:r>
    </w:p>
    <w:p w14:paraId="7E163712" w14:textId="77777777" w:rsidR="006C2BCF" w:rsidRPr="006C2BCF" w:rsidRDefault="006C2BCF" w:rsidP="003F5977"/>
    <w:p w14:paraId="31471B5D" w14:textId="0DC34A1A" w:rsidR="006C2BCF" w:rsidRPr="006C2BCF" w:rsidRDefault="006C2BCF" w:rsidP="003F5977">
      <w:r w:rsidRPr="006C2BCF">
        <w:t>Vlada Republike Slovenije je na današnji seji sprejela dopolnitev Sklepa o ustanovitvi, nalogah in sestavi Odbora Vlade Republike Slovenije za gospodarstvo. S predlagano dopolnitvijo Sklepa se med člane odbora uvrsti minister brez resorja za področje odnosov med Republiko Slovenijo in avtohtono slovensko narodno skupnostjo v sosednjih državah ter med Republiko Slovenijo in Slovenci po svetu</w:t>
      </w:r>
    </w:p>
    <w:p w14:paraId="7E0E04DF" w14:textId="7E36D49C" w:rsidR="003F5977" w:rsidRDefault="003F5977" w:rsidP="006C2BCF">
      <w:pPr>
        <w:pStyle w:val="Vir"/>
      </w:pPr>
      <w:r w:rsidRPr="006C2BCF">
        <w:t xml:space="preserve">Vir: </w:t>
      </w:r>
      <w:r w:rsidR="00BC0E4D">
        <w:t>G</w:t>
      </w:r>
      <w:r w:rsidRPr="006C2BCF">
        <w:t>eneralni sekretariat vlade</w:t>
      </w:r>
    </w:p>
    <w:p w14:paraId="04FBC7EE" w14:textId="2D748963" w:rsidR="0058078C" w:rsidRPr="0058078C" w:rsidRDefault="0058078C" w:rsidP="0058078C">
      <w:pPr>
        <w:jc w:val="both"/>
        <w:rPr>
          <w:rStyle w:val="Naslov2Znak"/>
        </w:rPr>
      </w:pPr>
      <w:r w:rsidRPr="0058078C">
        <w:rPr>
          <w:rStyle w:val="Naslov2Znak"/>
        </w:rPr>
        <w:t>Vlada sprejela Letno poročilo Sklada NEK za leto 2025</w:t>
      </w:r>
    </w:p>
    <w:p w14:paraId="4A31B8E5" w14:textId="77777777" w:rsidR="0058078C" w:rsidRPr="0058078C" w:rsidRDefault="0058078C" w:rsidP="0058078C">
      <w:pPr>
        <w:jc w:val="both"/>
      </w:pPr>
    </w:p>
    <w:p w14:paraId="708F154F" w14:textId="77777777" w:rsidR="0058078C" w:rsidRPr="0058078C" w:rsidRDefault="0058078C" w:rsidP="0058078C">
      <w:pPr>
        <w:jc w:val="both"/>
      </w:pPr>
      <w:r w:rsidRPr="0058078C">
        <w:t>Vlada je sprejela Letno poročilo Javnega sklada Republike Slovenije za financiranje razgradnje Nuklearne elektrarne Krško in odlaganja radioaktivnih odpadkov in izrabljenega goriva iz Nuklearne elektrarne Krško za leto 2025, ki ga je obravnaval Nadzorni svet Sklada NEK.</w:t>
      </w:r>
    </w:p>
    <w:p w14:paraId="3C317C06" w14:textId="77777777" w:rsidR="0058078C" w:rsidRPr="0058078C" w:rsidRDefault="0058078C" w:rsidP="0058078C">
      <w:pPr>
        <w:jc w:val="both"/>
      </w:pPr>
    </w:p>
    <w:p w14:paraId="62281A0B" w14:textId="7FA5431B" w:rsidR="0058078C" w:rsidRPr="0058078C" w:rsidRDefault="0058078C" w:rsidP="0058078C">
      <w:pPr>
        <w:jc w:val="both"/>
      </w:pPr>
      <w:r w:rsidRPr="0058078C">
        <w:t>Sklad NEK je leto 2025 zaključil z donosnostjo v višini 4,26 odstotka, s čimer je presegel ciljni donos, določen v tretji reviziji Programa razgradnje NEK. Ustvaril je 39,6 milijona evrov prihodkov in 37 milijonov evrov odhodkov, leto pa zaključil s presežkom prihodkov nad odhodki v višini 2,56 milijona evrov. Tržna vrednost portfelja naložb je ob koncu leta znašala 260,35 milijona evrov, kar je 2,5 odstotka več kot leto prej.</w:t>
      </w:r>
      <w:r w:rsidR="00AB5FD5">
        <w:t xml:space="preserve"> </w:t>
      </w:r>
      <w:r w:rsidRPr="0058078C">
        <w:t>Sklad dolgoročno zagotavlja sredstva za financiranje razgradnje Nuklearne elektrarne Krško ter odlaganja radioaktivnih odpadkov in izrabljenega goriva, zato je uspešno upravljanje njegovih sredstev pomembno za varno izvajanje teh nalog tudi v prihodnosti.</w:t>
      </w:r>
    </w:p>
    <w:p w14:paraId="377C08FD" w14:textId="77777777" w:rsidR="0058078C" w:rsidRPr="0058078C" w:rsidRDefault="0058078C" w:rsidP="0058078C">
      <w:pPr>
        <w:jc w:val="both"/>
      </w:pPr>
    </w:p>
    <w:p w14:paraId="21FB1C96" w14:textId="2C71A874" w:rsidR="003F5977" w:rsidRDefault="0058078C" w:rsidP="0058078C">
      <w:pPr>
        <w:jc w:val="both"/>
      </w:pPr>
      <w:r w:rsidRPr="0058078C">
        <w:t>Nadzorni svet je ocenil, da letno poročilo predstavlja resničen in pošten prikaz poslovanja Sklada NEK.</w:t>
      </w:r>
    </w:p>
    <w:p w14:paraId="5666410D" w14:textId="78E4D5E2" w:rsidR="0058078C" w:rsidRDefault="0058078C" w:rsidP="0058078C">
      <w:pPr>
        <w:pStyle w:val="Vir"/>
      </w:pPr>
      <w:r w:rsidRPr="0058078C">
        <w:t>Vir: Ministrstvo za infrastrukturo in energetiko</w:t>
      </w:r>
    </w:p>
    <w:p w14:paraId="178AF063" w14:textId="662173B1" w:rsidR="00087AAB" w:rsidRPr="00087AAB" w:rsidRDefault="00087AAB" w:rsidP="00087AAB">
      <w:r w:rsidRPr="00087AAB">
        <w:rPr>
          <w:rStyle w:val="Naslov2Znak"/>
        </w:rPr>
        <w:lastRenderedPageBreak/>
        <w:t>Stališče vlade glede predloga uredbe o Agenciji Evropske unije za vesoljske storitve</w:t>
      </w:r>
    </w:p>
    <w:p w14:paraId="4834C86D" w14:textId="77777777" w:rsidR="00087AAB" w:rsidRPr="00087AAB" w:rsidRDefault="00087AAB" w:rsidP="00087AAB"/>
    <w:p w14:paraId="2BF9DBDC" w14:textId="77777777" w:rsidR="00087AAB" w:rsidRPr="00087AAB" w:rsidRDefault="00087AAB" w:rsidP="00EE73B2">
      <w:pPr>
        <w:spacing w:line="240" w:lineRule="auto"/>
        <w:jc w:val="both"/>
      </w:pPr>
      <w:r w:rsidRPr="00087AAB">
        <w:t>Vlada je sprejela stališče Republike Slovenije do predloga uredbe Evropskega parlamenta in Sveta o Agenciji Evropske unije za vesoljske storitve. Republika Slovenija načeloma podpira predlog uredbe, opozarja pa na jasno razmejitev pristojnosti in učinkovito uporabo obstoječih evropskih zmogljivosti.</w:t>
      </w:r>
    </w:p>
    <w:p w14:paraId="2B744DBB" w14:textId="77777777" w:rsidR="00087AAB" w:rsidRPr="00087AAB" w:rsidRDefault="00087AAB" w:rsidP="00EE73B2">
      <w:pPr>
        <w:spacing w:line="240" w:lineRule="auto"/>
        <w:jc w:val="both"/>
      </w:pPr>
    </w:p>
    <w:p w14:paraId="27D6CB5D" w14:textId="77777777" w:rsidR="00087AAB" w:rsidRPr="00087AAB" w:rsidRDefault="00087AAB" w:rsidP="00EE73B2">
      <w:pPr>
        <w:spacing w:line="240" w:lineRule="auto"/>
        <w:jc w:val="both"/>
      </w:pPr>
      <w:r w:rsidRPr="00087AAB">
        <w:t>Evropska komisija je aprila 2026 objavila predlog nove uredbe o Agenciji Evropske unije za vesoljske storitve. Predlog je tesno povezan z osnutkom zakona EU o vesolju, o katerem trenutno poteka razprava. Ti dve pobudi skupaj pa tvorita celovit regulativni sveženj, ki bo preoblikoval krajino vesoljskih dejavnosti v Evropi.</w:t>
      </w:r>
    </w:p>
    <w:p w14:paraId="76446CBF" w14:textId="77777777" w:rsidR="00087AAB" w:rsidRPr="00087AAB" w:rsidRDefault="00087AAB" w:rsidP="00EE73B2">
      <w:pPr>
        <w:spacing w:line="240" w:lineRule="auto"/>
        <w:jc w:val="both"/>
      </w:pPr>
    </w:p>
    <w:p w14:paraId="3A0CE3E8" w14:textId="77777777" w:rsidR="00087AAB" w:rsidRPr="00087AAB" w:rsidRDefault="00087AAB" w:rsidP="00EE73B2">
      <w:pPr>
        <w:spacing w:line="240" w:lineRule="auto"/>
        <w:jc w:val="both"/>
      </w:pPr>
      <w:r w:rsidRPr="00087AAB">
        <w:t xml:space="preserve">Slovenija predlagane spremembe načeloma podpira, saj prinašajo jasnejšo opredelitev nalog agencije ter večjo pravno preglednost. Pozdravlja tudi preimenovanje Agencije EU za vesoljski program v Agencijo EU za vesoljske storitve (angleško </w:t>
      </w:r>
      <w:proofErr w:type="spellStart"/>
      <w:r w:rsidRPr="00087AAB">
        <w:t>European</w:t>
      </w:r>
      <w:proofErr w:type="spellEnd"/>
      <w:r w:rsidRPr="00087AAB">
        <w:t xml:space="preserve"> Union Space Services </w:t>
      </w:r>
      <w:proofErr w:type="spellStart"/>
      <w:r w:rsidRPr="00087AAB">
        <w:t>Agency</w:t>
      </w:r>
      <w:proofErr w:type="spellEnd"/>
      <w:r w:rsidRPr="00087AAB">
        <w:t xml:space="preserve"> - EUSSA). Meni pa, da se je treba izogniti podvajanju dejavnosti na področjih, kjer ima Evropska vesoljska agencija (angleško </w:t>
      </w:r>
      <w:proofErr w:type="spellStart"/>
      <w:r w:rsidRPr="00087AAB">
        <w:t>European</w:t>
      </w:r>
      <w:proofErr w:type="spellEnd"/>
      <w:r w:rsidRPr="00087AAB">
        <w:t xml:space="preserve"> Space </w:t>
      </w:r>
      <w:proofErr w:type="spellStart"/>
      <w:r w:rsidRPr="00087AAB">
        <w:t>Agency</w:t>
      </w:r>
      <w:proofErr w:type="spellEnd"/>
      <w:r w:rsidRPr="00087AAB">
        <w:t xml:space="preserve"> - ESA) že izkušnje in dokazane zmogljivosti.</w:t>
      </w:r>
    </w:p>
    <w:p w14:paraId="1B901353" w14:textId="77777777" w:rsidR="00087AAB" w:rsidRPr="00087AAB" w:rsidRDefault="00087AAB" w:rsidP="00EE73B2">
      <w:pPr>
        <w:spacing w:line="240" w:lineRule="auto"/>
        <w:jc w:val="both"/>
      </w:pPr>
    </w:p>
    <w:p w14:paraId="01421B0B" w14:textId="77777777" w:rsidR="00087AAB" w:rsidRPr="00087AAB" w:rsidRDefault="00087AAB" w:rsidP="00EE73B2">
      <w:pPr>
        <w:spacing w:line="240" w:lineRule="auto"/>
        <w:jc w:val="both"/>
      </w:pPr>
      <w:r w:rsidRPr="00087AAB">
        <w:t xml:space="preserve">Predlog uredbe vzpostavlja </w:t>
      </w:r>
      <w:proofErr w:type="gramStart"/>
      <w:r w:rsidRPr="00087AAB">
        <w:t>samostojen ustanovitveni akta</w:t>
      </w:r>
      <w:proofErr w:type="gramEnd"/>
      <w:r w:rsidRPr="00087AAB">
        <w:t xml:space="preserve"> za EUSSA, ki temelji na obstoječih uredbah ter jasneje opredeljuje njene naloge in pravila delovanja. Tak pristop prispeva k večji pravni jasnosti ter zagotavlja kontinuiteto delovanja agencije tudi po izteku posameznih večletnih finančnih okvirov.</w:t>
      </w:r>
    </w:p>
    <w:p w14:paraId="601417D6" w14:textId="77777777" w:rsidR="00087AAB" w:rsidRPr="00087AAB" w:rsidRDefault="00087AAB" w:rsidP="00EE73B2">
      <w:pPr>
        <w:spacing w:line="240" w:lineRule="auto"/>
        <w:jc w:val="both"/>
      </w:pPr>
    </w:p>
    <w:p w14:paraId="7DE35856" w14:textId="0D836CC2" w:rsidR="00087AAB" w:rsidRPr="00087AAB" w:rsidRDefault="00087AAB" w:rsidP="00EE73B2">
      <w:pPr>
        <w:spacing w:line="240" w:lineRule="auto"/>
        <w:jc w:val="both"/>
      </w:pPr>
      <w:r w:rsidRPr="00087AAB">
        <w:t xml:space="preserve">Slovenija poudarja, da je treba preprečiti podvajanje nalog med ESA in EUSSA ter </w:t>
      </w:r>
      <w:proofErr w:type="gramStart"/>
      <w:r w:rsidRPr="00087AAB">
        <w:t>izpostavlja</w:t>
      </w:r>
      <w:proofErr w:type="gramEnd"/>
      <w:r w:rsidRPr="00087AAB">
        <w:t xml:space="preserve"> velik pomen evropskih satelitskih storitev, predvsem za področja kmetijstva, gozdarstva, ribištva in učinkovitega upravljanja naravnih virov. Prav tako </w:t>
      </w:r>
      <w:proofErr w:type="gramStart"/>
      <w:r w:rsidRPr="00087AAB">
        <w:t>izpostavlja</w:t>
      </w:r>
      <w:proofErr w:type="gramEnd"/>
      <w:r w:rsidRPr="00087AAB">
        <w:t xml:space="preserve"> potrebo po jasnih pravilih glede dostopa do podatkov ter usklajenosti z evropskimi in nacionalnimi pravili na področju kibernetske varnosti.</w:t>
      </w:r>
    </w:p>
    <w:p w14:paraId="15C0E09E" w14:textId="77777777" w:rsidR="00087AAB" w:rsidRPr="00087AAB" w:rsidRDefault="00087AAB" w:rsidP="00EE73B2">
      <w:pPr>
        <w:spacing w:line="240" w:lineRule="auto"/>
        <w:jc w:val="both"/>
      </w:pPr>
    </w:p>
    <w:p w14:paraId="2375CD2A" w14:textId="77777777" w:rsidR="00087AAB" w:rsidRPr="00087AAB" w:rsidRDefault="00087AAB" w:rsidP="00EE73B2">
      <w:pPr>
        <w:spacing w:line="240" w:lineRule="auto"/>
        <w:jc w:val="both"/>
      </w:pPr>
      <w:r w:rsidRPr="00087AAB">
        <w:t>Slovenija podpira nadaljnji razvoj evropskih storitev izstrelitve in predlaga vzpostavitev Foruma za storitve izstrelitve, ki bi omogočil boljše usklajevanje evropskih aktivnosti na tem področju.</w:t>
      </w:r>
    </w:p>
    <w:p w14:paraId="794C8DD6" w14:textId="77777777" w:rsidR="00087AAB" w:rsidRPr="00087AAB" w:rsidRDefault="00087AAB" w:rsidP="00EE73B2">
      <w:pPr>
        <w:spacing w:line="240" w:lineRule="auto"/>
        <w:jc w:val="both"/>
      </w:pPr>
    </w:p>
    <w:p w14:paraId="08EA32D2" w14:textId="77777777" w:rsidR="00087AAB" w:rsidRPr="00087AAB" w:rsidRDefault="00087AAB" w:rsidP="00EE73B2">
      <w:pPr>
        <w:spacing w:line="240" w:lineRule="auto"/>
        <w:jc w:val="both"/>
      </w:pPr>
      <w:r w:rsidRPr="00087AAB">
        <w:t>Bistveno je, da nova uredba zagotovi jasno razmejitev pristojnosti, učinkovito uporabo obstoječih evropskih zmogljivosti ter prepreči podvajanje nalog med različnimi organizacijami.</w:t>
      </w:r>
    </w:p>
    <w:p w14:paraId="010DF2F1" w14:textId="3F1DBDF6" w:rsidR="003F5977" w:rsidRPr="000075DC" w:rsidRDefault="00087AAB" w:rsidP="000075DC">
      <w:pPr>
        <w:pStyle w:val="Vir"/>
      </w:pPr>
      <w:r w:rsidRPr="000075DC">
        <w:t>Vir: Ministrstvo za gospodarstvo, delo in šport</w:t>
      </w:r>
    </w:p>
    <w:p w14:paraId="6EA8B31C" w14:textId="36F1EF82" w:rsidR="00D469DC" w:rsidRPr="00D469DC" w:rsidRDefault="00D469DC" w:rsidP="00D469DC">
      <w:pPr>
        <w:pStyle w:val="Naslov2"/>
        <w:jc w:val="both"/>
        <w:rPr>
          <w:b w:val="0"/>
          <w:bCs w:val="0"/>
        </w:rPr>
      </w:pPr>
      <w:r w:rsidRPr="00D469DC">
        <w:t>Vlada sprejela stališče o sporočilu Evropske komisije glede obravnavanja in preprečevanja revščine od otroštva do starosti</w:t>
      </w:r>
    </w:p>
    <w:p w14:paraId="58EC3268" w14:textId="77777777" w:rsidR="00D469DC" w:rsidRPr="00D469DC" w:rsidRDefault="00D469DC" w:rsidP="00D469DC">
      <w:pPr>
        <w:pStyle w:val="Naslov2"/>
        <w:jc w:val="both"/>
        <w:rPr>
          <w:b w:val="0"/>
          <w:bCs w:val="0"/>
        </w:rPr>
      </w:pPr>
    </w:p>
    <w:p w14:paraId="785695B9" w14:textId="77777777" w:rsidR="00D469DC" w:rsidRPr="00D469DC" w:rsidRDefault="00D469DC" w:rsidP="00D469DC">
      <w:pPr>
        <w:pStyle w:val="Naslov2"/>
        <w:jc w:val="both"/>
        <w:rPr>
          <w:b w:val="0"/>
          <w:bCs w:val="0"/>
        </w:rPr>
      </w:pPr>
      <w:r w:rsidRPr="00D469DC">
        <w:rPr>
          <w:b w:val="0"/>
          <w:bCs w:val="0"/>
        </w:rPr>
        <w:t>Vlada je sprejela stališče Slovenije k zadevi Sporočilo Komisije Evropskemu parlamentu, Svetu, Evropskemu ekonomsko-socialnemu odboru in Odboru regij o strategiji Evropske unije za boj proti revščini: obravnavanje in preprečevanje revščine od otroštva do starosti.</w:t>
      </w:r>
    </w:p>
    <w:p w14:paraId="2CBAC129" w14:textId="77777777" w:rsidR="00D469DC" w:rsidRPr="00D469DC" w:rsidRDefault="00D469DC" w:rsidP="00D469DC">
      <w:pPr>
        <w:pStyle w:val="Naslov2"/>
        <w:jc w:val="both"/>
        <w:rPr>
          <w:b w:val="0"/>
          <w:bCs w:val="0"/>
        </w:rPr>
      </w:pPr>
    </w:p>
    <w:p w14:paraId="0F0A71DA" w14:textId="13910B8D" w:rsidR="003F5977" w:rsidRPr="00087AAB" w:rsidRDefault="00D469DC" w:rsidP="00D469DC">
      <w:pPr>
        <w:pStyle w:val="Naslov2"/>
        <w:jc w:val="both"/>
        <w:rPr>
          <w:color w:val="FF0000"/>
        </w:rPr>
      </w:pPr>
      <w:r w:rsidRPr="00D469DC">
        <w:rPr>
          <w:b w:val="0"/>
          <w:bCs w:val="0"/>
        </w:rPr>
        <w:t xml:space="preserve">Slovenija podpira sprejetje Strategije za boj proti revščini v Evropski uniji (EU), saj predstavlja ključni instrument za doseganje ciljev politike v boju proti revščini tako na ravni EU kot v državah članicah. Sprejetje prve celovite Strategije za boj proti revščini v EU po mnenju vlade predstavlja pomemben korak k uresničevanju evropskega socialnega modela ter ciljev evropskega stebra socialnih pravic. Strategija naslavlja enega izmed izzivov sodobne Evrope – dejstvo, da je še vedno približno vsak peti prebivalec EU izpostavljen tveganju revščine ali socialne izključenosti, vključno z </w:t>
      </w:r>
      <w:proofErr w:type="gramStart"/>
      <w:r w:rsidRPr="00D469DC">
        <w:rPr>
          <w:b w:val="0"/>
          <w:bCs w:val="0"/>
        </w:rPr>
        <w:t>zaskrbljujoče</w:t>
      </w:r>
      <w:proofErr w:type="gramEnd"/>
      <w:r w:rsidRPr="00D469DC">
        <w:rPr>
          <w:b w:val="0"/>
          <w:bCs w:val="0"/>
        </w:rPr>
        <w:t xml:space="preserve"> visokim deležem otrok. Strategija je pomembna za uresničevanje 3. člena Pogodbe o delovanju Evropske unije, ki določa, da se Unija bori proti socialni izključenosti in za odpravo revščine. Slovenija si bo prizadevala za uresničevanje ciljev in ukrepov, opredeljenih v Strategiji za boj proti revščini v EU, med drugim tudi z izvajanjem Resolucije o nacionalnem programu socialnega varstva za obdobje 2022–2030, katere cilji in ukrepi so skladni z začrtanim evropskim okvirom na področju boja proti revščini.</w:t>
      </w:r>
    </w:p>
    <w:p w14:paraId="4B19AE1D" w14:textId="05B38DBA" w:rsidR="003F5977" w:rsidRDefault="00D469DC" w:rsidP="000075DC">
      <w:pPr>
        <w:pStyle w:val="Vir"/>
      </w:pPr>
      <w:r w:rsidRPr="000075DC">
        <w:t>Vir: Ministrstvo za demografijo, družino in socialne zadeve</w:t>
      </w:r>
    </w:p>
    <w:p w14:paraId="18B25DC2" w14:textId="77777777" w:rsidR="000075DC" w:rsidRDefault="000075DC" w:rsidP="000075DC"/>
    <w:p w14:paraId="21E59D1A" w14:textId="77777777" w:rsidR="000075DC" w:rsidRPr="000075DC" w:rsidRDefault="000075DC" w:rsidP="000075DC"/>
    <w:p w14:paraId="080E43EF" w14:textId="73245AD8" w:rsidR="003062F8" w:rsidRPr="00087AAB" w:rsidRDefault="003062F8" w:rsidP="003062F8">
      <w:pPr>
        <w:jc w:val="both"/>
      </w:pPr>
      <w:r w:rsidRPr="00087AAB">
        <w:rPr>
          <w:rStyle w:val="Naslov2Znak"/>
        </w:rPr>
        <w:lastRenderedPageBreak/>
        <w:t>Vlada potrdila udeležbo Slovenije na specializirani svetovni razstavi Expo 2027 Beograd</w:t>
      </w:r>
    </w:p>
    <w:p w14:paraId="2650EF75" w14:textId="77777777" w:rsidR="003062F8" w:rsidRPr="00087AAB" w:rsidRDefault="003062F8" w:rsidP="003062F8">
      <w:pPr>
        <w:jc w:val="both"/>
      </w:pPr>
    </w:p>
    <w:p w14:paraId="09FF27DC" w14:textId="77777777" w:rsidR="003062F8" w:rsidRPr="00087AAB" w:rsidRDefault="003062F8" w:rsidP="000075DC">
      <w:pPr>
        <w:spacing w:line="240" w:lineRule="auto"/>
        <w:jc w:val="both"/>
      </w:pPr>
      <w:r w:rsidRPr="00087AAB">
        <w:t xml:space="preserve">Vlada se </w:t>
      </w:r>
      <w:proofErr w:type="gramStart"/>
      <w:r w:rsidRPr="00087AAB">
        <w:t>je</w:t>
      </w:r>
      <w:proofErr w:type="gramEnd"/>
      <w:r w:rsidRPr="00087AAB">
        <w:t xml:space="preserve"> seznanila z Informacijo o specializirani svetovni razstavi Expo 2027 Beograd in podprla predlog, da se Republika Slovenija udeleži te svetovne razstave. Ob tem je pooblastila ministra za gospodarstvo, delo in šport dr. Anžeta Logarja za podpis izjave o nameri za sodelovanje.</w:t>
      </w:r>
    </w:p>
    <w:p w14:paraId="1CA8D9EC" w14:textId="77777777" w:rsidR="003062F8" w:rsidRPr="00087AAB" w:rsidRDefault="003062F8" w:rsidP="000075DC">
      <w:pPr>
        <w:spacing w:line="240" w:lineRule="auto"/>
        <w:jc w:val="both"/>
      </w:pPr>
    </w:p>
    <w:p w14:paraId="14BCF2A7" w14:textId="77777777" w:rsidR="003062F8" w:rsidRPr="00087AAB" w:rsidRDefault="003062F8" w:rsidP="000075DC">
      <w:pPr>
        <w:spacing w:line="240" w:lineRule="auto"/>
        <w:jc w:val="both"/>
      </w:pPr>
      <w:r w:rsidRPr="00087AAB">
        <w:t>Ministrstvo za gospodarstvo, delo in šport kot nacionalni koordinator sodelovanja Republike Slovenije z Mednarodnim uradom za razstave (BIE) ocenjuje, da udeležba na Expu predstavlja pomembno priložnost za krepitev mednarodne prepoznavnosti Slovenije, spodbujanje gospodarskega sodelovanja ter predstavitev slovenskega znanja, inovacij in trajnostnih rešitev.</w:t>
      </w:r>
    </w:p>
    <w:p w14:paraId="2FB5A1D2" w14:textId="77777777" w:rsidR="003062F8" w:rsidRPr="00087AAB" w:rsidRDefault="003062F8" w:rsidP="000075DC">
      <w:pPr>
        <w:spacing w:line="240" w:lineRule="auto"/>
        <w:jc w:val="both"/>
      </w:pPr>
    </w:p>
    <w:p w14:paraId="660DD51F" w14:textId="77777777" w:rsidR="003062F8" w:rsidRPr="00087AAB" w:rsidRDefault="003062F8" w:rsidP="000075DC">
      <w:pPr>
        <w:spacing w:line="240" w:lineRule="auto"/>
        <w:jc w:val="both"/>
      </w:pPr>
      <w:r w:rsidRPr="00087AAB">
        <w:t xml:space="preserve">Specializirana svetovna razstava Expo 2027 bo v Beogradu potekala pod geslom »Play </w:t>
      </w:r>
      <w:proofErr w:type="gramStart"/>
      <w:r w:rsidRPr="00087AAB">
        <w:t>for</w:t>
      </w:r>
      <w:proofErr w:type="gramEnd"/>
      <w:r w:rsidRPr="00087AAB">
        <w:t xml:space="preserve"> </w:t>
      </w:r>
      <w:proofErr w:type="spellStart"/>
      <w:r w:rsidRPr="00087AAB">
        <w:t>Humanity</w:t>
      </w:r>
      <w:proofErr w:type="spellEnd"/>
      <w:r w:rsidRPr="00087AAB">
        <w:t>: Sport and Music for All«, ki poudarja vlogo igre, športa in glasbe pri spodbujanju zdravja, inovacij, povezovanju ljudi ter krepitvi družbene odpornosti. Organizatorji pričakujejo več kot štiri milijone obiskovalcev in sodelovanje več kot 120 držav. Poleg razstavnega programa bo Expo gostil tudi številne kulturne, športne, izobraževalne in poslovne dogodke.</w:t>
      </w:r>
    </w:p>
    <w:p w14:paraId="3BB5EC51" w14:textId="77777777" w:rsidR="003062F8" w:rsidRPr="00087AAB" w:rsidRDefault="003062F8" w:rsidP="000075DC">
      <w:pPr>
        <w:spacing w:line="240" w:lineRule="auto"/>
        <w:jc w:val="both"/>
      </w:pPr>
    </w:p>
    <w:p w14:paraId="4D37A209" w14:textId="77777777" w:rsidR="003062F8" w:rsidRPr="00087AAB" w:rsidRDefault="003062F8" w:rsidP="000075DC">
      <w:pPr>
        <w:spacing w:line="240" w:lineRule="auto"/>
        <w:jc w:val="both"/>
      </w:pPr>
      <w:r w:rsidRPr="00087AAB">
        <w:t>Za Slovenijo je udeležba strateškega pomena tudi zaradi pomembnosti trgov Zahodnega Balkana za slovensko gospodarstvo. Beograd kot pomembno gospodarsko in logistično središče regije predstavlja priložnost za krepitev gospodarskih vezi ter internacionalizacijo slovenskega gospodarstva. Expo bo slovenskim podjetjem, raziskovalnim organizacijam, kulturnim ustanovam in drugim institucijam omogočil predstavitev njihovih dosežkov ter vzpostavljanje novih poslovnih in razvojnih partnerstev.</w:t>
      </w:r>
    </w:p>
    <w:p w14:paraId="6A501F77" w14:textId="77777777" w:rsidR="003062F8" w:rsidRPr="00087AAB" w:rsidRDefault="003062F8" w:rsidP="000075DC">
      <w:pPr>
        <w:spacing w:line="240" w:lineRule="auto"/>
        <w:jc w:val="both"/>
      </w:pPr>
    </w:p>
    <w:p w14:paraId="1ED3FD29" w14:textId="77777777" w:rsidR="003062F8" w:rsidRPr="00087AAB" w:rsidRDefault="003062F8" w:rsidP="000075DC">
      <w:pPr>
        <w:spacing w:line="240" w:lineRule="auto"/>
        <w:jc w:val="both"/>
      </w:pPr>
      <w:r w:rsidRPr="00087AAB">
        <w:t>Slovenija bo na Expu predstavila svoje prednosti na področjih naprednih tehnologij, zelenega prehoda, krožnega gospodarstva, pametne mobilnosti, digitalnih rešitev in športnih tehnologij. Obenem bo izpostavila razvojni model, ki temelji na povezovanju gospodarstva, znanosti in države, ter svojo prepoznavnost kot zelene, varne in vključujoče države z visoko kakovostjo življenja, razvito športno kulturo in trajnostnim turizmom.</w:t>
      </w:r>
    </w:p>
    <w:p w14:paraId="5C5CE18B" w14:textId="3A181ED3" w:rsidR="003F5977" w:rsidRPr="000075DC" w:rsidRDefault="003062F8" w:rsidP="000075DC">
      <w:pPr>
        <w:pStyle w:val="Vir"/>
      </w:pPr>
      <w:r w:rsidRPr="000075DC">
        <w:t>Vir: Ministrstvo za gospodarstvo, delo in šport</w:t>
      </w:r>
    </w:p>
    <w:p w14:paraId="19003943" w14:textId="39769F7A" w:rsidR="00087AAB" w:rsidRPr="00087AAB" w:rsidRDefault="00087AAB" w:rsidP="00087AAB">
      <w:pPr>
        <w:pStyle w:val="podpisi"/>
        <w:spacing w:line="240" w:lineRule="auto"/>
        <w:jc w:val="both"/>
        <w:rPr>
          <w:rStyle w:val="Naslov2Znak"/>
          <w:lang w:val="sl-SI"/>
        </w:rPr>
      </w:pPr>
      <w:r w:rsidRPr="00087AAB">
        <w:rPr>
          <w:rStyle w:val="Naslov2Znak"/>
          <w:lang w:val="sl-SI"/>
        </w:rPr>
        <w:t>Vlada sprejela mnenje o predlogu sprememb Zakona o pokojninskem in invalidskem zavarovanju</w:t>
      </w:r>
    </w:p>
    <w:p w14:paraId="38A18ACB" w14:textId="77777777" w:rsidR="00087AAB" w:rsidRPr="00087AAB" w:rsidRDefault="00087AAB" w:rsidP="00087AAB">
      <w:pPr>
        <w:pStyle w:val="podpisi"/>
        <w:spacing w:line="240" w:lineRule="auto"/>
        <w:jc w:val="both"/>
        <w:rPr>
          <w:lang w:val="sl-SI"/>
        </w:rPr>
      </w:pPr>
      <w:r w:rsidRPr="00087AAB">
        <w:rPr>
          <w:lang w:val="sl-SI"/>
        </w:rPr>
        <w:t xml:space="preserve"> </w:t>
      </w:r>
    </w:p>
    <w:p w14:paraId="28566437" w14:textId="77777777" w:rsidR="00087AAB" w:rsidRPr="00087AAB" w:rsidRDefault="00087AAB" w:rsidP="00087AAB">
      <w:pPr>
        <w:pStyle w:val="podpisi"/>
        <w:spacing w:line="240" w:lineRule="auto"/>
        <w:jc w:val="both"/>
        <w:rPr>
          <w:lang w:val="sl-SI"/>
        </w:rPr>
      </w:pPr>
      <w:r w:rsidRPr="00087AAB">
        <w:rPr>
          <w:lang w:val="sl-SI"/>
        </w:rPr>
        <w:t>Vlada je sprejela mnenje o Predlogu zakona o spremembah in dopolnitvah Zakona o pokojninskem in invalidskem zavarovanju, ki ga je Državnemu zboru predložil Državni svet in ga pošlje Državnemu zboru.</w:t>
      </w:r>
    </w:p>
    <w:p w14:paraId="154F5CFD" w14:textId="77777777" w:rsidR="00087AAB" w:rsidRPr="00087AAB" w:rsidRDefault="00087AAB" w:rsidP="00087AAB">
      <w:pPr>
        <w:pStyle w:val="podpisi"/>
        <w:spacing w:line="240" w:lineRule="auto"/>
        <w:jc w:val="both"/>
        <w:rPr>
          <w:lang w:val="sl-SI"/>
        </w:rPr>
      </w:pPr>
    </w:p>
    <w:p w14:paraId="20AF0292" w14:textId="77777777" w:rsidR="00087AAB" w:rsidRPr="00087AAB" w:rsidRDefault="00087AAB" w:rsidP="00087AAB">
      <w:pPr>
        <w:pStyle w:val="podpisi"/>
        <w:spacing w:line="240" w:lineRule="auto"/>
        <w:jc w:val="both"/>
        <w:rPr>
          <w:lang w:val="sl-SI"/>
        </w:rPr>
      </w:pPr>
      <w:r w:rsidRPr="00087AAB">
        <w:rPr>
          <w:lang w:val="sl-SI"/>
        </w:rPr>
        <w:t>Predlog zakona predvideva, da bi letni in zimski dodatek prejeli tudi prejemniki pokojnin, ki so bili pretežni del zavarovanja</w:t>
      </w:r>
      <w:proofErr w:type="gramStart"/>
      <w:r w:rsidRPr="00087AAB">
        <w:rPr>
          <w:lang w:val="sl-SI"/>
        </w:rPr>
        <w:t xml:space="preserve"> zavarovani</w:t>
      </w:r>
      <w:proofErr w:type="gramEnd"/>
      <w:r w:rsidRPr="00087AAB">
        <w:rPr>
          <w:lang w:val="sl-SI"/>
        </w:rPr>
        <w:t xml:space="preserve"> za ožji obseg pravic, ter prejemniki pokojnin, ki prejemajo pokojnino po Zakonu o starostnem zavarovanju kmetov.</w:t>
      </w:r>
    </w:p>
    <w:p w14:paraId="75025867" w14:textId="77777777" w:rsidR="00087AAB" w:rsidRPr="00087AAB" w:rsidRDefault="00087AAB" w:rsidP="00087AAB">
      <w:pPr>
        <w:pStyle w:val="podpisi"/>
        <w:spacing w:line="240" w:lineRule="auto"/>
        <w:jc w:val="both"/>
        <w:rPr>
          <w:lang w:val="sl-SI"/>
        </w:rPr>
      </w:pPr>
    </w:p>
    <w:p w14:paraId="76065E8D" w14:textId="77777777" w:rsidR="00087AAB" w:rsidRPr="00087AAB" w:rsidRDefault="00087AAB" w:rsidP="00087AAB">
      <w:pPr>
        <w:pStyle w:val="podpisi"/>
        <w:spacing w:line="240" w:lineRule="auto"/>
        <w:jc w:val="both"/>
        <w:rPr>
          <w:lang w:val="sl-SI"/>
        </w:rPr>
      </w:pPr>
      <w:r w:rsidRPr="00087AAB">
        <w:rPr>
          <w:lang w:val="sl-SI"/>
        </w:rPr>
        <w:t>Vlada razume socialni položaj oseb, ki so bile v preteklosti vključene v pokojninsko in invalidsko zavarovanje za ožji obseg pravic, vendar mora pri presoji predloga upoštevati tudi temeljna načela pokojninskega sistema, zlasti povezavo med obsegom vplačanih prispevkov in obsegom pridobljenih pravic. Socialne stiske je treba primarno reševati z ukrepi socialne politike, ki so namenjene najranljivejšim skupinam prebivalstva in ne z naknadnim spreminjanjem zgodovinsko vzpostavljenih zavarovalnih razmerij v okviru pokojninskega sistema.</w:t>
      </w:r>
    </w:p>
    <w:p w14:paraId="6D66403B" w14:textId="77777777" w:rsidR="00087AAB" w:rsidRPr="00087AAB" w:rsidRDefault="00087AAB" w:rsidP="00087AAB">
      <w:pPr>
        <w:pStyle w:val="podpisi"/>
        <w:spacing w:line="240" w:lineRule="auto"/>
        <w:jc w:val="both"/>
        <w:rPr>
          <w:lang w:val="sl-SI"/>
        </w:rPr>
      </w:pPr>
    </w:p>
    <w:p w14:paraId="06BAFEC3" w14:textId="77777777" w:rsidR="00087AAB" w:rsidRPr="00087AAB" w:rsidRDefault="00087AAB" w:rsidP="00087AAB">
      <w:pPr>
        <w:pStyle w:val="podpisi"/>
        <w:spacing w:line="240" w:lineRule="auto"/>
        <w:jc w:val="both"/>
        <w:rPr>
          <w:lang w:val="sl-SI"/>
        </w:rPr>
      </w:pPr>
      <w:r w:rsidRPr="00087AAB">
        <w:rPr>
          <w:lang w:val="sl-SI"/>
        </w:rPr>
        <w:t>Vlada zato predloga zakona ne podpira, podpira pa nadaljnji razmislek o socialnem položaju teh oseb, vendar v okviru sistema socialnega varstva oziroma morebitnih ukrepov kmetijske politike. Ocenjuje namreč, da bi predlagana rešitev v okviru sistema pokojninskega in invalidskega zavarovanja odprla pomembna sistemska vprašanja glede enotnosti in vzdržnosti pokojninskega sistema.</w:t>
      </w:r>
    </w:p>
    <w:p w14:paraId="4F4FA46A" w14:textId="68F3705B" w:rsidR="00087AAB" w:rsidRDefault="00087AAB" w:rsidP="000075DC">
      <w:pPr>
        <w:pStyle w:val="Vir"/>
      </w:pPr>
      <w:r w:rsidRPr="000075DC">
        <w:t>Vir: Ministrstvo za gospodarstvo, delo in šport</w:t>
      </w:r>
    </w:p>
    <w:p w14:paraId="4709B019" w14:textId="77777777" w:rsidR="000075DC" w:rsidRDefault="000075DC" w:rsidP="000075DC"/>
    <w:p w14:paraId="22F3E730" w14:textId="77777777" w:rsidR="000075DC" w:rsidRPr="000075DC" w:rsidRDefault="000075DC" w:rsidP="000075DC"/>
    <w:p w14:paraId="728C3469" w14:textId="06356E30" w:rsidR="0070215C" w:rsidRDefault="0070215C" w:rsidP="0070215C">
      <w:r w:rsidRPr="0070215C">
        <w:rPr>
          <w:rStyle w:val="Naslov2Znak"/>
        </w:rPr>
        <w:lastRenderedPageBreak/>
        <w:t>Vlada sprejela predlog sprememb Zakona o elektronski identifikaciji in storitvah zaupanja</w:t>
      </w:r>
    </w:p>
    <w:p w14:paraId="07C3902B" w14:textId="77777777" w:rsidR="0070215C" w:rsidRDefault="0070215C" w:rsidP="0070215C"/>
    <w:p w14:paraId="4D82A395" w14:textId="3C0D0875" w:rsidR="0070215C" w:rsidRDefault="0070215C" w:rsidP="0070215C">
      <w:pPr>
        <w:jc w:val="both"/>
      </w:pPr>
      <w:r>
        <w:t>Vlada Republike Slovenije je sprejela Predlog zakona o spremembah Zakona o elektronski identifikaciji in storitvah zaupanja. Predlog zakona podaljšuje prehodno obdobje za uporabo kvalificiranih potrdil za elektronski podpis za namen elektronske identifikacije in avtentikacije pri dostopu do elektronskih storitev javnega sektorja za dodatnih pet let, torej skupno na deset let od uveljavitve veljavnega zakona.</w:t>
      </w:r>
    </w:p>
    <w:p w14:paraId="27CA5E9A" w14:textId="77777777" w:rsidR="0070215C" w:rsidRDefault="0070215C" w:rsidP="0070215C">
      <w:pPr>
        <w:jc w:val="both"/>
      </w:pPr>
    </w:p>
    <w:p w14:paraId="199BFAC3" w14:textId="77777777" w:rsidR="0070215C" w:rsidRDefault="0070215C" w:rsidP="0070215C">
      <w:pPr>
        <w:jc w:val="both"/>
      </w:pPr>
      <w:r>
        <w:t>Sprememba je potrebna, ker se obstoječe prehodno obdobje izteče 7. avgusta 2026, kvalificirana digitalna potrdila pa za dostop do elektronskih javnih storitev še vedno uporablja več kot 60 odstotkov vseh uporabnikov. Če prehodnega obdobja ne bi podaljšali, bi številnim uporabnikom onemogočili ali bistveno otežili dostop do elektronskih storitev javnega sektorja ter povzročili dodatne administrativne obremenitve in stroške zaradi pridobivanja drugih sredstev elektronske identifikacije.</w:t>
      </w:r>
    </w:p>
    <w:p w14:paraId="0FEFC2E4" w14:textId="77777777" w:rsidR="0070215C" w:rsidRDefault="0070215C" w:rsidP="0070215C">
      <w:pPr>
        <w:jc w:val="both"/>
      </w:pPr>
    </w:p>
    <w:p w14:paraId="7C145335" w14:textId="77777777" w:rsidR="0070215C" w:rsidRDefault="0070215C" w:rsidP="0070215C">
      <w:pPr>
        <w:jc w:val="both"/>
      </w:pPr>
      <w:r>
        <w:t>Predlog zakona obenem širi krog kvalificiranih potrdil, ki jih bo mogoče uporabljati v podaljšanem prehodnem obdobju. Po novem bodo za elektronsko identifikacijo in avtentikacijo priznana kvalificirana potrdila vseh kvalificiranih ponudnikov storitev zaupanja, ki so registrirani v Republiki Sloveniji in vpisani v nacionalni zanesljivi seznam, ne glede na to, kdaj so bili registrirani. Predlagana rešitev odraža razvoj trga ponudnikov digitalnih potrdil v zadnjih letih ter zagotavlja enakopravnejšo obravnavo vseh kvalificiranih ponudnikov.</w:t>
      </w:r>
    </w:p>
    <w:p w14:paraId="32C902CE" w14:textId="77777777" w:rsidR="0070215C" w:rsidRDefault="0070215C" w:rsidP="0070215C">
      <w:pPr>
        <w:jc w:val="both"/>
      </w:pPr>
    </w:p>
    <w:p w14:paraId="647D57B3" w14:textId="77777777" w:rsidR="0070215C" w:rsidRDefault="0070215C" w:rsidP="0070215C">
      <w:pPr>
        <w:jc w:val="both"/>
      </w:pPr>
      <w:r>
        <w:t>Predlagane spremembe bodo omogočile nemoteno uporabo digitalnih javnih storitev v prehodnem obdobju ter uporabnikom zagotovile dovolj časa za postopni prehod na uporabo sredstev elektronske identifikacije, ob tem pa podprle tudi prihodnjo uvedbo evropske denarnice za digitalno identiteto.</w:t>
      </w:r>
    </w:p>
    <w:p w14:paraId="379A5714" w14:textId="77777777" w:rsidR="0070215C" w:rsidRDefault="0070215C" w:rsidP="0070215C">
      <w:pPr>
        <w:jc w:val="both"/>
      </w:pPr>
    </w:p>
    <w:p w14:paraId="0EBCD14A" w14:textId="370B6711" w:rsidR="0070215C" w:rsidRDefault="0070215C" w:rsidP="0070215C">
      <w:pPr>
        <w:jc w:val="both"/>
      </w:pPr>
      <w:r>
        <w:t>Ker je zaradi skorajšnjega izteka veljavnega prehodnega obdobja zakon treba sprejeti in uveljaviti pred 7. avgustom 2026, Vlada predlaga njegovo obravnavo po nujnem postopku.</w:t>
      </w:r>
    </w:p>
    <w:p w14:paraId="077A5DC9" w14:textId="693899EB" w:rsidR="0070215C" w:rsidRDefault="0070215C" w:rsidP="0070215C">
      <w:pPr>
        <w:pStyle w:val="Vir"/>
      </w:pPr>
      <w:r>
        <w:t>Vir: Ministrstvo za notranje zadeve in javno upravo</w:t>
      </w:r>
    </w:p>
    <w:p w14:paraId="041760C2" w14:textId="1F63FC12" w:rsidR="0070215C" w:rsidRDefault="0070215C" w:rsidP="0070215C">
      <w:pPr>
        <w:pStyle w:val="Vir"/>
      </w:pPr>
      <w:r w:rsidRPr="0070215C">
        <w:rPr>
          <w:rStyle w:val="Naslov2Znak"/>
        </w:rPr>
        <w:t>Vlada izdala odločbo o zahtevi za pridobitev poročila nemškega forenzičnega laboratorija</w:t>
      </w:r>
    </w:p>
    <w:p w14:paraId="41DF7574" w14:textId="77777777" w:rsidR="0070215C" w:rsidRDefault="0070215C" w:rsidP="0070215C">
      <w:pPr>
        <w:pStyle w:val="Vir"/>
      </w:pPr>
      <w:r>
        <w:t xml:space="preserve">Vlada Republike Slovenije je izdala odločbo, da se zahtevi prosilca za pridobitev poročila nemškega forenzičnega laboratorija o vsebini posnetkov na strani </w:t>
      </w:r>
      <w:proofErr w:type="spellStart"/>
      <w:r>
        <w:t>Anticorruption</w:t>
      </w:r>
      <w:proofErr w:type="spellEnd"/>
      <w:r>
        <w:t xml:space="preserve"> ugodi.</w:t>
      </w:r>
    </w:p>
    <w:tbl>
      <w:tblPr>
        <w:tblW w:w="7893" w:type="dxa"/>
        <w:tblCellMar>
          <w:left w:w="0" w:type="dxa"/>
          <w:right w:w="0" w:type="dxa"/>
        </w:tblCellMar>
        <w:tblLook w:val="04A0" w:firstRow="1" w:lastRow="0" w:firstColumn="1" w:lastColumn="0" w:noHBand="0" w:noVBand="1"/>
      </w:tblPr>
      <w:tblGrid>
        <w:gridCol w:w="7893"/>
      </w:tblGrid>
      <w:tr w:rsidR="000075DC" w:rsidRPr="007475E3" w14:paraId="3DDDE5A3" w14:textId="77777777" w:rsidTr="000075DC">
        <w:tc>
          <w:tcPr>
            <w:tcW w:w="7893" w:type="dxa"/>
          </w:tcPr>
          <w:p w14:paraId="60CDB5EF" w14:textId="77777777" w:rsidR="000075DC" w:rsidRDefault="0070215C" w:rsidP="00210DAC">
            <w:pPr>
              <w:jc w:val="both"/>
            </w:pPr>
            <w:r w:rsidRPr="0070215C">
              <w:t>Vir: Ministrstvo za notranje zadeve in javno upravo</w:t>
            </w:r>
          </w:p>
          <w:p w14:paraId="284A1A41" w14:textId="4BA30824" w:rsidR="000075DC" w:rsidRPr="007475E3" w:rsidRDefault="000075DC" w:rsidP="00210DAC">
            <w:pPr>
              <w:jc w:val="both"/>
              <w:rPr>
                <w:color w:val="FF0000"/>
              </w:rPr>
            </w:pPr>
          </w:p>
        </w:tc>
      </w:tr>
    </w:tbl>
    <w:p w14:paraId="03C2DC23" w14:textId="4EC97E65" w:rsidR="003062F8" w:rsidRPr="00087AAB" w:rsidRDefault="003062F8" w:rsidP="003062F8">
      <w:pPr>
        <w:rPr>
          <w:rStyle w:val="Naslov2Znak"/>
        </w:rPr>
      </w:pPr>
      <w:r w:rsidRPr="00087AAB">
        <w:rPr>
          <w:rStyle w:val="Naslov2Znak"/>
        </w:rPr>
        <w:t>Vlada imenovala vršilca dolžnosti generalnega direktorja Direktorata za trg dela in zaposlovanje</w:t>
      </w:r>
    </w:p>
    <w:p w14:paraId="6583DA71" w14:textId="77777777" w:rsidR="003062F8" w:rsidRPr="00087AAB" w:rsidRDefault="003062F8" w:rsidP="003062F8"/>
    <w:p w14:paraId="0E6015F1" w14:textId="77777777" w:rsidR="003062F8" w:rsidRPr="00087AAB" w:rsidRDefault="003062F8" w:rsidP="003062F8">
      <w:pPr>
        <w:jc w:val="both"/>
      </w:pPr>
      <w:r w:rsidRPr="00087AAB">
        <w:t>Vlada je izdala odločbo o imenovanju Aleksandra Vojičića za vršilca dolžnosti generalnega direktorja Direktorata za trg dela in zaposlovanje v Ministrstvu za gospodarstvo, delo in šport. Funkcijo bo nastopil 13. julija 2026 in jo opravljal do imenovanja novega generalnega direktorja, vendar največ šest mesecev, to je najdlje do 12. januarja 2027. Aleksander Vojičić ima dolgoletne izkušnje v državni upravi.</w:t>
      </w:r>
    </w:p>
    <w:p w14:paraId="17367FD1" w14:textId="77777777" w:rsidR="003062F8" w:rsidRPr="00087AAB" w:rsidRDefault="003062F8" w:rsidP="003062F8">
      <w:pPr>
        <w:jc w:val="both"/>
      </w:pPr>
    </w:p>
    <w:p w14:paraId="20D2306C" w14:textId="77777777" w:rsidR="003062F8" w:rsidRPr="00087AAB" w:rsidRDefault="003062F8" w:rsidP="003062F8">
      <w:pPr>
        <w:jc w:val="both"/>
      </w:pPr>
      <w:r w:rsidRPr="00087AAB">
        <w:t>Z imenovanjem se zagotavlja nemoteno delovanje Direktorata za trg dela in zaposlovanje, ki je pristojen za pripravo in izvajanje politik na področju trga dela, zaposlovanja, delovnih razmerij in povezanih sistemskih rešitev.</w:t>
      </w:r>
    </w:p>
    <w:p w14:paraId="3A985B41" w14:textId="77777777" w:rsidR="003062F8" w:rsidRPr="00087AAB" w:rsidRDefault="003062F8" w:rsidP="003062F8">
      <w:pPr>
        <w:jc w:val="both"/>
      </w:pPr>
    </w:p>
    <w:p w14:paraId="01F1930D" w14:textId="77777777" w:rsidR="003062F8" w:rsidRPr="00087AAB" w:rsidRDefault="003062F8" w:rsidP="003062F8">
      <w:pPr>
        <w:jc w:val="both"/>
      </w:pPr>
      <w:r w:rsidRPr="00087AAB">
        <w:t xml:space="preserve">Zakon o javnih uslužbencih določa, da generalne direktorje </w:t>
      </w:r>
      <w:proofErr w:type="gramStart"/>
      <w:r w:rsidRPr="00087AAB">
        <w:t>v</w:t>
      </w:r>
      <w:proofErr w:type="gramEnd"/>
      <w:r w:rsidRPr="00087AAB">
        <w:t xml:space="preserve"> ministrstvih imenuje vlada na predlog pristojnega ministra. Prav tako določa, da lahko v času od začetka natečajnega postopka do imenovanja novega uradnika naloge položaja brez javnega natečaja opravlja vršilec dolžnosti, vendar največ šest mesecev.</w:t>
      </w:r>
    </w:p>
    <w:p w14:paraId="41B5DFFC" w14:textId="75570E59" w:rsidR="003C158B" w:rsidRPr="00087AAB" w:rsidRDefault="003062F8" w:rsidP="003062F8">
      <w:pPr>
        <w:pStyle w:val="Vir"/>
      </w:pPr>
      <w:r w:rsidRPr="00087AAB">
        <w:lastRenderedPageBreak/>
        <w:t>Vir: Ministrstvo za gospodarstvo, delo in šport</w:t>
      </w:r>
    </w:p>
    <w:p w14:paraId="2AE40B79" w14:textId="1BF3DEED" w:rsidR="00C21C53" w:rsidRPr="00C21C53" w:rsidRDefault="00C21C53" w:rsidP="00C21C53">
      <w:pPr>
        <w:jc w:val="both"/>
        <w:rPr>
          <w:rStyle w:val="Naslov2Znak"/>
        </w:rPr>
      </w:pPr>
      <w:r w:rsidRPr="00C21C53">
        <w:rPr>
          <w:rStyle w:val="Naslov2Znak"/>
        </w:rPr>
        <w:t>Razrešitev glavnega inšpektorja Inšpektorata Republike Slovenije za šolstvo in imenovanje vršilca dolžnosti glavnega inšpektorja</w:t>
      </w:r>
    </w:p>
    <w:p w14:paraId="0998DDA7" w14:textId="77777777" w:rsidR="00C21C53" w:rsidRPr="00C21C53" w:rsidRDefault="00C21C53" w:rsidP="00C21C53">
      <w:pPr>
        <w:jc w:val="both"/>
      </w:pPr>
    </w:p>
    <w:p w14:paraId="487C0817" w14:textId="62523509" w:rsidR="00C21C53" w:rsidRPr="00C21C53" w:rsidRDefault="00C21C53" w:rsidP="00C21C53">
      <w:pPr>
        <w:jc w:val="both"/>
      </w:pPr>
      <w:r w:rsidRPr="00C21C53">
        <w:t>Vlada je izdala odločbo o razrešitvi dr. Simona Slokana s položaja glavnega inšpektorja Inšpektorata Republike Slovenije za šolstvo.</w:t>
      </w:r>
    </w:p>
    <w:p w14:paraId="594F2B94" w14:textId="77777777" w:rsidR="00C21C53" w:rsidRPr="00C21C53" w:rsidRDefault="00C21C53" w:rsidP="00C21C53">
      <w:pPr>
        <w:jc w:val="both"/>
      </w:pPr>
    </w:p>
    <w:p w14:paraId="4D47A2B5" w14:textId="77777777" w:rsidR="00C21C53" w:rsidRPr="00C21C53" w:rsidRDefault="00C21C53" w:rsidP="00C21C53">
      <w:pPr>
        <w:jc w:val="both"/>
      </w:pPr>
      <w:r w:rsidRPr="00C21C53">
        <w:t xml:space="preserve">Za vršilca dolžnosti glavnega inšpektorja Inšpektorata Republike Slovenije za šolstvo je vlada z 10. julijem 2026 imenovala dr. Jurija Šinka, in sicer do imenovanja novega glavnega inšpektorja, vendar največ za šest mesecev, to je najdlje do 9. januarja 2027.  </w:t>
      </w:r>
    </w:p>
    <w:p w14:paraId="5039E0B4" w14:textId="77777777" w:rsidR="00C21C53" w:rsidRPr="00C21C53" w:rsidRDefault="00C21C53" w:rsidP="00C21C53">
      <w:pPr>
        <w:jc w:val="both"/>
      </w:pPr>
    </w:p>
    <w:p w14:paraId="576E4942" w14:textId="77777777" w:rsidR="00C21C53" w:rsidRPr="00C21C53" w:rsidRDefault="00C21C53" w:rsidP="00C21C53">
      <w:pPr>
        <w:jc w:val="both"/>
      </w:pPr>
      <w:r w:rsidRPr="00C21C53">
        <w:t xml:space="preserve">Dr. Jurij Šink deluje v vzgoji in izobraževanju že več kot 25 let. Najprej je </w:t>
      </w:r>
      <w:proofErr w:type="gramStart"/>
      <w:r w:rsidRPr="00C21C53">
        <w:t>pričel</w:t>
      </w:r>
      <w:proofErr w:type="gramEnd"/>
      <w:r w:rsidRPr="00C21C53">
        <w:t xml:space="preserve"> kot srednješolski profesor slovenščine, nadaljeval kot ravnatelj gimnazije in generalni direktor Direktorata za srednje in višje šolstvo ter izobraževanje odraslih, zadnjih 12 let pa dela kot inšpektor za šolstvo, višji svetnik, na Inšpektoratu Republike Slovenije za šolstvo.</w:t>
      </w:r>
    </w:p>
    <w:p w14:paraId="5EC61C5B" w14:textId="5C0FF10D" w:rsidR="003F5977" w:rsidRPr="000075DC" w:rsidRDefault="00C21C53" w:rsidP="000075DC">
      <w:pPr>
        <w:pStyle w:val="Vir"/>
      </w:pPr>
      <w:r w:rsidRPr="000075DC">
        <w:t>Vir: Ministrstvo za izobraževanje, znanost in mladino</w:t>
      </w:r>
    </w:p>
    <w:p w14:paraId="29F6CA62" w14:textId="0651B105" w:rsidR="0058078C" w:rsidRPr="0058078C" w:rsidRDefault="0058078C" w:rsidP="0058078C">
      <w:pPr>
        <w:pStyle w:val="Naslov2"/>
      </w:pPr>
      <w:r w:rsidRPr="0058078C">
        <w:t>Vlada imenovala nova člana nadzornega sveta družbe SŽ-Infrastruktura</w:t>
      </w:r>
    </w:p>
    <w:p w14:paraId="613F3A90" w14:textId="77777777" w:rsidR="0058078C" w:rsidRPr="0058078C" w:rsidRDefault="0058078C" w:rsidP="0058078C">
      <w:pPr>
        <w:jc w:val="both"/>
      </w:pPr>
      <w:r w:rsidRPr="0058078C">
        <w:t xml:space="preserve">Vlada je odpoklicala Jerneja Pavliča in Tjašo Ribič Urh z mest članov nadzornega sveta družbe Slovenske železnice – Infrastruktura, d. o. o., ter za štiriletni mandat imenovala nova člana nadzornega sveta mag. Urško Grmek in Matjaža Trontlja. </w:t>
      </w:r>
    </w:p>
    <w:p w14:paraId="51B6A16B" w14:textId="77777777" w:rsidR="0058078C" w:rsidRPr="0058078C" w:rsidRDefault="0058078C" w:rsidP="0058078C">
      <w:pPr>
        <w:jc w:val="both"/>
      </w:pPr>
    </w:p>
    <w:p w14:paraId="665B706B" w14:textId="77777777" w:rsidR="0058078C" w:rsidRPr="0058078C" w:rsidRDefault="0058078C" w:rsidP="0058078C">
      <w:pPr>
        <w:jc w:val="both"/>
      </w:pPr>
      <w:r w:rsidRPr="0058078C">
        <w:t>Nova člana nadzornega sveta bosta mandat nastopila 10. julija 2026, odpoklic dosedanjih članov pa začne veljati 9. julija 2026. Predlagana kandidata izpolnjujeta predpisane pogoje za imenovanje v nadzorni svet družbe.</w:t>
      </w:r>
    </w:p>
    <w:p w14:paraId="76C8462E" w14:textId="2F5C4E64" w:rsidR="008B3AF0" w:rsidRDefault="0058078C" w:rsidP="000075DC">
      <w:pPr>
        <w:pStyle w:val="Vir"/>
      </w:pPr>
      <w:r w:rsidRPr="0058078C">
        <w:t>Vir: Ministrstvo za infrastrukturo in energetiko</w:t>
      </w:r>
    </w:p>
    <w:p w14:paraId="0027B9FA" w14:textId="3B085AE3" w:rsidR="00D469DC" w:rsidRPr="000075DC" w:rsidRDefault="00D469DC" w:rsidP="000075DC">
      <w:pPr>
        <w:pStyle w:val="Naslov2"/>
        <w:rPr>
          <w:rStyle w:val="Naslov2Znak"/>
          <w:b/>
          <w:bCs/>
        </w:rPr>
      </w:pPr>
      <w:r w:rsidRPr="000075DC">
        <w:rPr>
          <w:rStyle w:val="Naslov2Znak"/>
          <w:b/>
          <w:bCs/>
        </w:rPr>
        <w:t xml:space="preserve">Vlada o imenovanju svetovalca direktorja v </w:t>
      </w:r>
      <w:proofErr w:type="spellStart"/>
      <w:r w:rsidRPr="000075DC">
        <w:rPr>
          <w:rStyle w:val="Naslov2Znak"/>
          <w:b/>
          <w:bCs/>
        </w:rPr>
        <w:t>konstituenčni</w:t>
      </w:r>
      <w:proofErr w:type="spellEnd"/>
      <w:r w:rsidRPr="000075DC">
        <w:rPr>
          <w:rStyle w:val="Naslov2Znak"/>
          <w:b/>
          <w:bCs/>
        </w:rPr>
        <w:t xml:space="preserve"> pisarni Evropske banke za obnovo in razvoj </w:t>
      </w:r>
    </w:p>
    <w:p w14:paraId="676702E3" w14:textId="29BA1206" w:rsidR="00D469DC" w:rsidRDefault="00D469DC" w:rsidP="00D469DC">
      <w:pPr>
        <w:jc w:val="both"/>
      </w:pPr>
      <w:r>
        <w:t xml:space="preserve">Vlada je odločila o prenehanju veljave sklepa o imenovanju svetovalca direktorja v </w:t>
      </w:r>
      <w:proofErr w:type="spellStart"/>
      <w:r>
        <w:t>konstituenčni</w:t>
      </w:r>
      <w:proofErr w:type="spellEnd"/>
      <w:r>
        <w:t xml:space="preserve"> pisarni Evropske banke za obnovo in razvoj (EBRD).</w:t>
      </w:r>
    </w:p>
    <w:p w14:paraId="75E69EE0" w14:textId="77777777" w:rsidR="00D469DC" w:rsidRDefault="00D469DC" w:rsidP="00D469DC">
      <w:pPr>
        <w:jc w:val="both"/>
      </w:pPr>
    </w:p>
    <w:p w14:paraId="2B69F6AE" w14:textId="77777777" w:rsidR="00D469DC" w:rsidRDefault="00D469DC" w:rsidP="00D469DC">
      <w:pPr>
        <w:jc w:val="both"/>
      </w:pPr>
      <w:r>
        <w:t xml:space="preserve">Trenutno Sloveniji pripada mesto namestnika direktorja </w:t>
      </w:r>
      <w:proofErr w:type="spellStart"/>
      <w:r>
        <w:t>konstituence</w:t>
      </w:r>
      <w:proofErr w:type="spellEnd"/>
      <w:r>
        <w:t>, na katerega je bil na predlog prejšnje vlade imenovan Rok Ponikvar. Dne 12. marca 2026 je vlada sprejela sklep, s katerim je predlagala imenovanje Roka Ponikvarja na mesto svetovalca direktorja za obdobje treh let od 1. avgusta 2026 do 31. julija 2029.</w:t>
      </w:r>
    </w:p>
    <w:p w14:paraId="1B293C11" w14:textId="77777777" w:rsidR="00D469DC" w:rsidRDefault="00D469DC" w:rsidP="00D469DC">
      <w:pPr>
        <w:jc w:val="both"/>
      </w:pPr>
    </w:p>
    <w:p w14:paraId="17F21D43" w14:textId="77777777" w:rsidR="00D469DC" w:rsidRDefault="00D469DC" w:rsidP="00D469DC">
      <w:pPr>
        <w:jc w:val="both"/>
      </w:pPr>
      <w:r>
        <w:t>Ker gre za funkcijo, ki jo opravlja oseba, ki mora dobro poznati delovanje in politike EBRD, hkrati pa mora biti vpeta v aktualne prioritete politik vsakokratne vlade, da lahko v instituciji ustrezno zastopa tudi interese Republike Slovenije, in glede na to, da je bila oseba predlagana v imenovanje s strani prejšnje vlade</w:t>
      </w:r>
      <w:proofErr w:type="gramStart"/>
      <w:r>
        <w:t xml:space="preserve"> in</w:t>
      </w:r>
      <w:proofErr w:type="gramEnd"/>
      <w:r>
        <w:t xml:space="preserve"> svoje funkcije še ni nastopila, je vlada odločila, da sklep o imenovanju Roka Ponikvarja na mesto svetovalca direktorja v </w:t>
      </w:r>
      <w:proofErr w:type="spellStart"/>
      <w:r>
        <w:t>konstituenci</w:t>
      </w:r>
      <w:proofErr w:type="spellEnd"/>
      <w:r>
        <w:t xml:space="preserve"> EBRD preneha veljati. Ministrstvo za finance bo po opravljenih pogovorih z ustreznimi kandidati vladi v imenovanje predlagalo novega kandidata.</w:t>
      </w:r>
    </w:p>
    <w:p w14:paraId="743C46E1" w14:textId="75ED0546" w:rsidR="003F5977" w:rsidRDefault="00D469DC" w:rsidP="000075DC">
      <w:pPr>
        <w:pStyle w:val="Vir"/>
      </w:pPr>
      <w:r w:rsidRPr="000075DC">
        <w:t>Vir:</w:t>
      </w:r>
      <w:r w:rsidR="000075DC" w:rsidRPr="000075DC">
        <w:t xml:space="preserve"> </w:t>
      </w:r>
      <w:r w:rsidRPr="000075DC">
        <w:t>Ministrstvo za finance</w:t>
      </w:r>
    </w:p>
    <w:p w14:paraId="612B3314" w14:textId="77777777" w:rsidR="001826D6" w:rsidRPr="001826D6" w:rsidRDefault="001826D6" w:rsidP="001826D6"/>
    <w:p w14:paraId="41C7C0EE" w14:textId="1A3C896D" w:rsidR="00F9645E" w:rsidRPr="009D0825" w:rsidRDefault="00F9645E" w:rsidP="009D0825">
      <w:pPr>
        <w:pStyle w:val="Naslov2"/>
      </w:pPr>
      <w:r w:rsidRPr="009D0825">
        <w:rPr>
          <w:rStyle w:val="Naslov2Znak"/>
          <w:b/>
          <w:bCs/>
        </w:rPr>
        <w:lastRenderedPageBreak/>
        <w:t>Vlada imenovala direktorico Javne agencije Republike Slovenije za kakovost v zdravstvu</w:t>
      </w:r>
    </w:p>
    <w:p w14:paraId="0F7B5D6A" w14:textId="1DBDDF35" w:rsidR="00F9645E" w:rsidRPr="00F9645E" w:rsidRDefault="00F9645E" w:rsidP="00F9645E">
      <w:pPr>
        <w:pStyle w:val="Vir"/>
        <w:jc w:val="both"/>
      </w:pPr>
      <w:r w:rsidRPr="00F9645E">
        <w:t>Vlada Republike Slovenije je imenovala mag. Klavdijo Kobal Straus za direktorico Javne agencije Republike Slovenije za kakovost v zdravstvu (JAKZ) za mandatno dobo petih let, in sicer od 9. 7. 2026 do 8. 7. 2031, z možnostjo ponovnega imenovanja.</w:t>
      </w:r>
    </w:p>
    <w:p w14:paraId="0ABB58EB" w14:textId="77777777" w:rsidR="00F9645E" w:rsidRPr="00F9645E" w:rsidRDefault="00F9645E" w:rsidP="00F9645E">
      <w:pPr>
        <w:pStyle w:val="Vir"/>
        <w:jc w:val="both"/>
      </w:pPr>
      <w:r w:rsidRPr="00F9645E">
        <w:t>Direktorja oziroma direktorico JAKZ imenuje vlada na predlog sveta agencije po predhodno izvedenem javnem natečaju. Svet agencije je po izvedenem izbirnem postopku ugotovil, da mag. Klavdija Kobal Straus izpolnjuje vse predpisane pogoje za imenovanje, zato je soglasno sklenil, da jo Vladi Republike Slovenije predlaga v imenovanje za direktorico agencije.</w:t>
      </w:r>
    </w:p>
    <w:p w14:paraId="504EE5B2" w14:textId="77777777" w:rsidR="00F9645E" w:rsidRPr="00F9645E" w:rsidRDefault="00F9645E" w:rsidP="00F9645E">
      <w:pPr>
        <w:pStyle w:val="Vir"/>
        <w:jc w:val="both"/>
      </w:pPr>
      <w:r w:rsidRPr="00F9645E">
        <w:t>Predlog za imenovanje temelji na ugotovitvah sveta agencije, da ima kandidatka ustrezna strokovna znanja in izkušnje za vodenje agencije ter učinkovito izvajanje njenih nalog na področju kakovosti v zdravstvu.</w:t>
      </w:r>
    </w:p>
    <w:p w14:paraId="39D89F40" w14:textId="261F8D1C" w:rsidR="00F9645E" w:rsidRPr="00F9645E" w:rsidRDefault="00F9645E" w:rsidP="00F9645E">
      <w:pPr>
        <w:pStyle w:val="Vir"/>
        <w:jc w:val="both"/>
      </w:pPr>
      <w:r w:rsidRPr="00F9645E">
        <w:t>Na seji je Vlada Republike Slovenije ministra za zdravje še pooblastila, da z mag. Klavdijo Kobal Straus sklene pogodbo o zaposlitvi ter o ciljih in pričakovanih rezultatih dela.</w:t>
      </w:r>
    </w:p>
    <w:p w14:paraId="4187ABB7" w14:textId="19C00C4D" w:rsidR="00F9645E" w:rsidRPr="009D0825" w:rsidRDefault="00F9645E" w:rsidP="009D0825">
      <w:pPr>
        <w:pStyle w:val="Vir"/>
      </w:pPr>
      <w:r w:rsidRPr="009D0825">
        <w:t>Vir: Ministrstvo za zdravje</w:t>
      </w:r>
    </w:p>
    <w:p w14:paraId="77DDEAF2" w14:textId="77777777" w:rsidR="009D0825" w:rsidRPr="000C5413" w:rsidRDefault="009D0825" w:rsidP="000C5413">
      <w:pPr>
        <w:pStyle w:val="Naslov2"/>
      </w:pPr>
      <w:r w:rsidRPr="000C5413">
        <w:t>Vlada ustanovila Strateški svet za gospodarstvo</w:t>
      </w:r>
    </w:p>
    <w:p w14:paraId="79AFA6AB" w14:textId="3DEE016B" w:rsidR="009D0825" w:rsidRPr="001826D6" w:rsidRDefault="009D0825" w:rsidP="009D0825">
      <w:pPr>
        <w:pStyle w:val="Vir"/>
        <w:jc w:val="both"/>
        <w:rPr>
          <w:rFonts w:cs="Arial"/>
          <w:szCs w:val="20"/>
        </w:rPr>
      </w:pPr>
      <w:r w:rsidRPr="001826D6">
        <w:rPr>
          <w:rFonts w:cs="Arial"/>
          <w:szCs w:val="20"/>
        </w:rPr>
        <w:t xml:space="preserve">Vlada je današnji seji sprejela </w:t>
      </w:r>
      <w:r w:rsidR="00E252B3" w:rsidRPr="001826D6">
        <w:rPr>
          <w:rFonts w:cs="Arial"/>
          <w:szCs w:val="20"/>
        </w:rPr>
        <w:t>S</w:t>
      </w:r>
      <w:r w:rsidRPr="001826D6">
        <w:rPr>
          <w:rFonts w:cs="Arial"/>
          <w:szCs w:val="20"/>
        </w:rPr>
        <w:t xml:space="preserve">klep o ustanovitvi </w:t>
      </w:r>
      <w:r w:rsidR="00E252B3" w:rsidRPr="001826D6">
        <w:rPr>
          <w:rFonts w:cs="Arial"/>
          <w:szCs w:val="20"/>
        </w:rPr>
        <w:t xml:space="preserve">in imenovanju članov </w:t>
      </w:r>
      <w:r w:rsidRPr="001826D6">
        <w:rPr>
          <w:rFonts w:cs="Arial"/>
          <w:szCs w:val="20"/>
        </w:rPr>
        <w:t xml:space="preserve">Strateškega sveta za gospodarstvo. Sklep sledi zavezi iz koalicijske pogodbe, namen vladnega strateškega sveta za gospodarstvo pa je vladi zagotoviti neodvisen, strokoven in dolgoročno usmerjen posvetovalni organ, ki pomaga pri oblikovanju gospodarskih politik. Svet združuje ugledne predstavnike gospodarstva, akademske sfere in druge strokovnjake, da vladi posreduje predloge, analize in priporočila za izboljšanje konkurenčnosti, produktivnosti, investicijskega okolja ter trajnostnega gospodarskega razvoja. </w:t>
      </w:r>
    </w:p>
    <w:p w14:paraId="689F738C" w14:textId="017B7E79" w:rsidR="00F9645E" w:rsidRPr="001826D6" w:rsidRDefault="009D0825" w:rsidP="009D0825">
      <w:pPr>
        <w:pStyle w:val="Vir"/>
        <w:jc w:val="both"/>
        <w:rPr>
          <w:rFonts w:cs="Arial"/>
          <w:szCs w:val="20"/>
        </w:rPr>
      </w:pPr>
      <w:r w:rsidRPr="001826D6">
        <w:rPr>
          <w:rFonts w:cs="Arial"/>
          <w:szCs w:val="20"/>
        </w:rPr>
        <w:t>V strateški svet se imenujejo: Marko Lotrič (predsednik), Igor Akrapovič, Jernej Bortolato, dr. Marko Bitenc, Blaž Brodnjak, dr. Leon Cizelj, Blaž Cvar, mag. Matjaž Čemažar, Ana Čermelj, dr. Polona Domadenik Muren, Marko Drobnič, Damir Jelenko, Izidor Krivec, dr. Jure Knez, mag. Mariča Lah, dr. Matej Lahovnik, Medeja Lončar, Gregor Makuc, mag. Aleksander Mervar, Dušan Olaj, dr. Mark Pleško, dr. Jože Podgoršek, Igor Pristavec, mag. Ivan Simič, Sabina Sobočan, Tibor Šimonka, Jernej Tovšak, Jernej Zupančič in Aleš Živkovič.</w:t>
      </w:r>
    </w:p>
    <w:p w14:paraId="034950B1" w14:textId="6CE8BEEB" w:rsidR="009D0825" w:rsidRPr="009D0825" w:rsidRDefault="009D0825" w:rsidP="009D0825">
      <w:pPr>
        <w:pStyle w:val="Vir"/>
      </w:pPr>
      <w:r>
        <w:t>Vir:</w:t>
      </w:r>
      <w:r w:rsidRPr="009D0825">
        <w:t xml:space="preserve"> Kabinet predsednika vlade</w:t>
      </w:r>
    </w:p>
    <w:sectPr w:rsidR="009D0825" w:rsidRPr="009D0825"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F7EF" w14:textId="77777777" w:rsidR="001C6CA9" w:rsidRPr="00087AAB" w:rsidRDefault="001C6CA9" w:rsidP="00750D01">
      <w:pPr>
        <w:spacing w:line="240" w:lineRule="auto"/>
      </w:pPr>
      <w:r w:rsidRPr="00087AAB">
        <w:separator/>
      </w:r>
    </w:p>
  </w:endnote>
  <w:endnote w:type="continuationSeparator" w:id="0">
    <w:p w14:paraId="798A6B6E" w14:textId="77777777" w:rsidR="001C6CA9" w:rsidRPr="00087AAB" w:rsidRDefault="001C6CA9" w:rsidP="00750D01">
      <w:pPr>
        <w:spacing w:line="240" w:lineRule="auto"/>
      </w:pPr>
      <w:r w:rsidRPr="00087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EE40" w14:textId="77777777" w:rsidR="001C6CA9" w:rsidRPr="00087AAB" w:rsidRDefault="001C6CA9" w:rsidP="00750D01">
      <w:pPr>
        <w:spacing w:line="240" w:lineRule="auto"/>
      </w:pPr>
      <w:r w:rsidRPr="00087AAB">
        <w:separator/>
      </w:r>
    </w:p>
  </w:footnote>
  <w:footnote w:type="continuationSeparator" w:id="0">
    <w:p w14:paraId="111405A5" w14:textId="77777777" w:rsidR="001C6CA9" w:rsidRPr="00087AAB" w:rsidRDefault="001C6CA9" w:rsidP="00750D01">
      <w:pPr>
        <w:spacing w:line="240" w:lineRule="auto"/>
      </w:pPr>
      <w:r w:rsidRPr="00087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087AAB"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Pr="00087AAB" w:rsidRDefault="00F01966">
    <w:pPr>
      <w:pStyle w:val="Glava"/>
    </w:pPr>
    <w:r w:rsidRPr="00087AAB">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3F0CC5"/>
    <w:multiLevelType w:val="multilevel"/>
    <w:tmpl w:val="08005BB8"/>
    <w:lvl w:ilvl="0">
      <w:start w:val="1"/>
      <w:numFmt w:val="decimal"/>
      <w:lvlText w:val="%1."/>
      <w:lvlJc w:val="left"/>
      <w:pPr>
        <w:ind w:left="390" w:hanging="390"/>
      </w:pPr>
      <w:rPr>
        <w:rFonts w:hint="default"/>
      </w:rPr>
    </w:lvl>
    <w:lvl w:ilvl="1">
      <w:start w:val="1"/>
      <w:numFmt w:val="decimal"/>
      <w:lvlText w:val="%1.%2."/>
      <w:lvlJc w:val="left"/>
      <w:pPr>
        <w:ind w:left="495" w:hanging="39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0"/>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1"/>
  </w:num>
  <w:num w:numId="7" w16cid:durableId="695153758">
    <w:abstractNumId w:val="3"/>
  </w:num>
  <w:num w:numId="8" w16cid:durableId="853298866">
    <w:abstractNumId w:val="5"/>
  </w:num>
  <w:num w:numId="9" w16cid:durableId="1789348953">
    <w:abstractNumId w:val="1"/>
  </w:num>
  <w:num w:numId="10" w16cid:durableId="1415012333">
    <w:abstractNumId w:val="8"/>
  </w:num>
  <w:num w:numId="11" w16cid:durableId="886650520">
    <w:abstractNumId w:val="4"/>
  </w:num>
  <w:num w:numId="12" w16cid:durableId="47269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75DC"/>
    <w:rsid w:val="000318E4"/>
    <w:rsid w:val="00050A56"/>
    <w:rsid w:val="000610D5"/>
    <w:rsid w:val="00076DF7"/>
    <w:rsid w:val="00085D04"/>
    <w:rsid w:val="00087069"/>
    <w:rsid w:val="00087A14"/>
    <w:rsid w:val="00087AAB"/>
    <w:rsid w:val="000928C7"/>
    <w:rsid w:val="00097B85"/>
    <w:rsid w:val="000B1D39"/>
    <w:rsid w:val="000C5413"/>
    <w:rsid w:val="000D5520"/>
    <w:rsid w:val="000E0657"/>
    <w:rsid w:val="00110932"/>
    <w:rsid w:val="00110B8F"/>
    <w:rsid w:val="00111A16"/>
    <w:rsid w:val="00113F85"/>
    <w:rsid w:val="0012724F"/>
    <w:rsid w:val="0013016C"/>
    <w:rsid w:val="001602C9"/>
    <w:rsid w:val="00161638"/>
    <w:rsid w:val="0016530C"/>
    <w:rsid w:val="001673A5"/>
    <w:rsid w:val="00173343"/>
    <w:rsid w:val="001826D6"/>
    <w:rsid w:val="001B01DD"/>
    <w:rsid w:val="001B42F9"/>
    <w:rsid w:val="001C3560"/>
    <w:rsid w:val="001C5F19"/>
    <w:rsid w:val="001C6CA9"/>
    <w:rsid w:val="001D4277"/>
    <w:rsid w:val="001D69D6"/>
    <w:rsid w:val="001F51BC"/>
    <w:rsid w:val="001F7F63"/>
    <w:rsid w:val="00203CAB"/>
    <w:rsid w:val="00203F5F"/>
    <w:rsid w:val="00215140"/>
    <w:rsid w:val="00220CDD"/>
    <w:rsid w:val="0022511A"/>
    <w:rsid w:val="00231021"/>
    <w:rsid w:val="00236C0A"/>
    <w:rsid w:val="002501CE"/>
    <w:rsid w:val="002856E5"/>
    <w:rsid w:val="002C0766"/>
    <w:rsid w:val="002C36A6"/>
    <w:rsid w:val="002D5B5D"/>
    <w:rsid w:val="002E3F96"/>
    <w:rsid w:val="002F3BE7"/>
    <w:rsid w:val="00302938"/>
    <w:rsid w:val="003062F8"/>
    <w:rsid w:val="0032428F"/>
    <w:rsid w:val="0033519E"/>
    <w:rsid w:val="00346E22"/>
    <w:rsid w:val="00351E1E"/>
    <w:rsid w:val="00357DC0"/>
    <w:rsid w:val="00361255"/>
    <w:rsid w:val="00363A41"/>
    <w:rsid w:val="00381018"/>
    <w:rsid w:val="003847C8"/>
    <w:rsid w:val="003877EB"/>
    <w:rsid w:val="00390DF7"/>
    <w:rsid w:val="0039662C"/>
    <w:rsid w:val="003A3742"/>
    <w:rsid w:val="003C158B"/>
    <w:rsid w:val="003D64D8"/>
    <w:rsid w:val="003E17B6"/>
    <w:rsid w:val="003E1B89"/>
    <w:rsid w:val="003E6170"/>
    <w:rsid w:val="003F4CC5"/>
    <w:rsid w:val="003F5977"/>
    <w:rsid w:val="00415527"/>
    <w:rsid w:val="00431C65"/>
    <w:rsid w:val="00432937"/>
    <w:rsid w:val="00435CF5"/>
    <w:rsid w:val="004403EC"/>
    <w:rsid w:val="00447B57"/>
    <w:rsid w:val="00453ED1"/>
    <w:rsid w:val="0045565C"/>
    <w:rsid w:val="00455B63"/>
    <w:rsid w:val="00460370"/>
    <w:rsid w:val="00465AB5"/>
    <w:rsid w:val="00472762"/>
    <w:rsid w:val="004A00A8"/>
    <w:rsid w:val="004A7BFC"/>
    <w:rsid w:val="004A7CAD"/>
    <w:rsid w:val="004B4753"/>
    <w:rsid w:val="004B7346"/>
    <w:rsid w:val="004C3F67"/>
    <w:rsid w:val="004C721D"/>
    <w:rsid w:val="00514121"/>
    <w:rsid w:val="00514FF8"/>
    <w:rsid w:val="00522637"/>
    <w:rsid w:val="00527867"/>
    <w:rsid w:val="00527AA5"/>
    <w:rsid w:val="005314D7"/>
    <w:rsid w:val="00544398"/>
    <w:rsid w:val="005458D4"/>
    <w:rsid w:val="005515BD"/>
    <w:rsid w:val="0056762E"/>
    <w:rsid w:val="005740C1"/>
    <w:rsid w:val="0058078C"/>
    <w:rsid w:val="00587BA7"/>
    <w:rsid w:val="0059143B"/>
    <w:rsid w:val="005A570D"/>
    <w:rsid w:val="005B5886"/>
    <w:rsid w:val="005C1523"/>
    <w:rsid w:val="005C2B91"/>
    <w:rsid w:val="005C6003"/>
    <w:rsid w:val="005C7596"/>
    <w:rsid w:val="005E1ABB"/>
    <w:rsid w:val="0061474A"/>
    <w:rsid w:val="00614FFD"/>
    <w:rsid w:val="00626A98"/>
    <w:rsid w:val="006274BB"/>
    <w:rsid w:val="00634EFA"/>
    <w:rsid w:val="00635D43"/>
    <w:rsid w:val="006367B9"/>
    <w:rsid w:val="0064180E"/>
    <w:rsid w:val="0066249C"/>
    <w:rsid w:val="0067375D"/>
    <w:rsid w:val="00676F03"/>
    <w:rsid w:val="006906AF"/>
    <w:rsid w:val="00693BA3"/>
    <w:rsid w:val="006B3F12"/>
    <w:rsid w:val="006B4F93"/>
    <w:rsid w:val="006C1B31"/>
    <w:rsid w:val="006C2BCF"/>
    <w:rsid w:val="006F29FA"/>
    <w:rsid w:val="0070215C"/>
    <w:rsid w:val="0070324C"/>
    <w:rsid w:val="0071171B"/>
    <w:rsid w:val="007120FD"/>
    <w:rsid w:val="007130E1"/>
    <w:rsid w:val="00716545"/>
    <w:rsid w:val="00717E59"/>
    <w:rsid w:val="007219B5"/>
    <w:rsid w:val="0072537C"/>
    <w:rsid w:val="0073796B"/>
    <w:rsid w:val="007475E3"/>
    <w:rsid w:val="00750D01"/>
    <w:rsid w:val="00751C48"/>
    <w:rsid w:val="0075264D"/>
    <w:rsid w:val="007643A0"/>
    <w:rsid w:val="007669A3"/>
    <w:rsid w:val="00767A18"/>
    <w:rsid w:val="00781345"/>
    <w:rsid w:val="00784E57"/>
    <w:rsid w:val="0079749C"/>
    <w:rsid w:val="007A6460"/>
    <w:rsid w:val="007B0ADD"/>
    <w:rsid w:val="007B515F"/>
    <w:rsid w:val="007C21FB"/>
    <w:rsid w:val="007E198F"/>
    <w:rsid w:val="007F5D6B"/>
    <w:rsid w:val="007F6EE3"/>
    <w:rsid w:val="007F6EF7"/>
    <w:rsid w:val="00801A29"/>
    <w:rsid w:val="0080252C"/>
    <w:rsid w:val="008220A3"/>
    <w:rsid w:val="008244C0"/>
    <w:rsid w:val="008336E7"/>
    <w:rsid w:val="00836E94"/>
    <w:rsid w:val="00844BB8"/>
    <w:rsid w:val="00847AD3"/>
    <w:rsid w:val="00851FE1"/>
    <w:rsid w:val="008522C0"/>
    <w:rsid w:val="008624E8"/>
    <w:rsid w:val="0088720B"/>
    <w:rsid w:val="008A16D8"/>
    <w:rsid w:val="008A315D"/>
    <w:rsid w:val="008B3AF0"/>
    <w:rsid w:val="008B6738"/>
    <w:rsid w:val="008B7AF2"/>
    <w:rsid w:val="008C0D30"/>
    <w:rsid w:val="008C4231"/>
    <w:rsid w:val="008C4BFB"/>
    <w:rsid w:val="008D49BD"/>
    <w:rsid w:val="00905C96"/>
    <w:rsid w:val="009174DA"/>
    <w:rsid w:val="00933061"/>
    <w:rsid w:val="00933087"/>
    <w:rsid w:val="00945B27"/>
    <w:rsid w:val="009528E4"/>
    <w:rsid w:val="009540E4"/>
    <w:rsid w:val="00955926"/>
    <w:rsid w:val="00963D99"/>
    <w:rsid w:val="00974186"/>
    <w:rsid w:val="00983241"/>
    <w:rsid w:val="009900DE"/>
    <w:rsid w:val="009A41AA"/>
    <w:rsid w:val="009B3707"/>
    <w:rsid w:val="009C2C98"/>
    <w:rsid w:val="009C2D77"/>
    <w:rsid w:val="009C562E"/>
    <w:rsid w:val="009D0825"/>
    <w:rsid w:val="009D10D1"/>
    <w:rsid w:val="009F37F4"/>
    <w:rsid w:val="009F4DB0"/>
    <w:rsid w:val="00A06971"/>
    <w:rsid w:val="00A30052"/>
    <w:rsid w:val="00A34FC4"/>
    <w:rsid w:val="00A445DF"/>
    <w:rsid w:val="00A448FF"/>
    <w:rsid w:val="00A521C4"/>
    <w:rsid w:val="00A5415F"/>
    <w:rsid w:val="00A60A37"/>
    <w:rsid w:val="00A60FBF"/>
    <w:rsid w:val="00A67305"/>
    <w:rsid w:val="00A726C3"/>
    <w:rsid w:val="00A7406B"/>
    <w:rsid w:val="00A7412B"/>
    <w:rsid w:val="00AB1DC2"/>
    <w:rsid w:val="00AB5FD5"/>
    <w:rsid w:val="00AD1AFD"/>
    <w:rsid w:val="00AE6CD6"/>
    <w:rsid w:val="00AF2612"/>
    <w:rsid w:val="00AF5FC8"/>
    <w:rsid w:val="00B022E5"/>
    <w:rsid w:val="00B06EAB"/>
    <w:rsid w:val="00B3703D"/>
    <w:rsid w:val="00B43836"/>
    <w:rsid w:val="00B45F11"/>
    <w:rsid w:val="00B47F61"/>
    <w:rsid w:val="00B53301"/>
    <w:rsid w:val="00B53594"/>
    <w:rsid w:val="00B602CF"/>
    <w:rsid w:val="00B60F58"/>
    <w:rsid w:val="00B63AA6"/>
    <w:rsid w:val="00B70F5B"/>
    <w:rsid w:val="00B753A8"/>
    <w:rsid w:val="00B84862"/>
    <w:rsid w:val="00B903E5"/>
    <w:rsid w:val="00B94D8D"/>
    <w:rsid w:val="00BA743D"/>
    <w:rsid w:val="00BB1111"/>
    <w:rsid w:val="00BB4431"/>
    <w:rsid w:val="00BB73C0"/>
    <w:rsid w:val="00BC0E4D"/>
    <w:rsid w:val="00BE5C43"/>
    <w:rsid w:val="00C21C53"/>
    <w:rsid w:val="00C3152B"/>
    <w:rsid w:val="00C354D9"/>
    <w:rsid w:val="00C365A8"/>
    <w:rsid w:val="00C43D34"/>
    <w:rsid w:val="00C458C2"/>
    <w:rsid w:val="00C666AC"/>
    <w:rsid w:val="00C97F7B"/>
    <w:rsid w:val="00CA5624"/>
    <w:rsid w:val="00CB7ADA"/>
    <w:rsid w:val="00CC3123"/>
    <w:rsid w:val="00CC3530"/>
    <w:rsid w:val="00CC37B3"/>
    <w:rsid w:val="00CD49CC"/>
    <w:rsid w:val="00CE21D5"/>
    <w:rsid w:val="00CE45D7"/>
    <w:rsid w:val="00CF099E"/>
    <w:rsid w:val="00D10EB4"/>
    <w:rsid w:val="00D14EEC"/>
    <w:rsid w:val="00D22282"/>
    <w:rsid w:val="00D245F7"/>
    <w:rsid w:val="00D42266"/>
    <w:rsid w:val="00D469DC"/>
    <w:rsid w:val="00D60A92"/>
    <w:rsid w:val="00D64FA4"/>
    <w:rsid w:val="00D650E2"/>
    <w:rsid w:val="00D72848"/>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252B3"/>
    <w:rsid w:val="00E3207D"/>
    <w:rsid w:val="00E3507E"/>
    <w:rsid w:val="00E405E4"/>
    <w:rsid w:val="00E6065F"/>
    <w:rsid w:val="00E60875"/>
    <w:rsid w:val="00E65986"/>
    <w:rsid w:val="00E7132A"/>
    <w:rsid w:val="00E835C3"/>
    <w:rsid w:val="00E83E60"/>
    <w:rsid w:val="00E86C78"/>
    <w:rsid w:val="00E948BD"/>
    <w:rsid w:val="00EA1AF3"/>
    <w:rsid w:val="00EC012E"/>
    <w:rsid w:val="00ED2EC7"/>
    <w:rsid w:val="00EE35F8"/>
    <w:rsid w:val="00EE73B2"/>
    <w:rsid w:val="00EF1263"/>
    <w:rsid w:val="00F01966"/>
    <w:rsid w:val="00F03257"/>
    <w:rsid w:val="00F04EDE"/>
    <w:rsid w:val="00F1441C"/>
    <w:rsid w:val="00F20884"/>
    <w:rsid w:val="00F21123"/>
    <w:rsid w:val="00F21419"/>
    <w:rsid w:val="00F21BAD"/>
    <w:rsid w:val="00F23144"/>
    <w:rsid w:val="00F23F2D"/>
    <w:rsid w:val="00F240E9"/>
    <w:rsid w:val="00F30E33"/>
    <w:rsid w:val="00F31222"/>
    <w:rsid w:val="00F4482D"/>
    <w:rsid w:val="00F462C7"/>
    <w:rsid w:val="00F46E72"/>
    <w:rsid w:val="00F92545"/>
    <w:rsid w:val="00F93A56"/>
    <w:rsid w:val="00F9645E"/>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087AAB"/>
    <w:pPr>
      <w:tabs>
        <w:tab w:val="left" w:pos="3402"/>
      </w:tabs>
      <w:suppressAutoHyphens/>
      <w:autoSpaceDN w:val="0"/>
      <w:textAlignment w:val="baseline"/>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DDD5E-BF2A-42E4-BF83-F29C09BA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3338</Words>
  <Characters>19029</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2026-07-07T07:36:00Z</dcterms:created>
  <dcterms:modified xsi:type="dcterms:W3CDTF">2026-07-09T11:08:00Z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