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5F57" w14:textId="17ADCAE4" w:rsidR="00F01966" w:rsidRDefault="00F01966" w:rsidP="0073796B">
      <w:pPr>
        <w:autoSpaceDE w:val="0"/>
        <w:autoSpaceDN w:val="0"/>
        <w:adjustRightInd w:val="0"/>
        <w:spacing w:line="240" w:lineRule="auto"/>
        <w:ind w:left="-1701"/>
        <w:sectPr w:rsidR="00F01966" w:rsidSect="00F01966">
          <w:headerReference w:type="default" r:id="rId11"/>
          <w:headerReference w:type="first" r:id="rId12"/>
          <w:pgSz w:w="11906" w:h="16838"/>
          <w:pgMar w:top="1128" w:right="1701" w:bottom="1134" w:left="1701" w:header="0" w:footer="794" w:gutter="0"/>
          <w:cols w:space="708"/>
          <w:titlePg/>
          <w:docGrid w:linePitch="360"/>
        </w:sectPr>
      </w:pPr>
    </w:p>
    <w:p w14:paraId="09ADF517" w14:textId="22D4F179" w:rsidR="0073796B" w:rsidRPr="009D10D1" w:rsidRDefault="0073796B" w:rsidP="009D10D1">
      <w:pPr>
        <w:pStyle w:val="Naslov"/>
      </w:pPr>
      <w:r w:rsidRPr="009D10D1">
        <w:t>SPOROČILO ZA JAVNOST</w:t>
      </w:r>
    </w:p>
    <w:p w14:paraId="6AD96446" w14:textId="77777777" w:rsidR="00231021" w:rsidRDefault="00231021" w:rsidP="0039662C">
      <w:pPr>
        <w:pStyle w:val="Naslov1"/>
      </w:pPr>
    </w:p>
    <w:p w14:paraId="71A02687" w14:textId="4FA8DC4B" w:rsidR="0073796B" w:rsidRPr="0039662C" w:rsidRDefault="006A51B4" w:rsidP="0039662C">
      <w:pPr>
        <w:pStyle w:val="Naslov1"/>
      </w:pPr>
      <w:r>
        <w:t>4</w:t>
      </w:r>
      <w:r w:rsidR="0073796B" w:rsidRPr="0039662C">
        <w:t xml:space="preserve">. </w:t>
      </w:r>
      <w:r w:rsidR="00D74A82">
        <w:t>red</w:t>
      </w:r>
      <w:r w:rsidR="00F03257">
        <w:t xml:space="preserve">na </w:t>
      </w:r>
      <w:r w:rsidR="0073796B" w:rsidRPr="0039662C">
        <w:t>seja Vlade Republike Slovenije</w:t>
      </w:r>
    </w:p>
    <w:p w14:paraId="27F30B92" w14:textId="0541B5B4" w:rsidR="0073796B" w:rsidRDefault="006A51B4" w:rsidP="008B7AF2">
      <w:pPr>
        <w:pStyle w:val="DatumSZJ"/>
      </w:pPr>
      <w:r>
        <w:t>23</w:t>
      </w:r>
      <w:r w:rsidR="002856E5">
        <w:t>.</w:t>
      </w:r>
      <w:r w:rsidR="008220A3">
        <w:t xml:space="preserve"> </w:t>
      </w:r>
      <w:r w:rsidR="004B7ED1">
        <w:t>junij</w:t>
      </w:r>
      <w:r w:rsidR="00B94D8D">
        <w:t xml:space="preserve"> </w:t>
      </w:r>
      <w:r w:rsidR="0073796B" w:rsidRPr="008B7AF2">
        <w:t>202</w:t>
      </w:r>
      <w:r w:rsidR="00F03257">
        <w:t>6</w:t>
      </w:r>
    </w:p>
    <w:p w14:paraId="0E8AB9C5" w14:textId="7740D773" w:rsidR="00640B98" w:rsidRDefault="00640B98" w:rsidP="00771D15">
      <w:pPr>
        <w:pStyle w:val="Naslov2"/>
      </w:pPr>
      <w:r>
        <w:t>Vlada se je seznanila z izvajanjem Načrta za okrevanje in odpornost</w:t>
      </w:r>
    </w:p>
    <w:p w14:paraId="48420333" w14:textId="77777777" w:rsidR="00640B98" w:rsidRDefault="00640B98" w:rsidP="00640B98">
      <w:pPr>
        <w:jc w:val="both"/>
        <w:rPr>
          <w:rFonts w:cs="Arial"/>
          <w:szCs w:val="20"/>
        </w:rPr>
      </w:pPr>
      <w:r w:rsidRPr="00CA69C4">
        <w:rPr>
          <w:rFonts w:cs="Arial"/>
          <w:szCs w:val="20"/>
        </w:rPr>
        <w:t>Vlada se je danes seznanila z Informacijo o izvajanju Načrta za okrevanje in odpornost (NOO).</w:t>
      </w:r>
    </w:p>
    <w:p w14:paraId="3144FB7B" w14:textId="77777777" w:rsidR="00CD04B8" w:rsidRDefault="00CD04B8" w:rsidP="00640B98">
      <w:pPr>
        <w:jc w:val="both"/>
        <w:rPr>
          <w:rFonts w:cs="Arial"/>
          <w:szCs w:val="20"/>
        </w:rPr>
      </w:pPr>
    </w:p>
    <w:p w14:paraId="47265599" w14:textId="21295122" w:rsidR="00CD04B8" w:rsidRDefault="00CD04B8" w:rsidP="00640B98">
      <w:pPr>
        <w:jc w:val="both"/>
        <w:rPr>
          <w:rFonts w:cs="Arial"/>
          <w:szCs w:val="20"/>
        </w:rPr>
      </w:pPr>
      <w:r>
        <w:rPr>
          <w:rFonts w:cs="Arial"/>
          <w:szCs w:val="20"/>
        </w:rPr>
        <w:t xml:space="preserve">Vlada z </w:t>
      </w:r>
      <w:r w:rsidRPr="00CD04B8">
        <w:rPr>
          <w:rFonts w:cs="Arial"/>
          <w:szCs w:val="20"/>
        </w:rPr>
        <w:t xml:space="preserve">zaskrbljenostjo </w:t>
      </w:r>
      <w:r>
        <w:rPr>
          <w:rFonts w:cs="Arial"/>
          <w:szCs w:val="20"/>
        </w:rPr>
        <w:t>ugotavlja,</w:t>
      </w:r>
      <w:r w:rsidRPr="00CD04B8">
        <w:rPr>
          <w:rFonts w:cs="Arial"/>
          <w:szCs w:val="20"/>
        </w:rPr>
        <w:t xml:space="preserve"> da se zna pri zaključnih projektih iz tega naslova zaplesti zaradi zamud pri njihovem operativnem izvajanju. Vlada je zato vsem deležnikom naložila, naj pospešijo zaključevanje projektov in nadoknadijo zamujeno.</w:t>
      </w:r>
    </w:p>
    <w:p w14:paraId="5BC23165" w14:textId="77777777" w:rsidR="00CD04B8" w:rsidRPr="00CA0721" w:rsidRDefault="00CD04B8" w:rsidP="00640B98">
      <w:pPr>
        <w:jc w:val="both"/>
        <w:rPr>
          <w:rFonts w:cs="Arial"/>
          <w:b/>
          <w:bCs/>
          <w:szCs w:val="20"/>
        </w:rPr>
      </w:pPr>
    </w:p>
    <w:p w14:paraId="649EB3CC" w14:textId="07C8F107" w:rsidR="00640B98" w:rsidRDefault="00640B98" w:rsidP="00640B98">
      <w:pPr>
        <w:jc w:val="both"/>
        <w:rPr>
          <w:rFonts w:cs="Arial"/>
          <w:szCs w:val="20"/>
        </w:rPr>
      </w:pPr>
      <w:r w:rsidRPr="009924C2">
        <w:rPr>
          <w:rFonts w:cs="Arial"/>
          <w:szCs w:val="20"/>
        </w:rPr>
        <w:t>E</w:t>
      </w:r>
      <w:r>
        <w:rPr>
          <w:rFonts w:cs="Arial"/>
          <w:szCs w:val="20"/>
        </w:rPr>
        <w:t>vropska komisija (E</w:t>
      </w:r>
      <w:r w:rsidRPr="009924C2">
        <w:rPr>
          <w:rFonts w:cs="Arial"/>
          <w:szCs w:val="20"/>
        </w:rPr>
        <w:t>K</w:t>
      </w:r>
      <w:r>
        <w:rPr>
          <w:rFonts w:cs="Arial"/>
          <w:szCs w:val="20"/>
        </w:rPr>
        <w:t>)</w:t>
      </w:r>
      <w:r w:rsidRPr="009924C2">
        <w:rPr>
          <w:rFonts w:cs="Arial"/>
          <w:szCs w:val="20"/>
        </w:rPr>
        <w:t xml:space="preserve"> je Sloveniji </w:t>
      </w:r>
      <w:r w:rsidR="00CD04B8">
        <w:rPr>
          <w:rFonts w:cs="Arial"/>
          <w:szCs w:val="20"/>
        </w:rPr>
        <w:t xml:space="preserve">sicer </w:t>
      </w:r>
      <w:r w:rsidRPr="009924C2">
        <w:rPr>
          <w:rFonts w:cs="Arial"/>
          <w:szCs w:val="20"/>
        </w:rPr>
        <w:t xml:space="preserve">do zdaj izplačala maksimalni možen znesek </w:t>
      </w:r>
      <w:r w:rsidR="006102DC">
        <w:rPr>
          <w:rFonts w:cs="Arial"/>
          <w:szCs w:val="20"/>
        </w:rPr>
        <w:t xml:space="preserve">prvih </w:t>
      </w:r>
      <w:r w:rsidRPr="009924C2">
        <w:rPr>
          <w:rFonts w:cs="Arial"/>
          <w:szCs w:val="20"/>
        </w:rPr>
        <w:t>petih zahtevkov za plačilo razpoložljivih sredstev N</w:t>
      </w:r>
      <w:r>
        <w:rPr>
          <w:rFonts w:cs="Arial"/>
          <w:szCs w:val="20"/>
        </w:rPr>
        <w:t>ačrta za okrevanje in odpornost (N</w:t>
      </w:r>
      <w:r w:rsidRPr="009924C2">
        <w:rPr>
          <w:rFonts w:cs="Arial"/>
          <w:szCs w:val="20"/>
        </w:rPr>
        <w:t>OO</w:t>
      </w:r>
      <w:r>
        <w:rPr>
          <w:rFonts w:cs="Arial"/>
          <w:szCs w:val="20"/>
        </w:rPr>
        <w:t xml:space="preserve">), </w:t>
      </w:r>
      <w:r w:rsidRPr="00C474EE">
        <w:rPr>
          <w:rFonts w:cs="Arial"/>
          <w:szCs w:val="20"/>
        </w:rPr>
        <w:t>saj je izpolnila vse z njimi povezane mejnike</w:t>
      </w:r>
      <w:r>
        <w:rPr>
          <w:rFonts w:cs="Arial"/>
          <w:szCs w:val="20"/>
        </w:rPr>
        <w:t xml:space="preserve"> in </w:t>
      </w:r>
      <w:r w:rsidRPr="00C474EE">
        <w:rPr>
          <w:rFonts w:cs="Arial"/>
          <w:szCs w:val="20"/>
        </w:rPr>
        <w:t>cilje.</w:t>
      </w:r>
      <w:r>
        <w:rPr>
          <w:rFonts w:cs="Arial"/>
          <w:szCs w:val="20"/>
        </w:rPr>
        <w:t xml:space="preserve"> N</w:t>
      </w:r>
      <w:r w:rsidRPr="009924C2">
        <w:rPr>
          <w:rFonts w:cs="Arial"/>
          <w:szCs w:val="20"/>
        </w:rPr>
        <w:t>edavno je</w:t>
      </w:r>
      <w:r>
        <w:rPr>
          <w:rFonts w:cs="Arial"/>
          <w:szCs w:val="20"/>
        </w:rPr>
        <w:t xml:space="preserve"> EK </w:t>
      </w:r>
      <w:hyperlink r:id="rId13" w:history="1">
        <w:r w:rsidRPr="009924C2">
          <w:rPr>
            <w:rStyle w:val="Hiperpovezava"/>
            <w:rFonts w:cs="Arial"/>
            <w:szCs w:val="20"/>
          </w:rPr>
          <w:t xml:space="preserve">prižgala </w:t>
        </w:r>
        <w:r>
          <w:rPr>
            <w:rStyle w:val="Hiperpovezava"/>
            <w:rFonts w:cs="Arial"/>
            <w:szCs w:val="20"/>
          </w:rPr>
          <w:t xml:space="preserve">zeleno </w:t>
        </w:r>
        <w:r w:rsidRPr="009924C2">
          <w:rPr>
            <w:rStyle w:val="Hiperpovezava"/>
            <w:rFonts w:cs="Arial"/>
            <w:szCs w:val="20"/>
          </w:rPr>
          <w:t>luč tudi šestemu zahtevku za plačilo</w:t>
        </w:r>
      </w:hyperlink>
      <w:r w:rsidRPr="009924C2">
        <w:rPr>
          <w:rFonts w:cs="Arial"/>
          <w:szCs w:val="20"/>
        </w:rPr>
        <w:t>. Po prejemu sredstev tega zahtevka</w:t>
      </w:r>
      <w:r>
        <w:rPr>
          <w:rFonts w:cs="Arial"/>
          <w:szCs w:val="20"/>
        </w:rPr>
        <w:t xml:space="preserve"> (predvidoma v drugi polovici prihodnjega meseca) </w:t>
      </w:r>
      <w:r w:rsidRPr="009924C2">
        <w:rPr>
          <w:rFonts w:cs="Arial"/>
          <w:szCs w:val="20"/>
        </w:rPr>
        <w:t xml:space="preserve">bo </w:t>
      </w:r>
      <w:r>
        <w:rPr>
          <w:rFonts w:cs="Arial"/>
          <w:szCs w:val="20"/>
        </w:rPr>
        <w:t>država</w:t>
      </w:r>
      <w:r w:rsidRPr="009924C2">
        <w:rPr>
          <w:rFonts w:cs="Arial"/>
          <w:szCs w:val="20"/>
        </w:rPr>
        <w:t xml:space="preserve"> beležila</w:t>
      </w:r>
      <w:r>
        <w:rPr>
          <w:rFonts w:cs="Arial"/>
          <w:szCs w:val="20"/>
        </w:rPr>
        <w:t xml:space="preserve"> </w:t>
      </w:r>
      <w:proofErr w:type="gramStart"/>
      <w:r>
        <w:rPr>
          <w:rFonts w:cs="Arial"/>
          <w:szCs w:val="20"/>
        </w:rPr>
        <w:t>skoraj</w:t>
      </w:r>
      <w:proofErr w:type="gramEnd"/>
      <w:r w:rsidRPr="009924C2">
        <w:rPr>
          <w:rFonts w:cs="Arial"/>
          <w:szCs w:val="20"/>
        </w:rPr>
        <w:t xml:space="preserve"> 8</w:t>
      </w:r>
      <w:r>
        <w:rPr>
          <w:rFonts w:cs="Arial"/>
          <w:szCs w:val="20"/>
        </w:rPr>
        <w:t>7</w:t>
      </w:r>
      <w:r w:rsidRPr="009924C2">
        <w:rPr>
          <w:rFonts w:cs="Arial"/>
          <w:szCs w:val="20"/>
        </w:rPr>
        <w:t xml:space="preserve">-odstotni priliv razpoložljivih </w:t>
      </w:r>
      <w:r>
        <w:rPr>
          <w:rFonts w:cs="Arial"/>
          <w:szCs w:val="20"/>
        </w:rPr>
        <w:t xml:space="preserve">evropskih </w:t>
      </w:r>
      <w:r w:rsidRPr="009924C2">
        <w:rPr>
          <w:rFonts w:cs="Arial"/>
          <w:szCs w:val="20"/>
        </w:rPr>
        <w:t xml:space="preserve">sredstev Mehanizma </w:t>
      </w:r>
      <w:r>
        <w:rPr>
          <w:rFonts w:cs="Arial"/>
          <w:szCs w:val="20"/>
        </w:rPr>
        <w:t xml:space="preserve">za okrevanje in odpornost (Mehanizem) </w:t>
      </w:r>
      <w:r w:rsidRPr="009924C2">
        <w:rPr>
          <w:rFonts w:cs="Arial"/>
          <w:szCs w:val="20"/>
        </w:rPr>
        <w:t xml:space="preserve">oziroma 1,81 milijarde </w:t>
      </w:r>
      <w:r>
        <w:rPr>
          <w:rFonts w:cs="Arial"/>
          <w:szCs w:val="20"/>
        </w:rPr>
        <w:t>evrov</w:t>
      </w:r>
      <w:r w:rsidRPr="009924C2">
        <w:rPr>
          <w:rFonts w:cs="Arial"/>
          <w:szCs w:val="20"/>
        </w:rPr>
        <w:t>, od tega 1,34 milijarde</w:t>
      </w:r>
      <w:r w:rsidR="006102DC">
        <w:rPr>
          <w:rFonts w:cs="Arial"/>
          <w:szCs w:val="20"/>
        </w:rPr>
        <w:t xml:space="preserve"> evrov</w:t>
      </w:r>
      <w:r w:rsidRPr="009924C2">
        <w:rPr>
          <w:rFonts w:cs="Arial"/>
          <w:szCs w:val="20"/>
        </w:rPr>
        <w:t xml:space="preserve"> nepovratnih sredstev in 0,47 milijarde </w:t>
      </w:r>
      <w:r>
        <w:rPr>
          <w:rFonts w:cs="Arial"/>
          <w:szCs w:val="20"/>
        </w:rPr>
        <w:t>evrov</w:t>
      </w:r>
      <w:r w:rsidRPr="009924C2">
        <w:rPr>
          <w:rFonts w:cs="Arial"/>
          <w:szCs w:val="20"/>
        </w:rPr>
        <w:t xml:space="preserve"> posojil.</w:t>
      </w:r>
    </w:p>
    <w:p w14:paraId="28B056DE" w14:textId="77777777" w:rsidR="00640B98" w:rsidRDefault="00640B98" w:rsidP="00640B98">
      <w:pPr>
        <w:jc w:val="both"/>
        <w:rPr>
          <w:rFonts w:cs="Arial"/>
          <w:szCs w:val="20"/>
        </w:rPr>
      </w:pPr>
    </w:p>
    <w:tbl>
      <w:tblPr>
        <w:tblW w:w="9052" w:type="dxa"/>
        <w:tblCellMar>
          <w:left w:w="0" w:type="dxa"/>
          <w:right w:w="0" w:type="dxa"/>
        </w:tblCellMar>
        <w:tblLook w:val="0420" w:firstRow="1" w:lastRow="0" w:firstColumn="0" w:lastColumn="0" w:noHBand="0" w:noVBand="1"/>
      </w:tblPr>
      <w:tblGrid>
        <w:gridCol w:w="1833"/>
        <w:gridCol w:w="1701"/>
        <w:gridCol w:w="1701"/>
        <w:gridCol w:w="992"/>
        <w:gridCol w:w="1843"/>
        <w:gridCol w:w="982"/>
      </w:tblGrid>
      <w:tr w:rsidR="00640B98" w:rsidRPr="004C7F6C" w14:paraId="162017F8" w14:textId="77777777" w:rsidTr="00111630">
        <w:trPr>
          <w:trHeight w:val="844"/>
        </w:trPr>
        <w:tc>
          <w:tcPr>
            <w:tcW w:w="1833" w:type="dxa"/>
            <w:tcBorders>
              <w:top w:val="single" w:sz="8" w:space="0" w:color="000000"/>
              <w:left w:val="single" w:sz="8" w:space="0" w:color="000000"/>
              <w:bottom w:val="single" w:sz="8" w:space="0" w:color="000000"/>
              <w:right w:val="single" w:sz="8" w:space="0" w:color="000000"/>
            </w:tcBorders>
            <w:shd w:val="clear" w:color="auto" w:fill="E1F0CF"/>
            <w:tcMar>
              <w:top w:w="72" w:type="dxa"/>
              <w:left w:w="144" w:type="dxa"/>
              <w:bottom w:w="72" w:type="dxa"/>
              <w:right w:w="144" w:type="dxa"/>
            </w:tcMar>
            <w:hideMark/>
          </w:tcPr>
          <w:p w14:paraId="05F494C3" w14:textId="77777777" w:rsidR="00640B98" w:rsidRPr="004C7F6C" w:rsidRDefault="00640B98" w:rsidP="00111630">
            <w:pPr>
              <w:rPr>
                <w:rFonts w:cs="Arial"/>
                <w:szCs w:val="20"/>
              </w:rPr>
            </w:pPr>
            <w:r w:rsidRPr="004C7F6C">
              <w:rPr>
                <w:rFonts w:cs="Arial"/>
                <w:b/>
                <w:bCs/>
                <w:szCs w:val="20"/>
              </w:rPr>
              <w:t>MEHANIZEM ZA OKREVANJE IN ODPORNOST</w:t>
            </w:r>
          </w:p>
        </w:tc>
        <w:tc>
          <w:tcPr>
            <w:tcW w:w="1701" w:type="dxa"/>
            <w:tcBorders>
              <w:top w:val="single" w:sz="8" w:space="0" w:color="000000"/>
              <w:left w:val="single" w:sz="8" w:space="0" w:color="000000"/>
              <w:bottom w:val="single" w:sz="8" w:space="0" w:color="000000"/>
              <w:right w:val="single" w:sz="8" w:space="0" w:color="000000"/>
            </w:tcBorders>
            <w:shd w:val="clear" w:color="auto" w:fill="E1F0CF"/>
            <w:tcMar>
              <w:top w:w="72" w:type="dxa"/>
              <w:left w:w="144" w:type="dxa"/>
              <w:bottom w:w="72" w:type="dxa"/>
              <w:right w:w="144" w:type="dxa"/>
            </w:tcMar>
            <w:hideMark/>
          </w:tcPr>
          <w:p w14:paraId="12FB9F9C" w14:textId="77777777" w:rsidR="00640B98" w:rsidRPr="004C7F6C" w:rsidRDefault="00640B98" w:rsidP="00111630">
            <w:pPr>
              <w:jc w:val="center"/>
              <w:rPr>
                <w:rFonts w:cs="Arial"/>
                <w:szCs w:val="20"/>
              </w:rPr>
            </w:pPr>
            <w:r w:rsidRPr="004C7F6C">
              <w:rPr>
                <w:rFonts w:cs="Arial"/>
                <w:b/>
                <w:bCs/>
                <w:szCs w:val="20"/>
              </w:rPr>
              <w:t>Razpoložljiva sredstva</w:t>
            </w: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E1F0CF"/>
            <w:tcMar>
              <w:top w:w="72" w:type="dxa"/>
              <w:left w:w="144" w:type="dxa"/>
              <w:bottom w:w="72" w:type="dxa"/>
              <w:right w:w="144" w:type="dxa"/>
            </w:tcMar>
            <w:hideMark/>
          </w:tcPr>
          <w:p w14:paraId="5A26E1F0" w14:textId="77777777" w:rsidR="00640B98" w:rsidRPr="004C7F6C" w:rsidRDefault="00640B98" w:rsidP="00111630">
            <w:pPr>
              <w:jc w:val="center"/>
              <w:rPr>
                <w:rFonts w:cs="Arial"/>
                <w:szCs w:val="20"/>
              </w:rPr>
            </w:pPr>
            <w:r>
              <w:rPr>
                <w:rFonts w:cs="Arial"/>
                <w:b/>
                <w:bCs/>
                <w:szCs w:val="20"/>
              </w:rPr>
              <w:t xml:space="preserve">Trenutna </w:t>
            </w:r>
            <w:proofErr w:type="gramStart"/>
            <w:r>
              <w:rPr>
                <w:rFonts w:cs="Arial"/>
                <w:b/>
                <w:bCs/>
                <w:szCs w:val="20"/>
              </w:rPr>
              <w:t>realizacija</w:t>
            </w:r>
            <w:proofErr w:type="gramEnd"/>
            <w:r>
              <w:rPr>
                <w:rFonts w:cs="Arial"/>
                <w:b/>
                <w:bCs/>
                <w:szCs w:val="20"/>
              </w:rPr>
              <w:t xml:space="preserve"> p</w:t>
            </w:r>
            <w:r w:rsidRPr="004C7F6C">
              <w:rPr>
                <w:rFonts w:cs="Arial"/>
                <w:b/>
                <w:bCs/>
                <w:szCs w:val="20"/>
              </w:rPr>
              <w:t>rejet</w:t>
            </w:r>
            <w:r>
              <w:rPr>
                <w:rFonts w:cs="Arial"/>
                <w:b/>
                <w:bCs/>
                <w:szCs w:val="20"/>
              </w:rPr>
              <w:t>ih</w:t>
            </w:r>
            <w:r w:rsidRPr="004C7F6C">
              <w:rPr>
                <w:rFonts w:cs="Arial"/>
                <w:b/>
                <w:bCs/>
                <w:szCs w:val="20"/>
              </w:rPr>
              <w:t xml:space="preserve"> sreds</w:t>
            </w:r>
            <w:r>
              <w:rPr>
                <w:rFonts w:cs="Arial"/>
                <w:b/>
                <w:bCs/>
                <w:szCs w:val="20"/>
              </w:rPr>
              <w:t>tev</w:t>
            </w:r>
          </w:p>
        </w:tc>
        <w:tc>
          <w:tcPr>
            <w:tcW w:w="2825" w:type="dxa"/>
            <w:gridSpan w:val="2"/>
            <w:tcBorders>
              <w:top w:val="single" w:sz="8" w:space="0" w:color="000000"/>
              <w:left w:val="single" w:sz="8" w:space="0" w:color="000000"/>
              <w:bottom w:val="single" w:sz="8" w:space="0" w:color="000000"/>
              <w:right w:val="single" w:sz="8" w:space="0" w:color="000000"/>
            </w:tcBorders>
            <w:shd w:val="clear" w:color="auto" w:fill="E1F0CF"/>
          </w:tcPr>
          <w:p w14:paraId="20B68BDB" w14:textId="77777777" w:rsidR="00640B98" w:rsidRPr="004C7F6C" w:rsidRDefault="00640B98" w:rsidP="00111630">
            <w:pPr>
              <w:jc w:val="center"/>
              <w:rPr>
                <w:rFonts w:cs="Arial"/>
                <w:b/>
                <w:bCs/>
                <w:szCs w:val="20"/>
              </w:rPr>
            </w:pPr>
            <w:r>
              <w:rPr>
                <w:rFonts w:cs="Arial"/>
                <w:b/>
                <w:bCs/>
                <w:szCs w:val="20"/>
              </w:rPr>
              <w:t xml:space="preserve">Projekcija </w:t>
            </w:r>
            <w:proofErr w:type="gramStart"/>
            <w:r>
              <w:rPr>
                <w:rFonts w:cs="Arial"/>
                <w:b/>
                <w:bCs/>
                <w:szCs w:val="20"/>
              </w:rPr>
              <w:t>realizacije</w:t>
            </w:r>
            <w:proofErr w:type="gramEnd"/>
            <w:r>
              <w:rPr>
                <w:rFonts w:cs="Arial"/>
                <w:b/>
                <w:bCs/>
                <w:szCs w:val="20"/>
              </w:rPr>
              <w:t xml:space="preserve"> po prilivu sredstev šestega zahtevka za plačila</w:t>
            </w:r>
          </w:p>
        </w:tc>
      </w:tr>
      <w:tr w:rsidR="00640B98" w:rsidRPr="004C7F6C" w14:paraId="6DDF6094" w14:textId="77777777" w:rsidTr="00111630">
        <w:trPr>
          <w:trHeight w:val="579"/>
        </w:trPr>
        <w:tc>
          <w:tcPr>
            <w:tcW w:w="1833" w:type="dxa"/>
            <w:tcBorders>
              <w:top w:val="single" w:sz="8" w:space="0" w:color="000000"/>
              <w:left w:val="single" w:sz="8" w:space="0" w:color="000000"/>
              <w:bottom w:val="single" w:sz="8" w:space="0" w:color="000000"/>
              <w:right w:val="single" w:sz="8" w:space="0" w:color="000000"/>
            </w:tcBorders>
            <w:shd w:val="clear" w:color="auto" w:fill="DCEBF1"/>
            <w:tcMar>
              <w:top w:w="72" w:type="dxa"/>
              <w:left w:w="144" w:type="dxa"/>
              <w:bottom w:w="72" w:type="dxa"/>
              <w:right w:w="144" w:type="dxa"/>
            </w:tcMar>
            <w:hideMark/>
          </w:tcPr>
          <w:p w14:paraId="68443C8A" w14:textId="77777777" w:rsidR="00640B98" w:rsidRPr="004C7F6C" w:rsidRDefault="00640B98" w:rsidP="00111630">
            <w:pPr>
              <w:jc w:val="both"/>
              <w:rPr>
                <w:rFonts w:cs="Arial"/>
                <w:szCs w:val="20"/>
              </w:rPr>
            </w:pPr>
            <w:r w:rsidRPr="004C7F6C">
              <w:rPr>
                <w:rFonts w:cs="Arial"/>
                <w:szCs w:val="20"/>
              </w:rPr>
              <w:t>Nepovratna sredstva</w:t>
            </w:r>
          </w:p>
        </w:tc>
        <w:tc>
          <w:tcPr>
            <w:tcW w:w="1701" w:type="dxa"/>
            <w:tcBorders>
              <w:top w:val="single" w:sz="8" w:space="0" w:color="000000"/>
              <w:left w:val="single" w:sz="8" w:space="0" w:color="000000"/>
              <w:bottom w:val="single" w:sz="8" w:space="0" w:color="000000"/>
              <w:right w:val="single" w:sz="8" w:space="0" w:color="000000"/>
            </w:tcBorders>
            <w:shd w:val="clear" w:color="auto" w:fill="DCEBF1"/>
            <w:tcMar>
              <w:top w:w="72" w:type="dxa"/>
              <w:left w:w="144" w:type="dxa"/>
              <w:bottom w:w="72" w:type="dxa"/>
              <w:right w:w="144" w:type="dxa"/>
            </w:tcMar>
            <w:hideMark/>
          </w:tcPr>
          <w:p w14:paraId="1CD363DC" w14:textId="36C86C00" w:rsidR="00640B98" w:rsidRPr="004C7F6C" w:rsidRDefault="00640B98" w:rsidP="00111630">
            <w:pPr>
              <w:jc w:val="center"/>
              <w:rPr>
                <w:rFonts w:cs="Arial"/>
                <w:szCs w:val="20"/>
              </w:rPr>
            </w:pPr>
            <w:r w:rsidRPr="004C7F6C">
              <w:rPr>
                <w:rFonts w:cs="Arial"/>
                <w:szCs w:val="20"/>
              </w:rPr>
              <w:t xml:space="preserve">1,61 mrd </w:t>
            </w:r>
            <w:r>
              <w:rPr>
                <w:rFonts w:cs="Arial"/>
                <w:szCs w:val="20"/>
              </w:rPr>
              <w:t>evrov</w:t>
            </w:r>
          </w:p>
        </w:tc>
        <w:tc>
          <w:tcPr>
            <w:tcW w:w="1701" w:type="dxa"/>
            <w:tcBorders>
              <w:top w:val="single" w:sz="8" w:space="0" w:color="000000"/>
              <w:left w:val="single" w:sz="8" w:space="0" w:color="000000"/>
              <w:bottom w:val="single" w:sz="8" w:space="0" w:color="000000"/>
              <w:right w:val="single" w:sz="8" w:space="0" w:color="000000"/>
            </w:tcBorders>
            <w:shd w:val="clear" w:color="auto" w:fill="DCEBF1"/>
            <w:tcMar>
              <w:top w:w="72" w:type="dxa"/>
              <w:left w:w="144" w:type="dxa"/>
              <w:bottom w:w="72" w:type="dxa"/>
              <w:right w:w="144" w:type="dxa"/>
            </w:tcMar>
            <w:hideMark/>
          </w:tcPr>
          <w:p w14:paraId="74AAADB5" w14:textId="20608269" w:rsidR="00640B98" w:rsidRPr="004C7F6C" w:rsidRDefault="00640B98" w:rsidP="00111630">
            <w:pPr>
              <w:jc w:val="center"/>
              <w:rPr>
                <w:rFonts w:cs="Arial"/>
                <w:szCs w:val="20"/>
              </w:rPr>
            </w:pPr>
            <w:r w:rsidRPr="004C7F6C">
              <w:rPr>
                <w:rFonts w:cs="Arial"/>
                <w:szCs w:val="20"/>
              </w:rPr>
              <w:t xml:space="preserve">1,30 mrd </w:t>
            </w:r>
            <w:r>
              <w:rPr>
                <w:rFonts w:cs="Arial"/>
                <w:szCs w:val="20"/>
              </w:rPr>
              <w:t>evrov</w:t>
            </w:r>
          </w:p>
        </w:tc>
        <w:tc>
          <w:tcPr>
            <w:tcW w:w="992" w:type="dxa"/>
            <w:tcBorders>
              <w:top w:val="single" w:sz="8" w:space="0" w:color="000000"/>
              <w:left w:val="single" w:sz="8" w:space="0" w:color="000000"/>
              <w:bottom w:val="single" w:sz="8" w:space="0" w:color="000000"/>
              <w:right w:val="single" w:sz="8" w:space="0" w:color="000000"/>
            </w:tcBorders>
            <w:shd w:val="clear" w:color="auto" w:fill="DCEBF1"/>
            <w:tcMar>
              <w:top w:w="72" w:type="dxa"/>
              <w:left w:w="144" w:type="dxa"/>
              <w:bottom w:w="72" w:type="dxa"/>
              <w:right w:w="144" w:type="dxa"/>
            </w:tcMar>
            <w:hideMark/>
          </w:tcPr>
          <w:p w14:paraId="52D70133" w14:textId="77777777" w:rsidR="00640B98" w:rsidRPr="004C7F6C" w:rsidRDefault="00640B98" w:rsidP="00111630">
            <w:pPr>
              <w:jc w:val="center"/>
              <w:rPr>
                <w:rFonts w:cs="Arial"/>
                <w:szCs w:val="20"/>
              </w:rPr>
            </w:pPr>
            <w:r w:rsidRPr="004C7F6C">
              <w:rPr>
                <w:rFonts w:cs="Arial"/>
                <w:szCs w:val="20"/>
              </w:rPr>
              <w:t>8</w:t>
            </w:r>
            <w:r>
              <w:rPr>
                <w:rFonts w:cs="Arial"/>
                <w:szCs w:val="20"/>
              </w:rPr>
              <w:t>1</w:t>
            </w:r>
            <w:proofErr w:type="gramStart"/>
            <w:r w:rsidRPr="004C7F6C">
              <w:rPr>
                <w:rFonts w:cs="Arial"/>
                <w:szCs w:val="20"/>
              </w:rPr>
              <w:t xml:space="preserve"> %</w:t>
            </w:r>
            <w:proofErr w:type="gramEnd"/>
          </w:p>
        </w:tc>
        <w:tc>
          <w:tcPr>
            <w:tcW w:w="1843" w:type="dxa"/>
            <w:tcBorders>
              <w:top w:val="single" w:sz="8" w:space="0" w:color="000000"/>
              <w:left w:val="single" w:sz="8" w:space="0" w:color="000000"/>
              <w:bottom w:val="single" w:sz="8" w:space="0" w:color="000000"/>
              <w:right w:val="single" w:sz="8" w:space="0" w:color="000000"/>
            </w:tcBorders>
            <w:shd w:val="clear" w:color="auto" w:fill="DCEBF1"/>
          </w:tcPr>
          <w:p w14:paraId="1D55D287" w14:textId="54581388" w:rsidR="00640B98" w:rsidRPr="004C7F6C" w:rsidRDefault="00640B98" w:rsidP="00111630">
            <w:pPr>
              <w:jc w:val="center"/>
              <w:rPr>
                <w:rFonts w:cs="Arial"/>
                <w:szCs w:val="20"/>
              </w:rPr>
            </w:pPr>
            <w:r>
              <w:rPr>
                <w:rFonts w:cs="Arial"/>
                <w:szCs w:val="20"/>
              </w:rPr>
              <w:t xml:space="preserve">1,34 </w:t>
            </w:r>
            <w:r w:rsidRPr="004C7F6C">
              <w:rPr>
                <w:rFonts w:cs="Arial"/>
                <w:szCs w:val="20"/>
              </w:rPr>
              <w:t xml:space="preserve">mrd </w:t>
            </w:r>
            <w:r>
              <w:rPr>
                <w:rFonts w:cs="Arial"/>
                <w:szCs w:val="20"/>
              </w:rPr>
              <w:t>evrov</w:t>
            </w:r>
          </w:p>
        </w:tc>
        <w:tc>
          <w:tcPr>
            <w:tcW w:w="982" w:type="dxa"/>
            <w:tcBorders>
              <w:top w:val="single" w:sz="8" w:space="0" w:color="000000"/>
              <w:left w:val="single" w:sz="8" w:space="0" w:color="000000"/>
              <w:bottom w:val="single" w:sz="8" w:space="0" w:color="000000"/>
              <w:right w:val="single" w:sz="8" w:space="0" w:color="000000"/>
            </w:tcBorders>
            <w:shd w:val="clear" w:color="auto" w:fill="DCEBF1"/>
          </w:tcPr>
          <w:p w14:paraId="007A4616" w14:textId="77777777" w:rsidR="00640B98" w:rsidRPr="004C7F6C" w:rsidRDefault="00640B98" w:rsidP="00111630">
            <w:pPr>
              <w:jc w:val="center"/>
              <w:rPr>
                <w:rFonts w:cs="Arial"/>
                <w:szCs w:val="20"/>
              </w:rPr>
            </w:pPr>
            <w:r>
              <w:rPr>
                <w:rFonts w:cs="Arial"/>
                <w:szCs w:val="20"/>
              </w:rPr>
              <w:t>83</w:t>
            </w:r>
            <w:proofErr w:type="gramStart"/>
            <w:r>
              <w:rPr>
                <w:rFonts w:cs="Arial"/>
                <w:szCs w:val="20"/>
              </w:rPr>
              <w:t xml:space="preserve"> %</w:t>
            </w:r>
            <w:proofErr w:type="gramEnd"/>
          </w:p>
        </w:tc>
      </w:tr>
      <w:tr w:rsidR="00640B98" w:rsidRPr="004C7F6C" w14:paraId="69A0E179" w14:textId="77777777" w:rsidTr="00111630">
        <w:trPr>
          <w:trHeight w:val="568"/>
        </w:trPr>
        <w:tc>
          <w:tcPr>
            <w:tcW w:w="1833" w:type="dxa"/>
            <w:tcBorders>
              <w:top w:val="single" w:sz="8" w:space="0" w:color="000000"/>
              <w:left w:val="single" w:sz="8" w:space="0" w:color="000000"/>
              <w:bottom w:val="single" w:sz="8" w:space="0" w:color="000000"/>
              <w:right w:val="single" w:sz="8" w:space="0" w:color="000000"/>
            </w:tcBorders>
            <w:shd w:val="clear" w:color="auto" w:fill="DCEBF1"/>
            <w:tcMar>
              <w:top w:w="72" w:type="dxa"/>
              <w:left w:w="144" w:type="dxa"/>
              <w:bottom w:w="72" w:type="dxa"/>
              <w:right w:w="144" w:type="dxa"/>
            </w:tcMar>
            <w:hideMark/>
          </w:tcPr>
          <w:p w14:paraId="2D88FC83" w14:textId="77777777" w:rsidR="00640B98" w:rsidRPr="004C7F6C" w:rsidRDefault="00640B98" w:rsidP="00111630">
            <w:pPr>
              <w:jc w:val="both"/>
              <w:rPr>
                <w:rFonts w:cs="Arial"/>
                <w:szCs w:val="20"/>
              </w:rPr>
            </w:pPr>
            <w:r w:rsidRPr="004C7F6C">
              <w:rPr>
                <w:rFonts w:cs="Arial"/>
                <w:szCs w:val="20"/>
              </w:rPr>
              <w:t>Posojila</w:t>
            </w:r>
          </w:p>
        </w:tc>
        <w:tc>
          <w:tcPr>
            <w:tcW w:w="1701" w:type="dxa"/>
            <w:tcBorders>
              <w:top w:val="single" w:sz="8" w:space="0" w:color="000000"/>
              <w:left w:val="single" w:sz="8" w:space="0" w:color="000000"/>
              <w:bottom w:val="single" w:sz="8" w:space="0" w:color="000000"/>
              <w:right w:val="single" w:sz="8" w:space="0" w:color="000000"/>
            </w:tcBorders>
            <w:shd w:val="clear" w:color="auto" w:fill="DCEBF1"/>
            <w:tcMar>
              <w:top w:w="72" w:type="dxa"/>
              <w:left w:w="144" w:type="dxa"/>
              <w:bottom w:w="72" w:type="dxa"/>
              <w:right w:w="144" w:type="dxa"/>
            </w:tcMar>
            <w:hideMark/>
          </w:tcPr>
          <w:p w14:paraId="7B4BFE6F" w14:textId="2E7A1730" w:rsidR="00640B98" w:rsidRPr="004C7F6C" w:rsidRDefault="00640B98" w:rsidP="00111630">
            <w:pPr>
              <w:jc w:val="center"/>
              <w:rPr>
                <w:rFonts w:cs="Arial"/>
                <w:szCs w:val="20"/>
              </w:rPr>
            </w:pPr>
            <w:r w:rsidRPr="004C7F6C">
              <w:rPr>
                <w:rFonts w:cs="Arial"/>
                <w:szCs w:val="20"/>
              </w:rPr>
              <w:t xml:space="preserve">469 </w:t>
            </w:r>
            <w:proofErr w:type="gramStart"/>
            <w:r w:rsidRPr="004C7F6C">
              <w:rPr>
                <w:rFonts w:cs="Arial"/>
                <w:szCs w:val="20"/>
              </w:rPr>
              <w:t>mio</w:t>
            </w:r>
            <w:proofErr w:type="gramEnd"/>
            <w:r w:rsidRPr="004C7F6C">
              <w:rPr>
                <w:rFonts w:cs="Arial"/>
                <w:szCs w:val="20"/>
              </w:rPr>
              <w:t xml:space="preserve"> </w:t>
            </w:r>
            <w:r>
              <w:rPr>
                <w:rFonts w:cs="Arial"/>
                <w:szCs w:val="20"/>
              </w:rPr>
              <w:t>evrov</w:t>
            </w:r>
          </w:p>
        </w:tc>
        <w:tc>
          <w:tcPr>
            <w:tcW w:w="1701" w:type="dxa"/>
            <w:tcBorders>
              <w:top w:val="single" w:sz="8" w:space="0" w:color="000000"/>
              <w:left w:val="single" w:sz="8" w:space="0" w:color="000000"/>
              <w:bottom w:val="single" w:sz="8" w:space="0" w:color="000000"/>
              <w:right w:val="single" w:sz="8" w:space="0" w:color="000000"/>
            </w:tcBorders>
            <w:shd w:val="clear" w:color="auto" w:fill="DCEBF1"/>
            <w:tcMar>
              <w:top w:w="72" w:type="dxa"/>
              <w:left w:w="144" w:type="dxa"/>
              <w:bottom w:w="72" w:type="dxa"/>
              <w:right w:w="144" w:type="dxa"/>
            </w:tcMar>
            <w:hideMark/>
          </w:tcPr>
          <w:p w14:paraId="2D6CE827" w14:textId="3B558F39" w:rsidR="00640B98" w:rsidRPr="004C7F6C" w:rsidRDefault="00640B98" w:rsidP="00111630">
            <w:pPr>
              <w:jc w:val="center"/>
              <w:rPr>
                <w:rFonts w:cs="Arial"/>
                <w:szCs w:val="20"/>
              </w:rPr>
            </w:pPr>
            <w:r w:rsidRPr="004C7F6C">
              <w:rPr>
                <w:rFonts w:cs="Arial"/>
                <w:szCs w:val="20"/>
              </w:rPr>
              <w:t xml:space="preserve">466 </w:t>
            </w:r>
            <w:proofErr w:type="gramStart"/>
            <w:r w:rsidRPr="004C7F6C">
              <w:rPr>
                <w:rFonts w:cs="Arial"/>
                <w:szCs w:val="20"/>
              </w:rPr>
              <w:t>mio</w:t>
            </w:r>
            <w:proofErr w:type="gramEnd"/>
            <w:r w:rsidRPr="004C7F6C">
              <w:rPr>
                <w:rFonts w:cs="Arial"/>
                <w:szCs w:val="20"/>
              </w:rPr>
              <w:t xml:space="preserve"> </w:t>
            </w:r>
            <w:r>
              <w:rPr>
                <w:rFonts w:cs="Arial"/>
                <w:szCs w:val="20"/>
              </w:rPr>
              <w:t>evrov</w:t>
            </w:r>
          </w:p>
        </w:tc>
        <w:tc>
          <w:tcPr>
            <w:tcW w:w="992" w:type="dxa"/>
            <w:tcBorders>
              <w:top w:val="single" w:sz="8" w:space="0" w:color="000000"/>
              <w:left w:val="single" w:sz="8" w:space="0" w:color="000000"/>
              <w:bottom w:val="single" w:sz="8" w:space="0" w:color="000000"/>
              <w:right w:val="single" w:sz="8" w:space="0" w:color="000000"/>
            </w:tcBorders>
            <w:shd w:val="clear" w:color="auto" w:fill="DCEBF1"/>
            <w:tcMar>
              <w:top w:w="72" w:type="dxa"/>
              <w:left w:w="144" w:type="dxa"/>
              <w:bottom w:w="72" w:type="dxa"/>
              <w:right w:w="144" w:type="dxa"/>
            </w:tcMar>
            <w:hideMark/>
          </w:tcPr>
          <w:p w14:paraId="4612F583" w14:textId="77777777" w:rsidR="00640B98" w:rsidRPr="004C7F6C" w:rsidRDefault="00640B98" w:rsidP="00111630">
            <w:pPr>
              <w:jc w:val="center"/>
              <w:rPr>
                <w:rFonts w:cs="Arial"/>
                <w:szCs w:val="20"/>
              </w:rPr>
            </w:pPr>
            <w:r w:rsidRPr="004C7F6C">
              <w:rPr>
                <w:rFonts w:cs="Arial"/>
                <w:szCs w:val="20"/>
              </w:rPr>
              <w:t>99</w:t>
            </w:r>
            <w:proofErr w:type="gramStart"/>
            <w:r w:rsidRPr="004C7F6C">
              <w:rPr>
                <w:rFonts w:cs="Arial"/>
                <w:szCs w:val="20"/>
              </w:rPr>
              <w:t xml:space="preserve"> %</w:t>
            </w:r>
            <w:proofErr w:type="gramEnd"/>
          </w:p>
        </w:tc>
        <w:tc>
          <w:tcPr>
            <w:tcW w:w="1843" w:type="dxa"/>
            <w:tcBorders>
              <w:top w:val="single" w:sz="8" w:space="0" w:color="000000"/>
              <w:left w:val="single" w:sz="8" w:space="0" w:color="000000"/>
              <w:bottom w:val="single" w:sz="8" w:space="0" w:color="000000"/>
              <w:right w:val="single" w:sz="8" w:space="0" w:color="000000"/>
            </w:tcBorders>
            <w:shd w:val="clear" w:color="auto" w:fill="DCEBF1"/>
          </w:tcPr>
          <w:p w14:paraId="60617828" w14:textId="04E29816" w:rsidR="00640B98" w:rsidRPr="004C7F6C" w:rsidRDefault="00640B98" w:rsidP="00111630">
            <w:pPr>
              <w:jc w:val="center"/>
              <w:rPr>
                <w:rFonts w:cs="Arial"/>
                <w:szCs w:val="20"/>
              </w:rPr>
            </w:pPr>
            <w:r w:rsidRPr="004C7F6C">
              <w:rPr>
                <w:rFonts w:cs="Arial"/>
                <w:szCs w:val="20"/>
              </w:rPr>
              <w:t xml:space="preserve">466 </w:t>
            </w:r>
            <w:proofErr w:type="gramStart"/>
            <w:r w:rsidRPr="004C7F6C">
              <w:rPr>
                <w:rFonts w:cs="Arial"/>
                <w:szCs w:val="20"/>
              </w:rPr>
              <w:t>mio</w:t>
            </w:r>
            <w:proofErr w:type="gramEnd"/>
            <w:r w:rsidRPr="004C7F6C">
              <w:rPr>
                <w:rFonts w:cs="Arial"/>
                <w:szCs w:val="20"/>
              </w:rPr>
              <w:t xml:space="preserve"> </w:t>
            </w:r>
            <w:r>
              <w:rPr>
                <w:rFonts w:cs="Arial"/>
                <w:szCs w:val="20"/>
              </w:rPr>
              <w:t>evrov</w:t>
            </w:r>
          </w:p>
        </w:tc>
        <w:tc>
          <w:tcPr>
            <w:tcW w:w="982" w:type="dxa"/>
            <w:tcBorders>
              <w:top w:val="single" w:sz="8" w:space="0" w:color="000000"/>
              <w:left w:val="single" w:sz="8" w:space="0" w:color="000000"/>
              <w:bottom w:val="single" w:sz="8" w:space="0" w:color="000000"/>
              <w:right w:val="single" w:sz="8" w:space="0" w:color="000000"/>
            </w:tcBorders>
            <w:shd w:val="clear" w:color="auto" w:fill="DCEBF1"/>
          </w:tcPr>
          <w:p w14:paraId="164B8102" w14:textId="77777777" w:rsidR="00640B98" w:rsidRPr="004C7F6C" w:rsidRDefault="00640B98" w:rsidP="00111630">
            <w:pPr>
              <w:jc w:val="center"/>
              <w:rPr>
                <w:rFonts w:cs="Arial"/>
                <w:szCs w:val="20"/>
              </w:rPr>
            </w:pPr>
            <w:r w:rsidRPr="004C7F6C">
              <w:rPr>
                <w:rFonts w:cs="Arial"/>
                <w:szCs w:val="20"/>
              </w:rPr>
              <w:t>99</w:t>
            </w:r>
            <w:proofErr w:type="gramStart"/>
            <w:r w:rsidRPr="004C7F6C">
              <w:rPr>
                <w:rFonts w:cs="Arial"/>
                <w:szCs w:val="20"/>
              </w:rPr>
              <w:t xml:space="preserve"> %</w:t>
            </w:r>
            <w:proofErr w:type="gramEnd"/>
          </w:p>
        </w:tc>
      </w:tr>
      <w:tr w:rsidR="00640B98" w:rsidRPr="004C7F6C" w14:paraId="4CE2DF70" w14:textId="77777777" w:rsidTr="00111630">
        <w:trPr>
          <w:trHeight w:val="442"/>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BF6BE31" w14:textId="77777777" w:rsidR="00640B98" w:rsidRPr="004C7F6C" w:rsidRDefault="00640B98" w:rsidP="00111630">
            <w:pPr>
              <w:jc w:val="both"/>
              <w:rPr>
                <w:rFonts w:cs="Arial"/>
                <w:szCs w:val="20"/>
              </w:rPr>
            </w:pPr>
            <w:r w:rsidRPr="004C7F6C">
              <w:rPr>
                <w:rFonts w:cs="Arial"/>
                <w:b/>
                <w:bCs/>
                <w:szCs w:val="20"/>
              </w:rPr>
              <w:t>SKUPAJ</w:t>
            </w:r>
          </w:p>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3EB3279" w14:textId="0196DD59" w:rsidR="00640B98" w:rsidRPr="004C7F6C" w:rsidRDefault="00640B98" w:rsidP="00111630">
            <w:pPr>
              <w:jc w:val="center"/>
              <w:rPr>
                <w:rFonts w:cs="Arial"/>
                <w:szCs w:val="20"/>
              </w:rPr>
            </w:pPr>
            <w:r w:rsidRPr="004C7F6C">
              <w:rPr>
                <w:rFonts w:cs="Arial"/>
                <w:b/>
                <w:bCs/>
                <w:szCs w:val="20"/>
              </w:rPr>
              <w:t xml:space="preserve">2,08 mrd </w:t>
            </w:r>
            <w:r>
              <w:rPr>
                <w:rFonts w:cs="Arial"/>
                <w:b/>
                <w:bCs/>
                <w:szCs w:val="20"/>
              </w:rPr>
              <w:t>evrov</w:t>
            </w:r>
          </w:p>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0FC092D" w14:textId="1C329322" w:rsidR="00640B98" w:rsidRPr="004C7F6C" w:rsidRDefault="00640B98" w:rsidP="00640B98">
            <w:pPr>
              <w:rPr>
                <w:rFonts w:cs="Arial"/>
                <w:szCs w:val="20"/>
              </w:rPr>
            </w:pPr>
            <w:r w:rsidRPr="004C7F6C">
              <w:rPr>
                <w:rFonts w:cs="Arial"/>
                <w:b/>
                <w:bCs/>
                <w:szCs w:val="20"/>
              </w:rPr>
              <w:t xml:space="preserve">1,77 mrd </w:t>
            </w:r>
            <w:r>
              <w:rPr>
                <w:rFonts w:cs="Arial"/>
                <w:b/>
                <w:bCs/>
                <w:szCs w:val="20"/>
              </w:rPr>
              <w:t>evrov</w:t>
            </w:r>
          </w:p>
        </w:tc>
        <w:tc>
          <w:tcPr>
            <w:tcW w:w="9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FF8C62F" w14:textId="77777777" w:rsidR="00640B98" w:rsidRPr="004C7F6C" w:rsidRDefault="00640B98" w:rsidP="00111630">
            <w:pPr>
              <w:jc w:val="center"/>
              <w:rPr>
                <w:rFonts w:cs="Arial"/>
                <w:szCs w:val="20"/>
              </w:rPr>
            </w:pPr>
            <w:r w:rsidRPr="004C7F6C">
              <w:rPr>
                <w:rFonts w:cs="Arial"/>
                <w:b/>
                <w:bCs/>
                <w:szCs w:val="20"/>
              </w:rPr>
              <w:t>85</w:t>
            </w:r>
            <w:proofErr w:type="gramStart"/>
            <w:r w:rsidRPr="004C7F6C">
              <w:rPr>
                <w:rFonts w:cs="Arial"/>
                <w:b/>
                <w:bCs/>
                <w:szCs w:val="20"/>
              </w:rPr>
              <w:t xml:space="preserve"> %</w:t>
            </w:r>
            <w:proofErr w:type="gramEnd"/>
          </w:p>
        </w:tc>
        <w:tc>
          <w:tcPr>
            <w:tcW w:w="1843" w:type="dxa"/>
            <w:tcBorders>
              <w:top w:val="single" w:sz="8" w:space="0" w:color="000000"/>
              <w:left w:val="single" w:sz="8" w:space="0" w:color="000000"/>
              <w:bottom w:val="single" w:sz="8" w:space="0" w:color="000000"/>
              <w:right w:val="single" w:sz="8" w:space="0" w:color="000000"/>
            </w:tcBorders>
          </w:tcPr>
          <w:p w14:paraId="75D7D3CF" w14:textId="20A605A0" w:rsidR="00640B98" w:rsidRPr="004C7F6C" w:rsidRDefault="00640B98" w:rsidP="00111630">
            <w:pPr>
              <w:jc w:val="center"/>
              <w:rPr>
                <w:rFonts w:cs="Arial"/>
                <w:b/>
                <w:bCs/>
                <w:szCs w:val="20"/>
              </w:rPr>
            </w:pPr>
            <w:r>
              <w:rPr>
                <w:rFonts w:cs="Arial"/>
                <w:b/>
                <w:bCs/>
                <w:szCs w:val="20"/>
              </w:rPr>
              <w:t>1,81 mrd evrov</w:t>
            </w:r>
          </w:p>
        </w:tc>
        <w:tc>
          <w:tcPr>
            <w:tcW w:w="982" w:type="dxa"/>
            <w:tcBorders>
              <w:top w:val="single" w:sz="8" w:space="0" w:color="000000"/>
              <w:left w:val="single" w:sz="8" w:space="0" w:color="000000"/>
              <w:bottom w:val="single" w:sz="8" w:space="0" w:color="000000"/>
              <w:right w:val="single" w:sz="8" w:space="0" w:color="000000"/>
            </w:tcBorders>
          </w:tcPr>
          <w:p w14:paraId="73E5AB20" w14:textId="77777777" w:rsidR="00640B98" w:rsidRPr="004C7F6C" w:rsidRDefault="00640B98" w:rsidP="00111630">
            <w:pPr>
              <w:jc w:val="center"/>
              <w:rPr>
                <w:rFonts w:cs="Arial"/>
                <w:b/>
                <w:bCs/>
                <w:szCs w:val="20"/>
              </w:rPr>
            </w:pPr>
            <w:r>
              <w:rPr>
                <w:rFonts w:cs="Arial"/>
                <w:b/>
                <w:bCs/>
                <w:szCs w:val="20"/>
              </w:rPr>
              <w:t>87</w:t>
            </w:r>
            <w:proofErr w:type="gramStart"/>
            <w:r>
              <w:rPr>
                <w:rFonts w:cs="Arial"/>
                <w:b/>
                <w:bCs/>
                <w:szCs w:val="20"/>
              </w:rPr>
              <w:t xml:space="preserve"> %</w:t>
            </w:r>
            <w:proofErr w:type="gramEnd"/>
          </w:p>
        </w:tc>
      </w:tr>
    </w:tbl>
    <w:p w14:paraId="36A2AC6C" w14:textId="77777777" w:rsidR="00640B98" w:rsidRDefault="00640B98" w:rsidP="00640B98">
      <w:pPr>
        <w:jc w:val="both"/>
        <w:rPr>
          <w:rFonts w:cs="Arial"/>
          <w:szCs w:val="20"/>
        </w:rPr>
      </w:pPr>
    </w:p>
    <w:p w14:paraId="19BD71D2" w14:textId="09CE8E64" w:rsidR="00640B98" w:rsidRDefault="00640B98" w:rsidP="00640B98">
      <w:pPr>
        <w:jc w:val="both"/>
        <w:rPr>
          <w:rFonts w:cs="Arial"/>
          <w:szCs w:val="20"/>
        </w:rPr>
      </w:pPr>
      <w:r>
        <w:rPr>
          <w:rFonts w:cs="Arial"/>
          <w:szCs w:val="20"/>
        </w:rPr>
        <w:t>D</w:t>
      </w:r>
      <w:r w:rsidRPr="007D27CB">
        <w:rPr>
          <w:rFonts w:cs="Arial"/>
          <w:szCs w:val="20"/>
        </w:rPr>
        <w:t xml:space="preserve">ržava </w:t>
      </w:r>
      <w:r w:rsidR="006102DC">
        <w:rPr>
          <w:rFonts w:cs="Arial"/>
          <w:szCs w:val="20"/>
        </w:rPr>
        <w:t xml:space="preserve">je </w:t>
      </w:r>
      <w:r w:rsidRPr="007D27CB">
        <w:rPr>
          <w:rFonts w:cs="Arial"/>
          <w:szCs w:val="20"/>
        </w:rPr>
        <w:t xml:space="preserve">končnim prejemnikom </w:t>
      </w:r>
      <w:r>
        <w:rPr>
          <w:rFonts w:cs="Arial"/>
          <w:szCs w:val="20"/>
        </w:rPr>
        <w:t xml:space="preserve">za izvedene projektne </w:t>
      </w:r>
      <w:proofErr w:type="gramStart"/>
      <w:r>
        <w:rPr>
          <w:rFonts w:cs="Arial"/>
          <w:szCs w:val="20"/>
        </w:rPr>
        <w:t>aktivnosti</w:t>
      </w:r>
      <w:proofErr w:type="gramEnd"/>
      <w:r>
        <w:rPr>
          <w:rFonts w:cs="Arial"/>
          <w:szCs w:val="20"/>
        </w:rPr>
        <w:t xml:space="preserve"> do danes i</w:t>
      </w:r>
      <w:r w:rsidRPr="00190B8F">
        <w:rPr>
          <w:rFonts w:cs="Arial"/>
          <w:szCs w:val="20"/>
        </w:rPr>
        <w:t>zplačala</w:t>
      </w:r>
      <w:r>
        <w:rPr>
          <w:rFonts w:cs="Arial"/>
          <w:szCs w:val="20"/>
        </w:rPr>
        <w:t xml:space="preserve"> več kot</w:t>
      </w:r>
      <w:r w:rsidRPr="00190B8F">
        <w:rPr>
          <w:rFonts w:cs="Arial"/>
          <w:szCs w:val="20"/>
        </w:rPr>
        <w:t xml:space="preserve"> </w:t>
      </w:r>
      <w:r w:rsidRPr="00A148FC">
        <w:rPr>
          <w:rFonts w:cs="Arial"/>
          <w:szCs w:val="20"/>
        </w:rPr>
        <w:t>1,</w:t>
      </w:r>
      <w:r>
        <w:rPr>
          <w:rFonts w:cs="Arial"/>
          <w:szCs w:val="20"/>
        </w:rPr>
        <w:t>6</w:t>
      </w:r>
      <w:r w:rsidRPr="00A148FC">
        <w:rPr>
          <w:rFonts w:cs="Arial"/>
          <w:szCs w:val="20"/>
        </w:rPr>
        <w:t xml:space="preserve"> milijarde evrov. Od tega </w:t>
      </w:r>
      <w:proofErr w:type="gramStart"/>
      <w:r w:rsidRPr="00A148FC">
        <w:rPr>
          <w:rFonts w:cs="Arial"/>
          <w:szCs w:val="20"/>
        </w:rPr>
        <w:t>v letošnjem letu</w:t>
      </w:r>
      <w:proofErr w:type="gramEnd"/>
      <w:r w:rsidRPr="00A148FC">
        <w:rPr>
          <w:rFonts w:cs="Arial"/>
          <w:szCs w:val="20"/>
        </w:rPr>
        <w:t xml:space="preserve"> </w:t>
      </w:r>
      <w:r>
        <w:rPr>
          <w:rFonts w:cs="Arial"/>
          <w:szCs w:val="20"/>
        </w:rPr>
        <w:t>več kot 292</w:t>
      </w:r>
      <w:r w:rsidRPr="00A148FC">
        <w:rPr>
          <w:rFonts w:cs="Arial"/>
          <w:szCs w:val="20"/>
        </w:rPr>
        <w:t xml:space="preserve"> milijon</w:t>
      </w:r>
      <w:r>
        <w:rPr>
          <w:rFonts w:cs="Arial"/>
          <w:szCs w:val="20"/>
        </w:rPr>
        <w:t>ov</w:t>
      </w:r>
      <w:r w:rsidRPr="00A148FC">
        <w:rPr>
          <w:rFonts w:cs="Arial"/>
          <w:szCs w:val="20"/>
        </w:rPr>
        <w:t xml:space="preserve"> evrov</w:t>
      </w:r>
      <w:r>
        <w:rPr>
          <w:rFonts w:cs="Arial"/>
          <w:szCs w:val="20"/>
        </w:rPr>
        <w:t>.</w:t>
      </w:r>
    </w:p>
    <w:p w14:paraId="43E5729B" w14:textId="77777777" w:rsidR="00640B98" w:rsidRDefault="00640B98" w:rsidP="00640B98">
      <w:pPr>
        <w:jc w:val="both"/>
        <w:rPr>
          <w:rFonts w:cs="Arial"/>
          <w:szCs w:val="20"/>
        </w:rPr>
      </w:pPr>
    </w:p>
    <w:p w14:paraId="2D0DED1B" w14:textId="6718860A" w:rsidR="00640B98" w:rsidRDefault="00640B98" w:rsidP="00640B98">
      <w:pPr>
        <w:jc w:val="both"/>
        <w:rPr>
          <w:rFonts w:cs="Arial"/>
          <w:szCs w:val="20"/>
        </w:rPr>
      </w:pPr>
      <w:r w:rsidRPr="00732471">
        <w:rPr>
          <w:rFonts w:cs="Arial"/>
          <w:szCs w:val="20"/>
        </w:rPr>
        <w:t xml:space="preserve">Slovenija bo sedmi </w:t>
      </w:r>
      <w:r>
        <w:rPr>
          <w:rFonts w:cs="Arial"/>
          <w:szCs w:val="20"/>
        </w:rPr>
        <w:t xml:space="preserve">oziroma zadnji </w:t>
      </w:r>
      <w:r w:rsidRPr="00732471">
        <w:rPr>
          <w:rFonts w:cs="Arial"/>
          <w:szCs w:val="20"/>
        </w:rPr>
        <w:t>zahtevek za plačilo z vsemi dokazili o izpolnjevanju preostalih mejnikov in ciljev v Bruselj posredovala najkasneje do 30. septembra 2026, ko poteče uradni rok za oddajo zadnjih zahtevkov za plačilo. Zahtevek bodo sestavljali mejniki in cilji</w:t>
      </w:r>
      <w:r>
        <w:rPr>
          <w:rFonts w:cs="Arial"/>
          <w:szCs w:val="20"/>
        </w:rPr>
        <w:t xml:space="preserve"> devetega obroka za nepovratna sredstva in četrtega obroka za posojila. Gre večinoma za mejnike in cilje na naložbenih ukrepih. </w:t>
      </w:r>
      <w:r w:rsidRPr="00732471">
        <w:rPr>
          <w:rFonts w:cs="Arial"/>
          <w:szCs w:val="20"/>
        </w:rPr>
        <w:t>Da bodo ti</w:t>
      </w:r>
      <w:r>
        <w:rPr>
          <w:rFonts w:cs="Arial"/>
          <w:szCs w:val="20"/>
        </w:rPr>
        <w:t xml:space="preserve"> </w:t>
      </w:r>
      <w:r w:rsidRPr="00732471">
        <w:rPr>
          <w:rFonts w:cs="Arial"/>
          <w:szCs w:val="20"/>
        </w:rPr>
        <w:t xml:space="preserve">doseženi, </w:t>
      </w:r>
      <w:r w:rsidR="006102DC">
        <w:rPr>
          <w:rFonts w:cs="Arial"/>
          <w:szCs w:val="20"/>
        </w:rPr>
        <w:t xml:space="preserve">pa </w:t>
      </w:r>
      <w:r w:rsidRPr="00732471">
        <w:rPr>
          <w:rFonts w:cs="Arial"/>
          <w:szCs w:val="20"/>
        </w:rPr>
        <w:t xml:space="preserve">morajo biti pravočasno izpolnjeni tudi projekti, s katerimi se naložbe </w:t>
      </w:r>
      <w:proofErr w:type="gramStart"/>
      <w:r w:rsidRPr="00732471">
        <w:rPr>
          <w:rFonts w:cs="Arial"/>
          <w:szCs w:val="20"/>
        </w:rPr>
        <w:t>realizirajo</w:t>
      </w:r>
      <w:proofErr w:type="gramEnd"/>
      <w:r w:rsidRPr="00732471">
        <w:rPr>
          <w:rFonts w:cs="Arial"/>
          <w:szCs w:val="20"/>
        </w:rPr>
        <w:t>.</w:t>
      </w:r>
      <w:r w:rsidR="006102DC">
        <w:rPr>
          <w:rFonts w:cs="Arial"/>
          <w:szCs w:val="20"/>
        </w:rPr>
        <w:t xml:space="preserve"> In ravno tu se zapleta.</w:t>
      </w:r>
    </w:p>
    <w:p w14:paraId="1173EC24" w14:textId="77777777" w:rsidR="00640B98" w:rsidRDefault="00640B98" w:rsidP="00640B98">
      <w:pPr>
        <w:jc w:val="both"/>
        <w:rPr>
          <w:rFonts w:cs="Arial"/>
          <w:szCs w:val="20"/>
        </w:rPr>
      </w:pPr>
    </w:p>
    <w:p w14:paraId="0A4DF177" w14:textId="3B87DFFF" w:rsidR="00640B98" w:rsidRDefault="00640B98" w:rsidP="00640B98">
      <w:pPr>
        <w:jc w:val="both"/>
        <w:rPr>
          <w:rFonts w:cs="Arial"/>
          <w:szCs w:val="20"/>
        </w:rPr>
      </w:pPr>
      <w:r>
        <w:rPr>
          <w:rFonts w:cs="Arial"/>
          <w:szCs w:val="20"/>
        </w:rPr>
        <w:t>Slovenija lahko prejme maksimalno vrednost zadnjega zahtevka za plačilo oziroma preostalih sredstev v višini nekaj manj kot 272 milijonov evrov. Izpolniti mora mejnike in cilje sedmega zahtevka in</w:t>
      </w:r>
      <w:r w:rsidR="006102DC">
        <w:rPr>
          <w:rFonts w:cs="Arial"/>
          <w:szCs w:val="20"/>
        </w:rPr>
        <w:t xml:space="preserve"> pri </w:t>
      </w:r>
      <w:proofErr w:type="gramStart"/>
      <w:r w:rsidR="006102DC">
        <w:rPr>
          <w:rFonts w:cs="Arial"/>
          <w:szCs w:val="20"/>
        </w:rPr>
        <w:t xml:space="preserve">tem </w:t>
      </w:r>
      <w:r>
        <w:rPr>
          <w:rFonts w:cs="Arial"/>
          <w:szCs w:val="20"/>
        </w:rPr>
        <w:t xml:space="preserve"> </w:t>
      </w:r>
      <w:proofErr w:type="gramEnd"/>
      <w:r>
        <w:rPr>
          <w:rFonts w:cs="Arial"/>
          <w:szCs w:val="20"/>
        </w:rPr>
        <w:t>ne</w:t>
      </w:r>
      <w:r w:rsidR="006102DC">
        <w:rPr>
          <w:rFonts w:cs="Arial"/>
          <w:szCs w:val="20"/>
        </w:rPr>
        <w:t xml:space="preserve"> sme</w:t>
      </w:r>
      <w:r>
        <w:rPr>
          <w:rFonts w:cs="Arial"/>
          <w:szCs w:val="20"/>
        </w:rPr>
        <w:t xml:space="preserve"> razveljaviti mejnikov in ciljev, za katere je sredstva prejela v okviru že izplačanih zahtevkov.</w:t>
      </w:r>
    </w:p>
    <w:p w14:paraId="7BC24A81" w14:textId="77777777" w:rsidR="006102DC" w:rsidRDefault="006102DC" w:rsidP="00640B98">
      <w:pPr>
        <w:jc w:val="both"/>
        <w:rPr>
          <w:rFonts w:cs="Arial"/>
          <w:szCs w:val="20"/>
        </w:rPr>
      </w:pPr>
    </w:p>
    <w:p w14:paraId="515C9B55" w14:textId="66A8FB6C" w:rsidR="00640B98" w:rsidRDefault="00640B98" w:rsidP="00640B98">
      <w:pPr>
        <w:jc w:val="both"/>
        <w:rPr>
          <w:rFonts w:cs="Arial"/>
          <w:szCs w:val="20"/>
        </w:rPr>
      </w:pPr>
      <w:r>
        <w:rPr>
          <w:rFonts w:cs="Arial"/>
          <w:szCs w:val="20"/>
        </w:rPr>
        <w:lastRenderedPageBreak/>
        <w:t xml:space="preserve">Države članice s ciljem maksimalnega koriščenja razpoložljivih sredstev Mehanizma </w:t>
      </w:r>
      <w:r w:rsidRPr="00172005">
        <w:rPr>
          <w:rFonts w:cs="Arial"/>
          <w:szCs w:val="20"/>
        </w:rPr>
        <w:t>Evropsk</w:t>
      </w:r>
      <w:r>
        <w:rPr>
          <w:rFonts w:cs="Arial"/>
          <w:szCs w:val="20"/>
        </w:rPr>
        <w:t>i</w:t>
      </w:r>
      <w:r w:rsidRPr="00172005">
        <w:rPr>
          <w:rFonts w:cs="Arial"/>
          <w:szCs w:val="20"/>
        </w:rPr>
        <w:t xml:space="preserve"> komisij</w:t>
      </w:r>
      <w:r>
        <w:rPr>
          <w:rFonts w:cs="Arial"/>
          <w:szCs w:val="20"/>
        </w:rPr>
        <w:t>i</w:t>
      </w:r>
      <w:r w:rsidRPr="00172005">
        <w:rPr>
          <w:rFonts w:cs="Arial"/>
          <w:szCs w:val="20"/>
        </w:rPr>
        <w:t xml:space="preserve"> </w:t>
      </w:r>
      <w:r>
        <w:rPr>
          <w:rFonts w:cs="Arial"/>
          <w:szCs w:val="20"/>
        </w:rPr>
        <w:t xml:space="preserve">(EK) redno predlagajo spremembe NOO. 18. junija 2026 je EK </w:t>
      </w:r>
      <w:hyperlink r:id="rId14" w:history="1">
        <w:r w:rsidRPr="00C70975">
          <w:rPr>
            <w:rStyle w:val="Hiperpovezava"/>
            <w:rFonts w:cs="Arial"/>
            <w:szCs w:val="20"/>
          </w:rPr>
          <w:t>pozitivno ocenila predlog šeste spremembe slovenskega NOO</w:t>
        </w:r>
      </w:hyperlink>
      <w:r>
        <w:rPr>
          <w:rFonts w:cs="Arial"/>
          <w:szCs w:val="20"/>
        </w:rPr>
        <w:t xml:space="preserve">, ki jo mora </w:t>
      </w:r>
      <w:r w:rsidRPr="00172005">
        <w:rPr>
          <w:rFonts w:cs="Arial"/>
          <w:szCs w:val="20"/>
        </w:rPr>
        <w:t>dokončno potrditi še Svet Evropske unije.</w:t>
      </w:r>
      <w:r>
        <w:rPr>
          <w:rFonts w:cs="Arial"/>
          <w:szCs w:val="20"/>
        </w:rPr>
        <w:t xml:space="preserve"> </w:t>
      </w:r>
    </w:p>
    <w:p w14:paraId="18FCBD73" w14:textId="68BFF06E" w:rsidR="00640B98" w:rsidRDefault="00640B98" w:rsidP="00640B98"/>
    <w:p w14:paraId="6F62CA87" w14:textId="1C4750A4" w:rsidR="00CA69C4" w:rsidRDefault="00CA69C4" w:rsidP="00CA69C4">
      <w:pPr>
        <w:jc w:val="both"/>
        <w:rPr>
          <w:rFonts w:cs="Arial"/>
          <w:szCs w:val="20"/>
        </w:rPr>
      </w:pPr>
      <w:r>
        <w:rPr>
          <w:rFonts w:cs="Arial"/>
          <w:szCs w:val="20"/>
        </w:rPr>
        <w:t xml:space="preserve">Skladno s šesto spremembo NOO je s sedmim zahtevkom povezanih 60 mejnikov in ciljev. Ministrstva, pristojna za izvedbo mejnikov in ciljev, poročajo, da je do tega trenutka v celoti izpolnjenih </w:t>
      </w:r>
      <w:r w:rsidR="006102DC">
        <w:rPr>
          <w:rFonts w:cs="Arial"/>
          <w:szCs w:val="20"/>
        </w:rPr>
        <w:t xml:space="preserve">samo </w:t>
      </w:r>
      <w:r>
        <w:rPr>
          <w:rFonts w:cs="Arial"/>
          <w:szCs w:val="20"/>
        </w:rPr>
        <w:t>pet mejnikov in ciljev sedmega zahtevka za plačilo</w:t>
      </w:r>
      <w:r w:rsidR="006102DC">
        <w:rPr>
          <w:rFonts w:cs="Arial"/>
          <w:szCs w:val="20"/>
        </w:rPr>
        <w:t xml:space="preserve">, kar je zelo </w:t>
      </w:r>
      <w:proofErr w:type="gramStart"/>
      <w:r w:rsidR="006102DC">
        <w:rPr>
          <w:rFonts w:cs="Arial"/>
          <w:szCs w:val="20"/>
        </w:rPr>
        <w:t>zaskrbljujoče</w:t>
      </w:r>
      <w:proofErr w:type="gramEnd"/>
      <w:r w:rsidR="006102DC">
        <w:rPr>
          <w:rFonts w:cs="Arial"/>
          <w:szCs w:val="20"/>
        </w:rPr>
        <w:t xml:space="preserve">. </w:t>
      </w:r>
      <w:r>
        <w:rPr>
          <w:rFonts w:cs="Arial"/>
          <w:szCs w:val="20"/>
        </w:rPr>
        <w:t xml:space="preserve">To pomeni, da so ministrstva oddala dokazila za </w:t>
      </w:r>
      <w:r w:rsidR="006102DC">
        <w:rPr>
          <w:rFonts w:cs="Arial"/>
          <w:szCs w:val="20"/>
        </w:rPr>
        <w:t>i</w:t>
      </w:r>
      <w:r>
        <w:rPr>
          <w:rFonts w:cs="Arial"/>
          <w:szCs w:val="20"/>
        </w:rPr>
        <w:t>zpolnjevanje</w:t>
      </w:r>
      <w:r w:rsidR="006102DC">
        <w:rPr>
          <w:rFonts w:cs="Arial"/>
          <w:szCs w:val="20"/>
        </w:rPr>
        <w:t xml:space="preserve"> le peščice od predvidenih mejnikov in ciljev</w:t>
      </w:r>
      <w:r>
        <w:rPr>
          <w:rFonts w:cs="Arial"/>
          <w:szCs w:val="20"/>
        </w:rPr>
        <w:t xml:space="preserve">. Dokazila za izpolnjevanje ostalih mejnikov in ciljev morajo ministrstva oddati najkasneje do 31. avgusta 2026. </w:t>
      </w:r>
    </w:p>
    <w:p w14:paraId="0B358D11" w14:textId="77777777" w:rsidR="00CA69C4" w:rsidRDefault="00CA69C4" w:rsidP="00CA69C4">
      <w:pPr>
        <w:jc w:val="both"/>
        <w:rPr>
          <w:rFonts w:cs="Arial"/>
          <w:szCs w:val="20"/>
        </w:rPr>
      </w:pPr>
    </w:p>
    <w:p w14:paraId="3C008EC9" w14:textId="3A182BDE" w:rsidR="00CA69C4" w:rsidRDefault="00CA69C4" w:rsidP="00CA69C4">
      <w:pPr>
        <w:jc w:val="both"/>
        <w:rPr>
          <w:rFonts w:cs="Arial"/>
          <w:szCs w:val="20"/>
        </w:rPr>
      </w:pPr>
      <w:r>
        <w:rPr>
          <w:rFonts w:cs="Arial"/>
          <w:szCs w:val="20"/>
        </w:rPr>
        <w:t xml:space="preserve">S ciljem maksimalnega možnega koriščenja evropskih sredstev za okrevanje in odpornost morajo </w:t>
      </w:r>
      <w:r w:rsidR="006102DC">
        <w:rPr>
          <w:rFonts w:cs="Arial"/>
          <w:szCs w:val="20"/>
        </w:rPr>
        <w:t xml:space="preserve">zato </w:t>
      </w:r>
      <w:r>
        <w:rPr>
          <w:rFonts w:cs="Arial"/>
          <w:szCs w:val="20"/>
        </w:rPr>
        <w:t xml:space="preserve">ministrstva še posebej pohiteti s postopki za izpolnjevanje in zaključevanje </w:t>
      </w:r>
      <w:proofErr w:type="gramStart"/>
      <w:r>
        <w:rPr>
          <w:rFonts w:cs="Arial"/>
          <w:szCs w:val="20"/>
        </w:rPr>
        <w:t>sledečih</w:t>
      </w:r>
      <w:proofErr w:type="gramEnd"/>
      <w:r>
        <w:rPr>
          <w:rFonts w:cs="Arial"/>
          <w:szCs w:val="20"/>
        </w:rPr>
        <w:t xml:space="preserve"> mejnikov in ciljev:</w:t>
      </w:r>
    </w:p>
    <w:p w14:paraId="7C7284AA" w14:textId="77777777" w:rsidR="00CA69C4" w:rsidRPr="00F1100E" w:rsidRDefault="00CA69C4" w:rsidP="00CA69C4">
      <w:pPr>
        <w:pStyle w:val="Odstavekseznama"/>
        <w:numPr>
          <w:ilvl w:val="0"/>
          <w:numId w:val="12"/>
        </w:numPr>
        <w:spacing w:after="160" w:line="259" w:lineRule="auto"/>
        <w:rPr>
          <w:rFonts w:cs="Arial"/>
          <w:szCs w:val="20"/>
        </w:rPr>
      </w:pPr>
      <w:r w:rsidRPr="00F1100E">
        <w:rPr>
          <w:rFonts w:cs="Arial"/>
          <w:szCs w:val="20"/>
        </w:rPr>
        <w:t>Število zgrajenih novih elektroenergetskih transformatorskih postaj,</w:t>
      </w:r>
    </w:p>
    <w:p w14:paraId="5058712E" w14:textId="77777777" w:rsidR="00CA69C4" w:rsidRPr="003F141B" w:rsidRDefault="00CA69C4" w:rsidP="00CA69C4">
      <w:pPr>
        <w:pStyle w:val="Odstavekseznama"/>
        <w:numPr>
          <w:ilvl w:val="0"/>
          <w:numId w:val="12"/>
        </w:numPr>
        <w:spacing w:after="160" w:line="259" w:lineRule="auto"/>
        <w:rPr>
          <w:rFonts w:cs="Arial"/>
          <w:szCs w:val="20"/>
        </w:rPr>
      </w:pPr>
      <w:r w:rsidRPr="003F141B">
        <w:rPr>
          <w:rFonts w:cs="Arial"/>
          <w:szCs w:val="20"/>
        </w:rPr>
        <w:t>Dolžina zgrajenega distribucijskega omrežja (nizkonapetostnega omrežja),</w:t>
      </w:r>
    </w:p>
    <w:p w14:paraId="6BFAE2A0" w14:textId="77777777" w:rsidR="00CA69C4" w:rsidRPr="00DD6138" w:rsidRDefault="00CA69C4" w:rsidP="00CA69C4">
      <w:pPr>
        <w:pStyle w:val="Odstavekseznama"/>
        <w:numPr>
          <w:ilvl w:val="0"/>
          <w:numId w:val="12"/>
        </w:numPr>
        <w:spacing w:after="160" w:line="259" w:lineRule="auto"/>
        <w:rPr>
          <w:rFonts w:cs="Arial"/>
          <w:szCs w:val="20"/>
        </w:rPr>
      </w:pPr>
      <w:r w:rsidRPr="00DD6138">
        <w:rPr>
          <w:rFonts w:cs="Arial"/>
          <w:szCs w:val="20"/>
        </w:rPr>
        <w:t>Energetsk</w:t>
      </w:r>
      <w:r>
        <w:rPr>
          <w:rFonts w:cs="Arial"/>
          <w:szCs w:val="20"/>
        </w:rPr>
        <w:t>a</w:t>
      </w:r>
      <w:r w:rsidRPr="00DD6138">
        <w:rPr>
          <w:rFonts w:cs="Arial"/>
          <w:szCs w:val="20"/>
        </w:rPr>
        <w:t xml:space="preserve"> prenov</w:t>
      </w:r>
      <w:r>
        <w:rPr>
          <w:rFonts w:cs="Arial"/>
          <w:szCs w:val="20"/>
        </w:rPr>
        <w:t>a</w:t>
      </w:r>
      <w:r w:rsidRPr="00DD6138">
        <w:rPr>
          <w:rFonts w:cs="Arial"/>
          <w:szCs w:val="20"/>
        </w:rPr>
        <w:t xml:space="preserve"> stavb javnega sektorja,</w:t>
      </w:r>
    </w:p>
    <w:p w14:paraId="12D50A11" w14:textId="77777777" w:rsidR="00CA69C4" w:rsidRPr="00F1100E" w:rsidRDefault="00CA69C4" w:rsidP="00CA69C4">
      <w:pPr>
        <w:pStyle w:val="Odstavekseznama"/>
        <w:numPr>
          <w:ilvl w:val="0"/>
          <w:numId w:val="12"/>
        </w:numPr>
        <w:spacing w:after="160" w:line="259" w:lineRule="auto"/>
        <w:rPr>
          <w:rFonts w:cs="Arial"/>
          <w:szCs w:val="20"/>
        </w:rPr>
      </w:pPr>
      <w:r w:rsidRPr="00F1100E">
        <w:rPr>
          <w:rFonts w:cs="Arial"/>
          <w:szCs w:val="20"/>
        </w:rPr>
        <w:t>Zgrajena ali vzpostavljena infrastruktura za zmanjšanje nevarnosti plazov,</w:t>
      </w:r>
    </w:p>
    <w:p w14:paraId="11EFDE0F" w14:textId="77777777" w:rsidR="00CA69C4" w:rsidRPr="00F1100E" w:rsidRDefault="00CA69C4" w:rsidP="00CA69C4">
      <w:pPr>
        <w:pStyle w:val="Odstavekseznama"/>
        <w:numPr>
          <w:ilvl w:val="0"/>
          <w:numId w:val="12"/>
        </w:numPr>
        <w:spacing w:after="160" w:line="259" w:lineRule="auto"/>
        <w:rPr>
          <w:rFonts w:cs="Arial"/>
          <w:szCs w:val="20"/>
        </w:rPr>
      </w:pPr>
      <w:r w:rsidRPr="00F1100E">
        <w:rPr>
          <w:rFonts w:cs="Arial"/>
          <w:szCs w:val="20"/>
        </w:rPr>
        <w:t>Zgrajena infrastruktura za zaščito pred poplavami,</w:t>
      </w:r>
    </w:p>
    <w:p w14:paraId="3A269B8C" w14:textId="77777777" w:rsidR="00CA69C4" w:rsidRPr="00F1100E" w:rsidRDefault="00CA69C4" w:rsidP="00CA69C4">
      <w:pPr>
        <w:pStyle w:val="Odstavekseznama"/>
        <w:numPr>
          <w:ilvl w:val="0"/>
          <w:numId w:val="12"/>
        </w:numPr>
        <w:spacing w:after="160" w:line="259" w:lineRule="auto"/>
        <w:rPr>
          <w:rFonts w:cs="Arial"/>
          <w:szCs w:val="20"/>
        </w:rPr>
      </w:pPr>
      <w:r w:rsidRPr="00F1100E">
        <w:rPr>
          <w:rFonts w:cs="Arial"/>
          <w:szCs w:val="20"/>
        </w:rPr>
        <w:t xml:space="preserve">Vzpostavitev nacionalnega nadzornega </w:t>
      </w:r>
      <w:proofErr w:type="gramStart"/>
      <w:r w:rsidRPr="00F1100E">
        <w:rPr>
          <w:rFonts w:cs="Arial"/>
          <w:szCs w:val="20"/>
        </w:rPr>
        <w:t>centra</w:t>
      </w:r>
      <w:proofErr w:type="gramEnd"/>
      <w:r w:rsidRPr="00F1100E">
        <w:rPr>
          <w:rFonts w:cs="Arial"/>
          <w:szCs w:val="20"/>
        </w:rPr>
        <w:t xml:space="preserve"> za vode,</w:t>
      </w:r>
    </w:p>
    <w:p w14:paraId="762A293D" w14:textId="77777777" w:rsidR="00CA69C4" w:rsidRPr="00F1100E" w:rsidRDefault="00CA69C4" w:rsidP="00CA69C4">
      <w:pPr>
        <w:pStyle w:val="Odstavekseznama"/>
        <w:numPr>
          <w:ilvl w:val="0"/>
          <w:numId w:val="12"/>
        </w:numPr>
        <w:spacing w:after="160" w:line="259" w:lineRule="auto"/>
        <w:rPr>
          <w:rFonts w:cs="Arial"/>
          <w:szCs w:val="20"/>
        </w:rPr>
      </w:pPr>
      <w:r w:rsidRPr="00F1100E">
        <w:rPr>
          <w:rFonts w:cs="Arial"/>
          <w:szCs w:val="20"/>
        </w:rPr>
        <w:t>Ocena poplavne nevarnosti v povodjih Republike Slovenije,</w:t>
      </w:r>
    </w:p>
    <w:p w14:paraId="4A7D1221" w14:textId="77777777" w:rsidR="00CA69C4" w:rsidRPr="00F1100E" w:rsidRDefault="00CA69C4" w:rsidP="00CA69C4">
      <w:pPr>
        <w:pStyle w:val="Odstavekseznama"/>
        <w:numPr>
          <w:ilvl w:val="0"/>
          <w:numId w:val="12"/>
        </w:numPr>
        <w:spacing w:after="160" w:line="259" w:lineRule="auto"/>
        <w:rPr>
          <w:rFonts w:cs="Arial"/>
          <w:szCs w:val="20"/>
        </w:rPr>
      </w:pPr>
      <w:r w:rsidRPr="00F1100E">
        <w:rPr>
          <w:rFonts w:cs="Arial"/>
          <w:szCs w:val="20"/>
        </w:rPr>
        <w:t>Spodbujanje infrastrukture za alternativna goriva v prometu,</w:t>
      </w:r>
    </w:p>
    <w:p w14:paraId="3B2D5754" w14:textId="77777777" w:rsidR="00CA69C4" w:rsidRPr="00F1100E" w:rsidRDefault="00CA69C4" w:rsidP="00CA69C4">
      <w:pPr>
        <w:pStyle w:val="Odstavekseznama"/>
        <w:numPr>
          <w:ilvl w:val="0"/>
          <w:numId w:val="12"/>
        </w:numPr>
        <w:spacing w:after="160" w:line="259" w:lineRule="auto"/>
        <w:rPr>
          <w:rFonts w:cs="Arial"/>
          <w:szCs w:val="20"/>
        </w:rPr>
      </w:pPr>
      <w:bookmarkStart w:id="0" w:name="_Hlk224816756"/>
      <w:r w:rsidRPr="00F1100E">
        <w:rPr>
          <w:rFonts w:cs="Arial"/>
          <w:szCs w:val="20"/>
        </w:rPr>
        <w:t>Izgradnja Infekcijske klinike Ljubljana do 3. gradbene faze ter nekatera spremljajoča dela iz 4. in 5. gradbene faze,</w:t>
      </w:r>
    </w:p>
    <w:p w14:paraId="557BF51A" w14:textId="77777777" w:rsidR="00CA69C4" w:rsidRPr="00F1100E" w:rsidRDefault="00CA69C4" w:rsidP="00CA69C4">
      <w:pPr>
        <w:pStyle w:val="Odstavekseznama"/>
        <w:numPr>
          <w:ilvl w:val="0"/>
          <w:numId w:val="12"/>
        </w:numPr>
        <w:spacing w:after="160" w:line="259" w:lineRule="auto"/>
        <w:rPr>
          <w:rFonts w:cs="Arial"/>
          <w:szCs w:val="20"/>
        </w:rPr>
      </w:pPr>
      <w:r w:rsidRPr="00F1100E">
        <w:rPr>
          <w:rFonts w:cs="Arial"/>
          <w:szCs w:val="20"/>
        </w:rPr>
        <w:t>Postelje v novozgrajenih ustanovah za institucionalno varstvo,</w:t>
      </w:r>
    </w:p>
    <w:bookmarkEnd w:id="0"/>
    <w:p w14:paraId="0F76BA25" w14:textId="77777777" w:rsidR="00CA69C4" w:rsidRPr="00F1100E" w:rsidRDefault="00CA69C4" w:rsidP="00CA69C4">
      <w:pPr>
        <w:pStyle w:val="Odstavekseznama"/>
        <w:numPr>
          <w:ilvl w:val="0"/>
          <w:numId w:val="12"/>
        </w:numPr>
        <w:spacing w:after="160" w:line="259" w:lineRule="auto"/>
        <w:rPr>
          <w:rFonts w:cs="Arial"/>
          <w:b/>
          <w:bCs/>
          <w:szCs w:val="20"/>
        </w:rPr>
      </w:pPr>
      <w:r w:rsidRPr="00F1100E">
        <w:rPr>
          <w:rFonts w:cs="Arial"/>
          <w:szCs w:val="20"/>
        </w:rPr>
        <w:t>Registrirana polnilna mesta za brezemisijska vozila.</w:t>
      </w:r>
    </w:p>
    <w:p w14:paraId="6A49A0AD" w14:textId="1C936E35" w:rsidR="00083F2E" w:rsidRDefault="00083F2E" w:rsidP="00771D15">
      <w:pPr>
        <w:pStyle w:val="Vir"/>
      </w:pPr>
      <w:bookmarkStart w:id="1" w:name="_Hlk195168908"/>
      <w:r>
        <w:t xml:space="preserve">Vsa ministrstva in vladne službe bodo </w:t>
      </w:r>
      <w:proofErr w:type="gramStart"/>
      <w:r>
        <w:t>sedaj</w:t>
      </w:r>
      <w:proofErr w:type="gramEnd"/>
      <w:r>
        <w:t xml:space="preserve"> naredile vse, da Sloveniji le uspe zaključiti mejnike in cilje tega zadnjega zahtevka. V prihodnje pa bo vlada zagotovila precej bolj učinkovito upravljanje državnih projektov, da se ne bomo več znašli v takšni časovni stiski. </w:t>
      </w:r>
      <w:r w:rsidR="00C227A8">
        <w:t xml:space="preserve">Črpanje evropskih sredstev je namreč eden ključnih virov za zagotavljanje blaginje naše skupnosti. Vlada bo zato k temu vprašanju pristopila z maksimalno odgovornostjo. </w:t>
      </w:r>
    </w:p>
    <w:p w14:paraId="56149E10" w14:textId="25A607CF" w:rsidR="00CA69C4" w:rsidRDefault="00CA69C4" w:rsidP="00771D15">
      <w:pPr>
        <w:pStyle w:val="Vir"/>
      </w:pPr>
      <w:r w:rsidRPr="00A26619">
        <w:t>Vir: Ministrstvo za finance</w:t>
      </w:r>
    </w:p>
    <w:p w14:paraId="54B95278" w14:textId="77777777" w:rsidR="00D24C77" w:rsidRDefault="00D24C77" w:rsidP="00D24C77">
      <w:pPr>
        <w:pStyle w:val="Naslov2"/>
      </w:pPr>
      <w:r>
        <w:t xml:space="preserve">Ustanovitev Delovne skupine vlade za svetovanje pri revizijah finančnega poslovanja ob </w:t>
      </w:r>
      <w:proofErr w:type="gramStart"/>
      <w:r>
        <w:t>primopredajah</w:t>
      </w:r>
      <w:proofErr w:type="gramEnd"/>
      <w:r>
        <w:t xml:space="preserve"> na ministrstvih in vladnih službah</w:t>
      </w:r>
    </w:p>
    <w:p w14:paraId="66A67805" w14:textId="19BEF6E8" w:rsidR="00290FD0" w:rsidRDefault="00290FD0" w:rsidP="00290FD0">
      <w:r>
        <w:t xml:space="preserve">Vlada Republike je sprejela sklep o ustanovitvi Delovne skupine vlade za svetovanje pri revizijah finančnega poslovanja ob primopredajah na ministrstvih in vladnih službah ter kasnejših revizijah organov državne uprave. Delovna skupina se ustanavlja z namenom zagotavljanja usklajene, pregledne in učinkovite obravnave vprašanj, povezanih z revizijami finančnega poslovanja ob </w:t>
      </w:r>
      <w:proofErr w:type="gramStart"/>
      <w:r>
        <w:t>primopredajah</w:t>
      </w:r>
      <w:proofErr w:type="gramEnd"/>
      <w:r>
        <w:t xml:space="preserve"> na ministrstvih in vladnih službah, ter spremljanja ugotovitev v organih državne uprave in za kasnejšo koordinacijo revizij v organih državne uprave.</w:t>
      </w:r>
    </w:p>
    <w:p w14:paraId="1B574451" w14:textId="77777777" w:rsidR="00290FD0" w:rsidRDefault="00290FD0" w:rsidP="00290FD0"/>
    <w:p w14:paraId="7DE48B7F" w14:textId="77777777" w:rsidR="00290FD0" w:rsidRDefault="00290FD0" w:rsidP="00290FD0">
      <w:r>
        <w:t>Delovno skupino sestavljajo mag. Ivan Simič, vodja, Suzana Hötzl, namestnica vodje</w:t>
      </w:r>
      <w:proofErr w:type="gramStart"/>
      <w:r>
        <w:t>,</w:t>
      </w:r>
      <w:proofErr w:type="gramEnd"/>
      <w:r>
        <w:t xml:space="preserve"> ter Andreja Vrečič, članica.</w:t>
      </w:r>
    </w:p>
    <w:p w14:paraId="43C8908E" w14:textId="77777777" w:rsidR="00290FD0" w:rsidRDefault="00290FD0" w:rsidP="00290FD0"/>
    <w:p w14:paraId="005E7686" w14:textId="77777777" w:rsidR="00290FD0" w:rsidRDefault="00290FD0" w:rsidP="00290FD0">
      <w:r>
        <w:t xml:space="preserve">Naloga delovne skupine je svetovanje pri revizijah finančnega poslovanja ob primopredajah na ministrstvih in vladnih službah ter kasnejših revizijah organov državne uprave, spremljanje ugotovitev in izvajanja priporočil ter priprava poročil in predlogov ukrepov za izboljšanje učinkovitosti, gospodarnosti, </w:t>
      </w:r>
      <w:proofErr w:type="gramStart"/>
      <w:r>
        <w:t>transparentnosti</w:t>
      </w:r>
      <w:proofErr w:type="gramEnd"/>
      <w:r>
        <w:t xml:space="preserve"> in integritete delovanja državne uprave.&amp;</w:t>
      </w:r>
      <w:proofErr w:type="spellStart"/>
      <w:r>
        <w:t>nbsp</w:t>
      </w:r>
      <w:proofErr w:type="spellEnd"/>
      <w:r>
        <w:t>;</w:t>
      </w:r>
    </w:p>
    <w:p w14:paraId="42F5AB7A" w14:textId="77777777" w:rsidR="00290FD0" w:rsidRDefault="00290FD0" w:rsidP="00290FD0"/>
    <w:p w14:paraId="41A7B010" w14:textId="65C03505" w:rsidR="00D24C77" w:rsidRDefault="00290FD0" w:rsidP="00290FD0">
      <w:r>
        <w:t xml:space="preserve">Delovna skupina bo prispevala k pravočasnemu prepoznavanju tveganj, preprečevanju nepravilnosti ter krepitvi odgovornosti pri upravljanju javnih sredstev. Delovna skupina ne izvaja revizijskih, </w:t>
      </w:r>
      <w:r>
        <w:lastRenderedPageBreak/>
        <w:t>inšpekcijskih ali drugih oblastnih postopkov ter ne posega v pristojnosti posameznih organov, temveč zagotavlja usklajeno delovanje obstoječih nadzornih mehanizmov in pravočasno obveščanje vlade o ugotovljenih tveganjih in sistemskih pomanjkljivostih.</w:t>
      </w:r>
    </w:p>
    <w:p w14:paraId="591A3E09" w14:textId="77777777" w:rsidR="00D24C77" w:rsidRDefault="00D24C77" w:rsidP="00D24C77"/>
    <w:p w14:paraId="66D1C1C3" w14:textId="5ECAD282" w:rsidR="00D24C77" w:rsidRPr="00D24C77" w:rsidRDefault="00D24C77" w:rsidP="00D24C77">
      <w:pPr>
        <w:pStyle w:val="Vir"/>
        <w:rPr>
          <w:rStyle w:val="VirZnak"/>
        </w:rPr>
      </w:pPr>
      <w:r>
        <w:t>Vi</w:t>
      </w:r>
      <w:r w:rsidRPr="00D24C77">
        <w:rPr>
          <w:rStyle w:val="VirZnak"/>
        </w:rPr>
        <w:t>r: Kabinet predsednika vlade</w:t>
      </w:r>
    </w:p>
    <w:p w14:paraId="0999DD36" w14:textId="69BA4689" w:rsidR="00C748E9" w:rsidRDefault="00C748E9" w:rsidP="00C748E9">
      <w:pPr>
        <w:pStyle w:val="Naslov2"/>
      </w:pPr>
      <w:r>
        <w:t>Vlada ustanovila samostojni javni zavod Muzej slovenske osamosvojitve</w:t>
      </w:r>
    </w:p>
    <w:p w14:paraId="6EC818E3" w14:textId="77777777" w:rsidR="00C748E9" w:rsidRDefault="00C748E9" w:rsidP="00C748E9">
      <w:r>
        <w:t>Vlada je na redni seji sprejela sklepa o ustanovitvi dveh javnih zavodov: Muzej slovenske osamosvojitve in Muzej novejše zgodovine Slovenije.</w:t>
      </w:r>
    </w:p>
    <w:p w14:paraId="0D6FA61E" w14:textId="77777777" w:rsidR="00C748E9" w:rsidRDefault="00C748E9" w:rsidP="00C748E9"/>
    <w:p w14:paraId="0F4484E0" w14:textId="77777777" w:rsidR="00C748E9" w:rsidRDefault="00C748E9" w:rsidP="00C748E9">
      <w:r>
        <w:t xml:space="preserve">Leta 2026 praznujemo petintridesetletnico samostojne slovenske države, ki je bila ustanovljena na temelju večstoletnih teženj slovenskega naroda po neodvisnem razvoju. Proces slovenskega nacionalnega oblikovanja zahteva umestitev v širši zgodovinski okvir ter povezovanje raznolikih izkušenj različnih </w:t>
      </w:r>
      <w:proofErr w:type="gramStart"/>
      <w:r>
        <w:t>akterjev</w:t>
      </w:r>
      <w:proofErr w:type="gramEnd"/>
      <w:r>
        <w:t xml:space="preserve"> demokratizacije in slovenske osamosvojitve, kar se bo realiziralo s ponovno ustanovitvijo javnega zavoda Muzeja slovenske osamosvojitve. Z njim se bo prikazal razvoj samostojne Slovenije na način, ki bo dostopen širši javnosti, da se </w:t>
      </w:r>
      <w:proofErr w:type="gramStart"/>
      <w:r>
        <w:t>pojasni</w:t>
      </w:r>
      <w:proofErr w:type="gramEnd"/>
      <w:r>
        <w:t xml:space="preserve"> glavne zgodovinske dogodke, kaj jih je spodbudilo in kaj je bil njihov namen. Na ta način bodo prihodnje generacije razumele, kako, zakaj in kdaj se je razvila sedanja Republika Slovenija. </w:t>
      </w:r>
    </w:p>
    <w:p w14:paraId="52AA2CC9" w14:textId="77777777" w:rsidR="00C748E9" w:rsidRDefault="00C748E9" w:rsidP="00C748E9"/>
    <w:p w14:paraId="658509B0" w14:textId="77777777" w:rsidR="00C748E9" w:rsidRDefault="00C748E9" w:rsidP="00C748E9">
      <w:r>
        <w:t xml:space="preserve">Obdobje slovenske osamosvajanja in demokratizacije je za slovensko zgodovino izjemno pomembno, saj smo Slovenci po dolgih letih načrtovanj in želja dobili lastno državo. Zato je prav, da država ob 35. obletnici osamosvojitve Republike Slovenije </w:t>
      </w:r>
      <w:proofErr w:type="gramStart"/>
      <w:r>
        <w:t>prične s postopki ponovne ustanovitve muzeja</w:t>
      </w:r>
      <w:proofErr w:type="gramEnd"/>
      <w:r>
        <w:t xml:space="preserve">, ki bo predstavil celoten proces slovenske demokratizacije in osamosvojitve. Obdobje slovenske osamosvojitve zajema dva procesa: proces demokratizacije (časovno 1987–1990) ter proces osamosvojitve (1990-1992). </w:t>
      </w:r>
    </w:p>
    <w:p w14:paraId="3BD189A4" w14:textId="77777777" w:rsidR="00C748E9" w:rsidRDefault="00C748E9" w:rsidP="00C748E9"/>
    <w:p w14:paraId="709A3736" w14:textId="77777777" w:rsidR="00C748E9" w:rsidRDefault="00C748E9" w:rsidP="00C748E9">
      <w:r>
        <w:t>Javni zavod Muzej slovenske osamosvojitve je bil kot samostojni javni zavod ustanovljen že leta 2021. V letu 2023 je bil sprejet sklep o ustanovitvi javnega zavoda Muzej novejše in sodobne zgodovine Slovenije, ki je hkrati sklep o spojitvi javnega zavoda Muzej novejše zgodovine Slovenije in javnega zavoda Muzej slovenske osamosvojitve.</w:t>
      </w:r>
    </w:p>
    <w:p w14:paraId="6744FC44" w14:textId="77777777" w:rsidR="00C748E9" w:rsidRDefault="00C748E9" w:rsidP="00C748E9"/>
    <w:p w14:paraId="5C8E9B09" w14:textId="77777777" w:rsidR="00C748E9" w:rsidRDefault="00C748E9" w:rsidP="00C748E9">
      <w:r>
        <w:t xml:space="preserve">Muzej slovenske osamosvojitve se ustanavlja s ciljem, da se na enem mestu zbira, ohranja in preučuje muzejsko gradivo v zvezi z osamosvojitvijo in nastankom samostojne slovenske države (dokumenti, predmeti, pričevanja in drugo) ter bo v razstavnih kontekstih predstavil s tem povezana znanja in vrednote. Muzej slovenske osamosvojitve bo tudi osrednja ustanova za podporo </w:t>
      </w:r>
      <w:proofErr w:type="gramStart"/>
      <w:r>
        <w:t>znanstveno-raziskovalnemu</w:t>
      </w:r>
      <w:proofErr w:type="gramEnd"/>
      <w:r>
        <w:t xml:space="preserve"> delu na področju  procesov demokratizacije in osamosvojitve, ki sta bili najpomembnejši dejanji v slovenski zgodovini.</w:t>
      </w:r>
    </w:p>
    <w:p w14:paraId="65DE9C68" w14:textId="77777777" w:rsidR="00C748E9" w:rsidRDefault="00C748E9" w:rsidP="00C748E9"/>
    <w:p w14:paraId="28233074" w14:textId="77777777" w:rsidR="00C748E9" w:rsidRDefault="00C748E9" w:rsidP="00C748E9">
      <w:r>
        <w:t xml:space="preserve">Muzej novejše zgodovine Slovenije pa se ustanavlja z namenom evidentiranja, zbiranja, dokumentiranja, proučevanja, interpretacije, ohranjanja, razstavljanja in urejene dostopnosti materialne in nesnovne kulturne dediščine s področja sodobne slovenske zgodovine. </w:t>
      </w:r>
    </w:p>
    <w:p w14:paraId="10169068" w14:textId="6906907B" w:rsidR="00C748E9" w:rsidRDefault="00C748E9" w:rsidP="00C748E9">
      <w:pPr>
        <w:pStyle w:val="Vir"/>
      </w:pPr>
      <w:r>
        <w:t>Vir: Ministrstvo za kulturo</w:t>
      </w:r>
    </w:p>
    <w:bookmarkEnd w:id="1"/>
    <w:p w14:paraId="5F50D7DA" w14:textId="2F023547" w:rsidR="00CA69C4" w:rsidRDefault="00CA69C4" w:rsidP="00771D15">
      <w:pPr>
        <w:pStyle w:val="Naslov2"/>
      </w:pPr>
      <w:r>
        <w:t>Vlada o dostopu do informacij javnega značaja</w:t>
      </w:r>
    </w:p>
    <w:p w14:paraId="2EE1B8E5" w14:textId="77777777" w:rsidR="00CA69C4" w:rsidRDefault="00CA69C4" w:rsidP="00CA69C4">
      <w:r>
        <w:t>Vlada je na današnji seji odločila, da delno ugodi zahtevi državljana za dostop do informacij javnega značaja. Prosilec je namreč zahteval dostop do celotnega spisa zadeve Ministrstva za finance, vezane na način izplačila plač zaposlenim v javnem sektorju, ki nimajo transakcijskega računa in zbirnega spisa Finančne uprave Republike Slovenije.</w:t>
      </w:r>
    </w:p>
    <w:p w14:paraId="247EECA1" w14:textId="77777777" w:rsidR="00CA69C4" w:rsidRDefault="00CA69C4" w:rsidP="00CA69C4"/>
    <w:p w14:paraId="3448A23F" w14:textId="77777777" w:rsidR="00CA69C4" w:rsidRDefault="00CA69C4" w:rsidP="00CA69C4">
      <w:r>
        <w:t>Poleg tega je prosilec od Ministrstva za finance zahteval vse povezane zadeve, elektronsko komunikacijo, dokumente o odstopu zadeve, revizijske sledi, sistemske log zapise, pravna mnenja in interne akte, navodila oziroma usmeritve o obravnavi vlog</w:t>
      </w:r>
      <w:proofErr w:type="gramStart"/>
      <w:r>
        <w:t>,</w:t>
      </w:r>
      <w:proofErr w:type="gramEnd"/>
      <w:r>
        <w:t xml:space="preserve"> ter izvedbo testa prevladujočega javnega interesa. Prav tako pa je ta isti prosilec od Ministrstva za finance in Finančne uprave Republike Slovenije zahteval tudi ime in funkcijo udeleženih uradnih oseb, notranjo elektronsko komunikacijo, </w:t>
      </w:r>
      <w:proofErr w:type="gramStart"/>
      <w:r>
        <w:t>sistemske log</w:t>
      </w:r>
      <w:proofErr w:type="gramEnd"/>
      <w:r>
        <w:t xml:space="preserve"> zapise in digitalne sledi na določenih dokumentih, akte o hrambi in izbrisu dokumentov, interna pravila glede postopanja organa v komunikaciji z državljani ter izvedbo testa prevladujočega javnega interesa.</w:t>
      </w:r>
    </w:p>
    <w:p w14:paraId="618528D8" w14:textId="77777777" w:rsidR="00CA69C4" w:rsidRDefault="00CA69C4" w:rsidP="00CA69C4"/>
    <w:p w14:paraId="4C7CDE21" w14:textId="77777777" w:rsidR="00CA69C4" w:rsidRDefault="00CA69C4" w:rsidP="00CA69C4">
      <w:r>
        <w:t xml:space="preserve">Prosilec se je v zahtevi skliceval na obstoj prevladujočega javnega interesa za posredovanje dokumentov v skladu </w:t>
      </w:r>
      <w:proofErr w:type="gramStart"/>
      <w:r>
        <w:t>Zakonom</w:t>
      </w:r>
      <w:proofErr w:type="gramEnd"/>
      <w:r>
        <w:t xml:space="preserve"> o dostopu do informacij javnega značaja (ZDIJZ), zato je za odločitev o zahtevi pristojna Vlada Republike Slovenije, ki je tudi opravila tehtanje obstoja prevladujočega javnega interesa.</w:t>
      </w:r>
    </w:p>
    <w:p w14:paraId="6D6274E6" w14:textId="77777777" w:rsidR="00CA69C4" w:rsidRDefault="00CA69C4" w:rsidP="00CA69C4"/>
    <w:p w14:paraId="752B7E62" w14:textId="77777777" w:rsidR="00CA69C4" w:rsidRDefault="00CA69C4" w:rsidP="00CA69C4">
      <w:r>
        <w:t xml:space="preserve">V primeru Ministrstva za finance je vlada odločila, da se prosilcu delno ugodi, pri čemer se </w:t>
      </w:r>
      <w:proofErr w:type="gramStart"/>
      <w:r>
        <w:t>njegovo zahtevo</w:t>
      </w:r>
      <w:proofErr w:type="gramEnd"/>
      <w:r>
        <w:t xml:space="preserve"> zavrne v delu, v katerem so v posredovani dokumentaciji vsebovani varovani osebni podatki javnih uslužbencev, kakor tudi v delu dokumentacije, s katero ministrstvo ne razpolaga oziroma s katero prosilec že razpolaga. Enako je v primeru Finančne uprave Republike Slovenije vlada odločila, da se zahtevi prosilca za posredovanje zahtevane dokumentacije delno ugodi, pri čemer se</w:t>
      </w:r>
      <w:proofErr w:type="gramStart"/>
      <w:r>
        <w:t xml:space="preserve"> jo</w:t>
      </w:r>
      <w:proofErr w:type="gramEnd"/>
      <w:r>
        <w:t xml:space="preserve"> zavrne v delu, v katerem so v posredovani dokumentaciji vsebovani varovani osebni podatki, kakor tudi v delu dokumentacije, s katero davčni organ ne razpolaga. </w:t>
      </w:r>
    </w:p>
    <w:p w14:paraId="2AFECD00" w14:textId="77777777" w:rsidR="00CA69C4" w:rsidRDefault="00CA69C4" w:rsidP="00771D15">
      <w:pPr>
        <w:pStyle w:val="Vir"/>
      </w:pPr>
      <w:r>
        <w:t>Vir: Ministrstvo za finance</w:t>
      </w:r>
    </w:p>
    <w:p w14:paraId="55A31040" w14:textId="0B95948F" w:rsidR="005D5D80" w:rsidRDefault="005D5D80" w:rsidP="005D5D80">
      <w:pPr>
        <w:pStyle w:val="Naslov2"/>
      </w:pPr>
      <w:r>
        <w:t>Vlada sprejela odgovor Ustavnemu sodišču v zadevi OPPN Ob Belokriški</w:t>
      </w:r>
    </w:p>
    <w:p w14:paraId="5A1C3B43" w14:textId="77777777" w:rsidR="005D5D80" w:rsidRDefault="005D5D80" w:rsidP="005D5D80">
      <w:r>
        <w:t>Vlada Republike Slovenije je na današnji seji sprejela odgovor na navedbe nasprotne udeleženke v postopku zahteve za oceno ustavnosti in zakonitosti Odloka o občinskem podrobnem prostorskem načrtu »Ob Belokriški« ter predlog za odpravo Sklepa o razveljavitvi OPPN Ob Belokriški.</w:t>
      </w:r>
    </w:p>
    <w:p w14:paraId="081A6B29" w14:textId="77777777" w:rsidR="005D5D80" w:rsidRDefault="005D5D80" w:rsidP="005D5D80"/>
    <w:p w14:paraId="788DB3FF" w14:textId="77777777" w:rsidR="005D5D80" w:rsidRDefault="005D5D80" w:rsidP="005D5D80">
      <w:r>
        <w:t>Vlada v postopku pred Ustavnim sodiščem Republike Slovenije vztraja pri zahtevi, vloženi 11. septembra 2025, da se Odlok o občinskem podrobnem prostorskem načrtu »Ob Belokriški« odpravi, saj meni, da je bil sprejet v nasprotju z določbami 14. in 153. člena Ustave Republike Slovenije ter 9., 11., 18., 41. in 129. člena Zakona o urejanju prostora.</w:t>
      </w:r>
    </w:p>
    <w:p w14:paraId="6F3F2F00" w14:textId="77777777" w:rsidR="005D5D80" w:rsidRDefault="005D5D80" w:rsidP="005D5D80"/>
    <w:p w14:paraId="65FB0C75" w14:textId="77777777" w:rsidR="005D5D80" w:rsidRDefault="005D5D80" w:rsidP="005D5D80">
      <w:r>
        <w:t xml:space="preserve">V času trajanja postopka nadzora zakonitosti je Občina Piran sprejela Sklep o razveljavitvi OPPN Ob Belokriški. </w:t>
      </w:r>
    </w:p>
    <w:p w14:paraId="6B19CF46" w14:textId="77777777" w:rsidR="005D5D80" w:rsidRDefault="005D5D80" w:rsidP="005D5D80"/>
    <w:p w14:paraId="5831AA69" w14:textId="77777777" w:rsidR="005D5D80" w:rsidRDefault="005D5D80" w:rsidP="005D5D80">
      <w:r>
        <w:t>Na podlagi podatkov Upravne enote Piran je ugotovljeno, da sta bili na podlagi spornega OPPN Ob Belokriški izdani že dve gradbeni dovoljenji. Ker sta bili izdani na podlagi prostorskega akta, katerega zakonitost in ustavnost sta predmet presoje, Vlada meni, da je treba odpraviti tudi škodljive pravne posledice, ki bi nastale zaradi njegove uporabe.</w:t>
      </w:r>
    </w:p>
    <w:p w14:paraId="04637343" w14:textId="77777777" w:rsidR="005D5D80" w:rsidRDefault="005D5D80" w:rsidP="005D5D80"/>
    <w:p w14:paraId="76498124" w14:textId="77777777" w:rsidR="005D5D80" w:rsidRDefault="005D5D80" w:rsidP="005D5D80">
      <w:r>
        <w:t>Vlada hkrati opozarja, da je Občina Piran s sprejetjem sklepa o razveljavitvi posegla tudi v pravni položaj tretjih oseb. Osebam, ki po razveljavitvi prostorskega akta ne morejo več uveljavljati pravic pod enakimi pogoji kot tisti, ki so gradbena dovoljenja pridobili pred razveljavitvijo, niso zagotovljene enake možnosti. Takšno stanje po oceni Vlade odpira vprašanje spoštovanja načela enakosti pred zakonom iz 14. člena Ustave Republike Slovenije.</w:t>
      </w:r>
    </w:p>
    <w:p w14:paraId="0639F5C4" w14:textId="7CEC3DEE" w:rsidR="00CA69C4" w:rsidRDefault="005D5D80" w:rsidP="005D5D80">
      <w:pPr>
        <w:pStyle w:val="Vir"/>
      </w:pPr>
      <w:r>
        <w:t>Vir: Ministrstvo za okolje in prostor</w:t>
      </w:r>
    </w:p>
    <w:p w14:paraId="2F27BB46" w14:textId="72368F03" w:rsidR="00CA69C4" w:rsidRDefault="00480AE5" w:rsidP="00C748E9">
      <w:pPr>
        <w:pStyle w:val="Naslov2"/>
      </w:pPr>
      <w:r>
        <w:lastRenderedPageBreak/>
        <w:t>P</w:t>
      </w:r>
      <w:r w:rsidR="00CA69C4">
        <w:t>ooblastil</w:t>
      </w:r>
      <w:r>
        <w:t>o</w:t>
      </w:r>
      <w:r w:rsidR="00CA69C4">
        <w:t xml:space="preserve"> za vlaganje uskladitvenih amandmajev Vlade Republike Slovenije</w:t>
      </w:r>
    </w:p>
    <w:p w14:paraId="439F18C8" w14:textId="77777777" w:rsidR="00480AE5" w:rsidRDefault="00480AE5" w:rsidP="00CA69C4">
      <w:r w:rsidRPr="00480AE5">
        <w:t xml:space="preserve">Vlada je na današnji seji sprejel sklep, s katerim je pooblastila mag. Janjo Garvas, generalno sekretarko Vlade Republike Slovenije, za vlaganje uskladitvenih amandmajev v imenu vlade. </w:t>
      </w:r>
    </w:p>
    <w:p w14:paraId="49EC16C4" w14:textId="77777777" w:rsidR="00480AE5" w:rsidRDefault="00480AE5" w:rsidP="00CA69C4"/>
    <w:p w14:paraId="7A2ED80F" w14:textId="49868D6B" w:rsidR="00480AE5" w:rsidRDefault="00480AE5" w:rsidP="00CA69C4">
      <w:r w:rsidRPr="00480AE5">
        <w:t>Vlada s tem sklepom pooblašča generalno sekretarko vlade, da v primeru, ko pri obravnavi predloga zakona ali drugega predloga akta v Državnem zboru Zakonodajno pravna služba ali</w:t>
      </w:r>
      <w:proofErr w:type="gramStart"/>
      <w:r w:rsidRPr="00480AE5">
        <w:t xml:space="preserve"> vlada</w:t>
      </w:r>
      <w:proofErr w:type="gramEnd"/>
      <w:r w:rsidRPr="00480AE5">
        <w:t xml:space="preserve"> ugotovita, da je, zaradi sprejetih amandmajev v postopku obravnave, prišlo do medsebojne neusklajenosti posameznih členov predloga zakona ali drugega predloga akta, v imenu vlade vloži uskladitveni amandma, ki bo omogočil odpravo ugotovljene neusklajenosti.</w:t>
      </w:r>
    </w:p>
    <w:p w14:paraId="7D4E5FFC" w14:textId="79A82042" w:rsidR="00480AE5" w:rsidRDefault="00480AE5" w:rsidP="00480AE5">
      <w:pPr>
        <w:pStyle w:val="Vir"/>
      </w:pPr>
      <w:r w:rsidRPr="00480AE5">
        <w:t>Vir: Kabinet predsednika vlade</w:t>
      </w:r>
    </w:p>
    <w:p w14:paraId="43086951" w14:textId="16A1E1B4" w:rsidR="0015313E" w:rsidRDefault="0015313E" w:rsidP="0015313E">
      <w:pPr>
        <w:pStyle w:val="Naslov2"/>
      </w:pPr>
      <w:r>
        <w:t xml:space="preserve">Vlada sprejela Poročilo o učinkih Zakona o spremembah in dopolnitvah Zakona o upravnem sporu </w:t>
      </w:r>
    </w:p>
    <w:p w14:paraId="561D84C8" w14:textId="77777777" w:rsidR="0015313E" w:rsidRDefault="0015313E" w:rsidP="0015313E">
      <w:r>
        <w:t>Vlada Republike Slovenije je na današnji seji sprejela Poročilo o učinkih Zakona o spremembah in dopolnitvah Zakona o upravnem sporu (ZUS-1C), povezanih s spremembo sestave upravnega in vrhovnega sodišča, ter ga poslala Državnemu zboru Republike Slovenije.</w:t>
      </w:r>
    </w:p>
    <w:p w14:paraId="457BC55F" w14:textId="77777777" w:rsidR="0015313E" w:rsidRDefault="0015313E" w:rsidP="0015313E"/>
    <w:p w14:paraId="384FA9C0" w14:textId="77777777" w:rsidR="0015313E" w:rsidRDefault="0015313E" w:rsidP="0015313E">
      <w:r>
        <w:t>Ključna novost zakona, ki je začel veljati junija 2023, je bila sprememba sestave Upravnega sodišča Republike Slovenije in Vrhovnega sodišča Republike Slovenije pri odločanju v upravnih sporih.</w:t>
      </w:r>
    </w:p>
    <w:p w14:paraId="632FF53A" w14:textId="77777777" w:rsidR="0015313E" w:rsidRDefault="0015313E" w:rsidP="0015313E"/>
    <w:p w14:paraId="41DFA10A" w14:textId="77777777" w:rsidR="0015313E" w:rsidRDefault="0015313E" w:rsidP="0015313E">
      <w:r>
        <w:t>Podatki kažejo, da Upravno sodišče od uveljavitve novele v skoraj 99 odstotkih zadev odloča po sodniku posamezniku, medtem ko se senatno odločanje uporablja predvsem v zahtevnejših primerih. Tudi na upravnem oddelku Vrhovnega sodišča se je povečal delež odločanja po sodniku posamezniku v zadevah, kjer je na prvi stopnji odločal sodnik posameznik.</w:t>
      </w:r>
    </w:p>
    <w:p w14:paraId="3B31D6D9" w14:textId="77777777" w:rsidR="0015313E" w:rsidRDefault="0015313E" w:rsidP="0015313E"/>
    <w:p w14:paraId="020C10FD" w14:textId="77777777" w:rsidR="0015313E" w:rsidRDefault="0015313E" w:rsidP="0015313E">
      <w:r>
        <w:t>Spremenjena ureditev je prispevala k hitrejšemu reševanju novo prejetih zadev. Povprečni čas reševanja zadev, prejetih po uveljavitvi ZUS-1C, se je na Upravnem sodišču skrajšal na 4,9 meseca, na Vrhovnem sodišču pa se je povprečni čas odločanja po letu 2023 dodatno znižal in v začetku leta 2026 znašal le še en mesec.</w:t>
      </w:r>
    </w:p>
    <w:p w14:paraId="23F45855" w14:textId="77777777" w:rsidR="0015313E" w:rsidRDefault="0015313E" w:rsidP="0015313E"/>
    <w:p w14:paraId="6FED84FA" w14:textId="77777777" w:rsidR="0015313E" w:rsidRDefault="0015313E" w:rsidP="0015313E">
      <w:r>
        <w:t>Čeprav se upravno sodstvo sooča z vse večjim številom in kompleksnostjo zadev, ugotovitve kažejo, da je sprememba sestave sodišč pomembno prispevala k ohranjanju učinkovitosti odločanja in preprečevanju podaljševanja sodnih postopkov. Vlada Republike Slovenije zato ocenjuje, da spremembe učinkujejo pozitivno.</w:t>
      </w:r>
    </w:p>
    <w:p w14:paraId="06136256" w14:textId="77777777" w:rsidR="0015313E" w:rsidRDefault="0015313E" w:rsidP="0015313E"/>
    <w:p w14:paraId="30B025EE" w14:textId="77777777" w:rsidR="0015313E" w:rsidRDefault="0015313E" w:rsidP="0015313E">
      <w:r>
        <w:t>Ob tem Vlada poudarja, da bodo zaradi nadaljnjega naraščanja pripada zadev potrebne tudi dodatne sistemske rešitve. V ta namen že poteka raziskovalni projekt Pravne fakultete in Fakultete za upravo Univerze v Ljubljani, katerega cilj je oblikovati predloge za nadaljnje izboljšave upravnega sodstva ter zagotoviti učinkovito sodno varstvo in odločanje brez nepotrebnega odlašanja.</w:t>
      </w:r>
    </w:p>
    <w:p w14:paraId="486F25BD" w14:textId="70ABE723" w:rsidR="00CA69C4" w:rsidRDefault="0015313E" w:rsidP="0015313E">
      <w:pPr>
        <w:pStyle w:val="Vir"/>
      </w:pPr>
      <w:r>
        <w:t>Vir: Ministrstvo za pravosodje</w:t>
      </w:r>
    </w:p>
    <w:p w14:paraId="20C72B6E" w14:textId="37E94E52" w:rsidR="00CA69C4" w:rsidRDefault="00CA69C4" w:rsidP="00771D15">
      <w:pPr>
        <w:pStyle w:val="Naslov2"/>
      </w:pPr>
      <w:r>
        <w:t>Vlada sprejela stališče do predloga uredbe EU o medicinskih pripomočkih</w:t>
      </w:r>
    </w:p>
    <w:p w14:paraId="276F5DBD" w14:textId="77777777" w:rsidR="00CA69C4" w:rsidRDefault="00CA69C4" w:rsidP="00CA69C4">
      <w:r>
        <w:t xml:space="preserve">Vlada Republike Slovenije je sprejela stališče Republike Slovenije do Predloga uredbe Evropskega parlamenta in Sveta o spremembi uredb (EU) 2017/745 in (EU) 2017/746 glede poenostavitve in zmanjšanja bremena pravil o medicinskih pripomočkih ter in vitro </w:t>
      </w:r>
      <w:proofErr w:type="gramStart"/>
      <w:r>
        <w:t>diagnostičnih medicinskih pripomočkih</w:t>
      </w:r>
      <w:proofErr w:type="gramEnd"/>
      <w:r>
        <w:t>, o spremembi Uredbe (EU) 2022/123 glede podpore Evropske agencije za zdravila strokovnim odborom za medicinske pripomočke ter o spremembi Uredbe (EU) 2024/1689 (Akt o umetni inteligenci).</w:t>
      </w:r>
    </w:p>
    <w:p w14:paraId="766BE310" w14:textId="77777777" w:rsidR="00CA69C4" w:rsidRDefault="00CA69C4" w:rsidP="00CA69C4"/>
    <w:p w14:paraId="23F2E0FD" w14:textId="77777777" w:rsidR="00CA69C4" w:rsidRDefault="00CA69C4" w:rsidP="00CA69C4">
      <w:r>
        <w:t xml:space="preserve">Predlog uredbe je del prizadevanj Evropske unije za posodobitev in poenostavitev regulativnega okvira na področju medicinskih pripomočkov. Cilj predloga je zmanjšati administrativna bremena za proizvajalce, poenostaviti postopke certificiranja, izboljšati dostopnost medicinskih pripomočkov za </w:t>
      </w:r>
      <w:proofErr w:type="gramStart"/>
      <w:r>
        <w:t>paciente</w:t>
      </w:r>
      <w:proofErr w:type="gramEnd"/>
      <w:r>
        <w:t xml:space="preserve"> ter okrepiti konkurenčnost evropske industrije, ob hkratnem ohranjanju visoke ravni varovanja javnega zdravja in varnosti pacientov. Predlog med drugim vključuje ukrepe za nadaljnjo digitalizacijo postopkov, lažji dostop inovativnih pripomočkov do trga, prilagoditve pravil za pripomočke, ki uporabljajo umetno inteligenco, ter okrepitev strokovne podpore Evropske agencije za zdravila pri izvajanju zakonodaje na tem področju.</w:t>
      </w:r>
    </w:p>
    <w:p w14:paraId="37AE0D46" w14:textId="77777777" w:rsidR="00CA69C4" w:rsidRDefault="00CA69C4" w:rsidP="00CA69C4"/>
    <w:p w14:paraId="2B3FF539" w14:textId="77777777" w:rsidR="00CA69C4" w:rsidRDefault="00CA69C4" w:rsidP="00CA69C4">
      <w:r>
        <w:t xml:space="preserve">Republika Slovenija podpira osnovne cilje predloga, ki so usmerjeni v poenostavitev regulativnega okvira za medicinske pripomočke, zmanjšanje administrativnih bremen za proizvajalce, večjo predvidljivost postopkov certificiranja, izboljšanje dostopnosti medicinskih pripomočkov ter krepitev konkurenčnosti evropskega trga, ob hkratnem ohranjanju visoke ravni varovanja javnega zdravja in varnosti </w:t>
      </w:r>
      <w:proofErr w:type="gramStart"/>
      <w:r>
        <w:t>pacientov</w:t>
      </w:r>
      <w:proofErr w:type="gramEnd"/>
      <w:r>
        <w:t>. Prav tako podpira okrepljeno vlogo Evropske agencije za zdravila pri strokovni podpori na področju medicinskih pripomočkov.</w:t>
      </w:r>
    </w:p>
    <w:p w14:paraId="1253F186" w14:textId="77777777" w:rsidR="00CA69C4" w:rsidRDefault="00CA69C4" w:rsidP="00771D15">
      <w:pPr>
        <w:pStyle w:val="Vir"/>
      </w:pPr>
      <w:r>
        <w:t>Vir: Ministrstvo za zdravje</w:t>
      </w:r>
    </w:p>
    <w:p w14:paraId="007DA5D4" w14:textId="5BF43562" w:rsidR="00CA69C4" w:rsidRDefault="00CA69C4" w:rsidP="00771D15">
      <w:pPr>
        <w:pStyle w:val="Naslov2"/>
      </w:pPr>
      <w:r>
        <w:t>Vlada sprejela stališče glede sprememb Sporazuma o Evropskem gospodarskem prostoru (EGP)</w:t>
      </w:r>
    </w:p>
    <w:p w14:paraId="51E2B73A" w14:textId="77777777" w:rsidR="00CA69C4" w:rsidRDefault="00CA69C4" w:rsidP="00CA69C4">
      <w:r>
        <w:t xml:space="preserve">Vlada je sprejela stališče Republike Slovenije k predlogu sklepa Sveta EU o stališču, ki naj se v imenu Evropske unije zastopa v Skupnem odboru EGP glede spremembe Priloge IX (Finančne storitve) k Sporazumu EGP. Spremembe se nanašajo na nadzor nekaterih upravljavcev referenčnih vrednosti s strani </w:t>
      </w:r>
      <w:proofErr w:type="gramStart"/>
      <w:r>
        <w:t>Evropskega</w:t>
      </w:r>
      <w:proofErr w:type="gramEnd"/>
      <w:r>
        <w:t xml:space="preserve"> organa za vrednostne papirje in trge (angleško </w:t>
      </w:r>
      <w:proofErr w:type="spellStart"/>
      <w:r>
        <w:t>European</w:t>
      </w:r>
      <w:proofErr w:type="spellEnd"/>
      <w:r>
        <w:t xml:space="preserve"> Securities and Markets Authority – ESMA). Ključni cilj je zagotoviti enotno uporabo pravil EU na področju referenčnih vrednosti v celotnem EGP.</w:t>
      </w:r>
    </w:p>
    <w:p w14:paraId="019C005E" w14:textId="77777777" w:rsidR="00CA69C4" w:rsidRDefault="00CA69C4" w:rsidP="00CA69C4"/>
    <w:p w14:paraId="58C6D6E3" w14:textId="77777777" w:rsidR="00CA69C4" w:rsidRDefault="00CA69C4" w:rsidP="00CA69C4">
      <w:r>
        <w:t>Slovenija podpira sprejetje predlaganega sklepa, saj to omogoča vključitev zakonodaje EU na področju referenčnih vrednosti v Sporazum EGP ter zagotavlja njeno enotno uporabo, ustrezne institucionalne ureditve nadzora ter pravno varnost za subjekte v vseh državah pogodbenicah.</w:t>
      </w:r>
    </w:p>
    <w:p w14:paraId="5B31F153" w14:textId="19D33D9D" w:rsidR="00CA69C4" w:rsidRDefault="00CA69C4" w:rsidP="00771D15">
      <w:pPr>
        <w:pStyle w:val="Vir"/>
      </w:pPr>
      <w:r>
        <w:t>Vir: Ministrstvo za finance</w:t>
      </w:r>
    </w:p>
    <w:p w14:paraId="47C13926" w14:textId="2EA146A4" w:rsidR="004D31AD" w:rsidRDefault="004D31AD" w:rsidP="004D31AD">
      <w:r w:rsidRPr="004D31AD">
        <w:t xml:space="preserve">2B. Predlog sklepa o ustanovitvi Delovne skupine vlade za svetovanje pri revizijah finančnega poslovanja ob </w:t>
      </w:r>
      <w:proofErr w:type="gramStart"/>
      <w:r w:rsidRPr="004D31AD">
        <w:t>primopredajah</w:t>
      </w:r>
      <w:proofErr w:type="gramEnd"/>
      <w:r w:rsidRPr="004D31AD">
        <w:t xml:space="preserve"> na ministrstvih in vladnih službah ter kasnejših revizijah organov državne uprave, Poročevalec: Janez Janša</w:t>
      </w:r>
    </w:p>
    <w:p w14:paraId="383495C2" w14:textId="77777777" w:rsidR="004D31AD" w:rsidRPr="004D31AD" w:rsidRDefault="004D31AD" w:rsidP="004D31AD"/>
    <w:p w14:paraId="47D33837" w14:textId="314C00E0" w:rsidR="00073339" w:rsidRDefault="00073339" w:rsidP="00073339">
      <w:pPr>
        <w:pStyle w:val="Naslov2"/>
      </w:pPr>
      <w:r>
        <w:t>Iztok Slatinšek imenovan za državnega sekretarja na Ministrstvu za okolje in prostor</w:t>
      </w:r>
    </w:p>
    <w:p w14:paraId="3265A654" w14:textId="7F63686F" w:rsidR="00073339" w:rsidRDefault="00073339" w:rsidP="00073339">
      <w:proofErr w:type="gramStart"/>
      <w:r>
        <w:t xml:space="preserve">Vlada  </w:t>
      </w:r>
      <w:proofErr w:type="gramEnd"/>
      <w:r>
        <w:t xml:space="preserve">je sprejela sklep, da se Iztok Slatinšek s </w:t>
      </w:r>
      <w:proofErr w:type="spellStart"/>
      <w:r>
        <w:t>1.julijem</w:t>
      </w:r>
      <w:proofErr w:type="spellEnd"/>
      <w:r>
        <w:t xml:space="preserve"> 2026 imenuje za državnega sekretarja na Ministrstvu za okolje in prostor. </w:t>
      </w:r>
    </w:p>
    <w:p w14:paraId="00AAC5A0" w14:textId="77777777" w:rsidR="00073339" w:rsidRDefault="00073339" w:rsidP="00073339"/>
    <w:p w14:paraId="326C4E30" w14:textId="77777777" w:rsidR="00073339" w:rsidRDefault="00073339" w:rsidP="00073339">
      <w:r>
        <w:t>Iztok Slatinšek je univerzitetni diplomirani inženir geodezije z več kot štiridesetletnimi izkušnjami na področjih geodezije, geoinformacijskih sistemov, upravljanja prostora in okolja. Diplomiral je na Fakulteti za gradbeništvo in geodezijo Univerze v Ljubljani.</w:t>
      </w:r>
    </w:p>
    <w:p w14:paraId="000050B9" w14:textId="77777777" w:rsidR="00073339" w:rsidRDefault="00073339" w:rsidP="00073339"/>
    <w:p w14:paraId="27257A8D" w14:textId="77777777" w:rsidR="00073339" w:rsidRDefault="00073339" w:rsidP="00073339">
      <w:r>
        <w:t xml:space="preserve">V svoji karieri je opravljal številne vodstvene in strokovne </w:t>
      </w:r>
      <w:proofErr w:type="gramStart"/>
      <w:r>
        <w:t>funkcije</w:t>
      </w:r>
      <w:proofErr w:type="gramEnd"/>
      <w:r>
        <w:t xml:space="preserve"> v javnem in zasebnem sektorju. Med drugim je bil generalni direktor Agencije Republike Slovenije za okolje (ARSO) ter generalni direktor Direktorata za okolje na Ministrstvu za okolje. Dolga leta je deloval tudi kot direktor in pooblaščeni inženir na področju geodezije ter sodeloval pri razvoju sodobnih geoinformacijskih sistemov, </w:t>
      </w:r>
      <w:proofErr w:type="gramStart"/>
      <w:r>
        <w:t>monitoringu</w:t>
      </w:r>
      <w:proofErr w:type="gramEnd"/>
      <w:r>
        <w:t xml:space="preserve"> okolja in upravljanju vodnih zemljišč.</w:t>
      </w:r>
    </w:p>
    <w:p w14:paraId="63DB2AEE" w14:textId="77777777" w:rsidR="00073339" w:rsidRDefault="00073339" w:rsidP="00073339"/>
    <w:p w14:paraId="6A0AE92D" w14:textId="77777777" w:rsidR="00073339" w:rsidRDefault="00073339" w:rsidP="00073339">
      <w:r>
        <w:t>Za svoje strokovno delo je prejel priznanja Inženirske zbornice Slovenije in Zveze geodetov Slovenije za prispevek k razvoju in uvajanju novih tehnologij na področju geodezije in pri izvajanju hidrografskih meritev na rekah in inženirskih objektih.</w:t>
      </w:r>
    </w:p>
    <w:p w14:paraId="6EA22BB0" w14:textId="3FA05D7B" w:rsidR="00CA69C4" w:rsidRDefault="00073339" w:rsidP="00073339">
      <w:pPr>
        <w:pStyle w:val="Vir"/>
      </w:pPr>
      <w:r>
        <w:t>Vir: Ministrstvo za okolje in prostor</w:t>
      </w:r>
    </w:p>
    <w:p w14:paraId="7CFD9676" w14:textId="6D42489D" w:rsidR="00CA69C4" w:rsidRDefault="00CA69C4" w:rsidP="00771D15">
      <w:pPr>
        <w:pStyle w:val="Naslov2"/>
      </w:pPr>
      <w:r>
        <w:t>Imenovanje državnega sekretarja v Ministrstvu za gospodarstvo, delo in šport</w:t>
      </w:r>
    </w:p>
    <w:p w14:paraId="4472E677" w14:textId="77777777" w:rsidR="00CA69C4" w:rsidRDefault="00CA69C4" w:rsidP="00CA69C4">
      <w:r>
        <w:t xml:space="preserve">Vlada je na današnji seji na predlog ministra za gospodarstvo, delo in šport na podlagi Zakona o državni upravi (ZDU-1) imenovala novega državnega sekretarja v Ministrstvu za gospodarstvo, delo in šport. ZDU-1 določa, da so </w:t>
      </w:r>
      <w:proofErr w:type="gramStart"/>
      <w:r>
        <w:t>v</w:t>
      </w:r>
      <w:proofErr w:type="gramEnd"/>
      <w:r>
        <w:t xml:space="preserve"> ministrstvu lahko največ trije državni sekretarji, ki jih na predlog ministra imenuje in razrešuje vlada. </w:t>
      </w:r>
      <w:proofErr w:type="gramStart"/>
      <w:r>
        <w:t>V</w:t>
      </w:r>
      <w:proofErr w:type="gramEnd"/>
      <w:r>
        <w:t xml:space="preserve"> ministrstvu sta bila doslej imenovana dva državna sekretarja.</w:t>
      </w:r>
    </w:p>
    <w:p w14:paraId="070046E4" w14:textId="77777777" w:rsidR="00CA69C4" w:rsidRDefault="00CA69C4" w:rsidP="00CA69C4"/>
    <w:p w14:paraId="30AC3C45" w14:textId="77777777" w:rsidR="00CA69C4" w:rsidRPr="00771D15" w:rsidRDefault="00CA69C4" w:rsidP="00771D15">
      <w:r w:rsidRPr="00771D15">
        <w:t>Vlada je za državnega sekretarja imenovala mag. Leona Korošca.</w:t>
      </w:r>
    </w:p>
    <w:p w14:paraId="72A61779" w14:textId="77777777" w:rsidR="00771D15" w:rsidRDefault="00771D15" w:rsidP="00CA69C4"/>
    <w:p w14:paraId="5A90F9AF" w14:textId="0D2C2C24" w:rsidR="00CA69C4" w:rsidRDefault="00CA69C4" w:rsidP="00CA69C4">
      <w:r>
        <w:t>Mag. Korošec je univerzitetni diplomirani ekonomist in magister ekonomskih znanosti. Ima 25 let izkušenj v mednarodnem poslovnem okolju, od tega več kot 15 let na vodilnih položajih v skupini Elan. Kot direktor športne divizije in podpredsednik skupine je vodil poslovanje v obsegu približno 70 milijonov evrov prihodkov ter 400 zaposlenih, z odgovornostjo za delovanje družb v ZDA, Kanadi, na Japonskem in v Nemčiji.</w:t>
      </w:r>
    </w:p>
    <w:p w14:paraId="06C78785" w14:textId="77777777" w:rsidR="00CA69C4" w:rsidRDefault="00CA69C4" w:rsidP="00CA69C4"/>
    <w:p w14:paraId="2FA69DBC" w14:textId="77777777" w:rsidR="00CA69C4" w:rsidRDefault="00CA69C4" w:rsidP="00CA69C4">
      <w:r>
        <w:t>Njegove izkušnje segajo na področja gospodarstva, mednarodnega poslovanja in turizma. Deloval je v vodstvenih in svetovalnih organih mednarodnih panožnih združenj, je član upravnega odbora Britansko-slovenske gospodarske zbornice ter strokovnih teles s področja turizma. Je tudi gostujoči predavatelj na visokošolskih ustanovah.</w:t>
      </w:r>
    </w:p>
    <w:p w14:paraId="1A6FF33D" w14:textId="77777777" w:rsidR="00CA69C4" w:rsidRDefault="00CA69C4" w:rsidP="00771D15">
      <w:pPr>
        <w:pStyle w:val="Vir"/>
      </w:pPr>
      <w:r>
        <w:t>Vir: Ministrstvo za gospodarstvo, delo in šport</w:t>
      </w:r>
    </w:p>
    <w:p w14:paraId="063E78BF" w14:textId="29932E3C" w:rsidR="00CA69C4" w:rsidRDefault="00304583" w:rsidP="00CD04B8">
      <w:pPr>
        <w:pStyle w:val="Naslov2"/>
      </w:pPr>
      <w:r>
        <w:t xml:space="preserve">Vlada imenovala </w:t>
      </w:r>
      <w:r w:rsidR="00CA69C4">
        <w:t>namestnika generalne sekretarke Vlade Republike Slovenije</w:t>
      </w:r>
    </w:p>
    <w:p w14:paraId="5636A170" w14:textId="2517ABA2" w:rsidR="00304583" w:rsidRDefault="00304583" w:rsidP="00304583">
      <w:r>
        <w:t xml:space="preserve">Vlada Republike Slovenije je na današnji seji sprejela sklepa, da </w:t>
      </w:r>
      <w:proofErr w:type="gramStart"/>
      <w:r>
        <w:t xml:space="preserve">se  </w:t>
      </w:r>
      <w:proofErr w:type="gramEnd"/>
      <w:r>
        <w:t>s 1. julijem 2026 za namestnika generalne sekretarke vlade v Generalnem sekretariatu Vlade Republike Slovenije imenujeta Tone Mestnik in Uroš Novak.</w:t>
      </w:r>
    </w:p>
    <w:p w14:paraId="08DC35DC" w14:textId="77777777" w:rsidR="00304583" w:rsidRDefault="00304583" w:rsidP="00304583"/>
    <w:p w14:paraId="030AE92E" w14:textId="77777777" w:rsidR="00304583" w:rsidRDefault="00304583" w:rsidP="00304583">
      <w:r>
        <w:t>Četrti odstavek 25. člena Zakona o Vladi Republike Slovenije določa, da ima generalni sekretar vlade največ dva namestnika, ki generalnega sekretarja vlade nadomeščata pri opravljanju posameznih njegovih nalog. Na predlog generalnega sekretarja vlade njegova namestnika imenuje in razrešuje vlada. Namestniku generalnega sekretarja vlade preneha funkcija z razrešitvijo, odstopom ali prenehanjem funkcije generalnega sekretarja vlade. 54. člen Zakona o funkcionarjih določa, da se spremenjeni in dopolnjeni 25. člen Zakona o Vladi RS začne uporabljati z nastopom funkcije prve vlade po uveljavitvi Zakona o funkcionarjih.</w:t>
      </w:r>
    </w:p>
    <w:p w14:paraId="54A03C49" w14:textId="77777777" w:rsidR="00304583" w:rsidRDefault="00304583" w:rsidP="00304583"/>
    <w:p w14:paraId="2235ADAA" w14:textId="77777777" w:rsidR="00304583" w:rsidRDefault="00304583" w:rsidP="00304583">
      <w:r>
        <w:t xml:space="preserve">Generalna sekretarka Vlade Republike Slovenije je predlagala Vladi Republike Slovenije, da se Tone </w:t>
      </w:r>
      <w:proofErr w:type="gramStart"/>
      <w:r>
        <w:t xml:space="preserve">Mestnik  </w:t>
      </w:r>
      <w:proofErr w:type="gramEnd"/>
      <w:r>
        <w:t xml:space="preserve">in Uroš Novak z dnem 1. 7. 2026 imenujeta za namestnika generalne sekretarke vlade v Generalnem sekretariatu Vlade Republike Slovenije. </w:t>
      </w:r>
    </w:p>
    <w:p w14:paraId="269A4D99" w14:textId="786F6010" w:rsidR="00304583" w:rsidRDefault="00304583" w:rsidP="00304583">
      <w:pPr>
        <w:pStyle w:val="Vir"/>
      </w:pPr>
      <w:r w:rsidRPr="00A26619">
        <w:t>Vir: Generalni sekretariat vlade</w:t>
      </w:r>
    </w:p>
    <w:p w14:paraId="09C84EA8" w14:textId="15D98B86" w:rsidR="00E67BC0" w:rsidRDefault="00E67BC0" w:rsidP="00304583">
      <w:pPr>
        <w:pStyle w:val="Naslov2"/>
      </w:pPr>
      <w:r>
        <w:t>Vlada imenovala novega vršilca dolžnosti direktorja Direkcije za vode</w:t>
      </w:r>
    </w:p>
    <w:p w14:paraId="45C19D71" w14:textId="77777777" w:rsidR="00E67BC0" w:rsidRDefault="00E67BC0" w:rsidP="00E67BC0">
      <w:r>
        <w:lastRenderedPageBreak/>
        <w:t xml:space="preserve">Vlada je na današnji seji razrešila dosedanjo vršilko dolžnosti direktorja Direkcije Republike Slovenije za vode dr. Lidijo Kegljevič Zagorc in za novega vršilca dolžnosti direktorja imenovala Romana Kramerja. </w:t>
      </w:r>
    </w:p>
    <w:p w14:paraId="2FC1C8AD" w14:textId="77777777" w:rsidR="00E67BC0" w:rsidRDefault="00E67BC0" w:rsidP="00E67BC0"/>
    <w:p w14:paraId="383C5968" w14:textId="77777777" w:rsidR="00E67BC0" w:rsidRDefault="00E67BC0" w:rsidP="00E67BC0">
      <w:r>
        <w:t xml:space="preserve">Direkcija za vode je organ v sestavi Ministrstva za okolje in prostor. Vlada je Romana Kramerja, ki izpolnjuje vse predpisane pogoje, za vršilca dolžnosti direktorja imenovala do imenovanja novega direktorja, vendar največ za šest mesecev. Roman Kramer, univerzitetni diplomirani inženir gradbeništva, je v preteklosti že deloval kot vršilec dolžnosti direktorja Direkcije za vode in tudi kot njen direktor. </w:t>
      </w:r>
    </w:p>
    <w:p w14:paraId="7D5FFBC4" w14:textId="77777777" w:rsidR="00E67BC0" w:rsidRPr="00A26619" w:rsidRDefault="00E67BC0" w:rsidP="00E67BC0">
      <w:pPr>
        <w:pStyle w:val="Vir"/>
      </w:pPr>
      <w:r w:rsidRPr="00A26619">
        <w:t>Vir: Ministrstvo za okolje in prostor</w:t>
      </w:r>
    </w:p>
    <w:p w14:paraId="286FDDCB" w14:textId="1106CD82" w:rsidR="00640B98" w:rsidRDefault="00640B98" w:rsidP="00ED104A">
      <w:pPr>
        <w:pStyle w:val="Naslov2"/>
      </w:pPr>
      <w:r>
        <w:t xml:space="preserve">Vlada razrešila vršilca dolžnosti generalnega direktorja Direktorata za obrambno politiko in na položaj imenovala novega vršilca dolžnosti </w:t>
      </w:r>
    </w:p>
    <w:p w14:paraId="1CA71E3B" w14:textId="77777777" w:rsidR="00640B98" w:rsidRDefault="00640B98" w:rsidP="00640B98">
      <w:r>
        <w:t>Vlada Republike Slovenije je 30. junijem 2026 razrešila mag. Aljošo Selana s položaja vršilca dolžnosti generalnega direktorja Direktorata za obrambno politiko na Ministrstvu za obrambo. Ob tem je vlada izdala odločbo o imenovanju mag. Uroša Zorka za vršilca dolžnosti generalnega direktorja Direktorata za obrambno politiko na Ministrstvu za obrambo, in sicer do imenovanja novega generalnega direktorja, vendar največ za šest mesecev, to je najdlje do 31. decembra 2026.</w:t>
      </w:r>
    </w:p>
    <w:p w14:paraId="68933887" w14:textId="77777777" w:rsidR="00640B98" w:rsidRDefault="00640B98" w:rsidP="00ED104A">
      <w:pPr>
        <w:pStyle w:val="Vir"/>
      </w:pPr>
      <w:r>
        <w:t>Vir: Ministrstvo za obrambo</w:t>
      </w:r>
    </w:p>
    <w:p w14:paraId="7647672C" w14:textId="63DF4D6A" w:rsidR="00640B98" w:rsidRDefault="00640B98" w:rsidP="00ED104A">
      <w:pPr>
        <w:pStyle w:val="Naslov2"/>
      </w:pPr>
      <w:r>
        <w:t xml:space="preserve">Vlada razrešila generalnega direktorja Direktorata za vojne veterane in vojaško dediščino ter na položaj imenovala vršilca dolžnosti </w:t>
      </w:r>
    </w:p>
    <w:p w14:paraId="45817558" w14:textId="77777777" w:rsidR="00640B98" w:rsidRDefault="00640B98" w:rsidP="00640B98">
      <w:r>
        <w:t>Vlada Republike Slovenije je s 30. junijem 2026 razrešila mag. Matjaža Ravbarja s položaja generalnega direktorja Direktorata za vojne veterane in vojaško dediščino na Ministrstvu za obrambo. Ob tem je vlada izdala odločbo o imenovanju mag. Klemena Karlina za vršilca dolžnosti generalnega direktorja Direktorata za vojne veterane in vojaško dediščino na Ministrstvu za obrambo, in sicer od 1. julija 2026 do imenovanja novega generalnega direktorja, vendar največ za šest mesecev, to je najdlje do 31. decembra 2026.</w:t>
      </w:r>
    </w:p>
    <w:p w14:paraId="406D6AD9" w14:textId="77777777" w:rsidR="00640B98" w:rsidRDefault="00640B98" w:rsidP="00ED104A">
      <w:pPr>
        <w:pStyle w:val="Vir"/>
      </w:pPr>
      <w:r>
        <w:t>Vir: Ministrstvo za obrambo</w:t>
      </w:r>
    </w:p>
    <w:p w14:paraId="294A1D76" w14:textId="163955AF" w:rsidR="00640B98" w:rsidRDefault="00640B98" w:rsidP="00ED104A">
      <w:pPr>
        <w:pStyle w:val="Naslov2"/>
      </w:pPr>
      <w:r>
        <w:t>Razrešitev in imenovanje vršilca dolžnosti generalnega direktorja Direktorata za industrijo, podjetništvo in internacionalizacijo</w:t>
      </w:r>
    </w:p>
    <w:p w14:paraId="3F8B26A5" w14:textId="77777777" w:rsidR="00640B98" w:rsidRDefault="00640B98" w:rsidP="00640B98">
      <w:r>
        <w:t>Vlada je z dnem 24. junija 2026</w:t>
      </w:r>
      <w:proofErr w:type="gramStart"/>
      <w:r>
        <w:t xml:space="preserve"> s</w:t>
      </w:r>
      <w:proofErr w:type="gramEnd"/>
      <w:r>
        <w:t xml:space="preserve"> položaja vršilca dolžnosti generalnega direktorja Direktorata za industrijo, podjetništvo in internacionalizacijo na Ministrstvu za gospodarstvo, delo in šport razrešila mag. Mateja Skočirja. Z namenom zagotavljanja nemotenega delovanja direktorata je na predlog ministra za gospodarstvo, delo in šport z dnem 25. junija 2026 za vršilca dolžnosti generalnega direktorja imenovala mag. Tineta Novaka, in sicer do imenovanja novega generalnega direktorja, vendar največ za šest mesecev, to je najdlje do 24. decembra 2026.</w:t>
      </w:r>
    </w:p>
    <w:p w14:paraId="585670FD" w14:textId="77777777" w:rsidR="00640B98" w:rsidRDefault="00640B98" w:rsidP="00640B98"/>
    <w:p w14:paraId="07398D14" w14:textId="77777777" w:rsidR="00640B98" w:rsidRDefault="00640B98" w:rsidP="00640B98">
      <w:r>
        <w:t>Mag. Tine Novak je univerzitetni diplomirani pravnik in magister ekonomije, doktorski študij ekonomskih znanosti pa nadaljuje na Univerzi v Mariboru. V svoji karieri je deloval na področjih javnih financ, gospodarske politike, prava in digitalne preobrazbe.</w:t>
      </w:r>
    </w:p>
    <w:p w14:paraId="45E5F2B6" w14:textId="77777777" w:rsidR="00640B98" w:rsidRDefault="00640B98" w:rsidP="00640B98"/>
    <w:p w14:paraId="219CFDAC" w14:textId="77777777" w:rsidR="00640B98" w:rsidRDefault="00640B98" w:rsidP="00640B98">
      <w:r>
        <w:t xml:space="preserve">Med letoma 2022 in 2026 je opravljal </w:t>
      </w:r>
      <w:proofErr w:type="gramStart"/>
      <w:r>
        <w:t>funkcijo</w:t>
      </w:r>
      <w:proofErr w:type="gramEnd"/>
      <w:r>
        <w:t xml:space="preserve"> poslanca Državnega zbora Republike Slovenije ter podpredsednika Odbora za finance, kjer je sodeloval pri pripravi proračunskih dokumentov, oblikovanju zakonodaje s področja finančne stabilnosti in gospodarskega razvoja ter nadzoru nad </w:t>
      </w:r>
      <w:r>
        <w:lastRenderedPageBreak/>
        <w:t>delovanjem državnih institucij. V tem času je bil tudi član Strateškega sveta za finance in gospodarstvo.</w:t>
      </w:r>
    </w:p>
    <w:p w14:paraId="08556584" w14:textId="77777777" w:rsidR="00ED104A" w:rsidRDefault="00ED104A" w:rsidP="00640B98"/>
    <w:p w14:paraId="1EBC62E3" w14:textId="754F9007" w:rsidR="00640B98" w:rsidRDefault="00640B98" w:rsidP="00640B98">
      <w:r>
        <w:t>Na mednarodnem področju je med letoma 2022 in 2025 vodil slovensko delegacijo v Parlamentarni skupščini OVSE. Leta 2023 je bil imenovan za prvega posebnega predstavnika OVSE za umetno inteligenco, kjer je vodil pripravo prve resolucije o upravljanju umetne inteligence, sprejete v vseh 57 državah članicah organizacije.</w:t>
      </w:r>
    </w:p>
    <w:p w14:paraId="3A02C70C" w14:textId="77777777" w:rsidR="00ED104A" w:rsidRDefault="00ED104A" w:rsidP="00640B98"/>
    <w:p w14:paraId="3C2A692B" w14:textId="4F242DED" w:rsidR="00640B98" w:rsidRDefault="00640B98" w:rsidP="00640B98">
      <w:r>
        <w:t>Pred vstopom v državnozborske vrste je kot poslovni svetovalec sodeloval pri projektih razvoja podjetništva, finančnega načrtovanja in digitalizacije malih in srednje velikih podjetij, delovne izkušnje pa je pridobival tudi na področju gospodarskega in korporativnega prava. Je avtor strokovnih prispevkov s področja korporativnega upravljanja in državnih kapitalskih naložb.</w:t>
      </w:r>
    </w:p>
    <w:p w14:paraId="42117422" w14:textId="77777777" w:rsidR="00640B98" w:rsidRDefault="00640B98" w:rsidP="00640B98"/>
    <w:p w14:paraId="32A10A34" w14:textId="77777777" w:rsidR="00640B98" w:rsidRDefault="00640B98" w:rsidP="00640B98">
      <w:r>
        <w:t xml:space="preserve">Zakon o javnih uslužbencih določa, da generalne direktorje </w:t>
      </w:r>
      <w:proofErr w:type="gramStart"/>
      <w:r>
        <w:t>v</w:t>
      </w:r>
      <w:proofErr w:type="gramEnd"/>
      <w:r>
        <w:t xml:space="preserve"> ministrstvih imenuje vlada na predlog pristojnega ministra. Prav tako določa, da lahko v času od začetka natečajnega postopka do imenovanja novega uradnika naloge položaja brez javnega natečaja opravlja vršilec dolžnosti, vendar največ šest mesecev.</w:t>
      </w:r>
    </w:p>
    <w:p w14:paraId="1B3DF7D8" w14:textId="77777777" w:rsidR="00640B98" w:rsidRDefault="00640B98" w:rsidP="00ED104A">
      <w:pPr>
        <w:pStyle w:val="Vir"/>
      </w:pPr>
      <w:r>
        <w:t>Vir: Ministrstvo za gospodarstvo, delo in šport</w:t>
      </w:r>
    </w:p>
    <w:p w14:paraId="17DE88AA" w14:textId="202A8208" w:rsidR="00640B98" w:rsidRDefault="00640B98" w:rsidP="00ED104A">
      <w:pPr>
        <w:pStyle w:val="Naslov2"/>
      </w:pPr>
      <w:r>
        <w:t xml:space="preserve">Vlada imenovala vršilko dolžnosti generalnega direktorja Direktorata za starejše, dolgotrajno oskrbo in deinstitucionalizacijo </w:t>
      </w:r>
    </w:p>
    <w:p w14:paraId="2612EA52" w14:textId="77777777" w:rsidR="00640B98" w:rsidRDefault="00640B98" w:rsidP="00640B98">
      <w:r>
        <w:t xml:space="preserve">Vlada je s 30. junijem 2026 z mesta generalne direktorice Direktorata za starejše, dolgotrajno oskrbo in deinstitucionalizacijo v Ministrstvu za demografijo, družino in socialne zadeve razrešila Matejo Nagode. </w:t>
      </w:r>
    </w:p>
    <w:p w14:paraId="3EB40ABB" w14:textId="77777777" w:rsidR="00640B98" w:rsidRDefault="00640B98" w:rsidP="00640B98"/>
    <w:p w14:paraId="0C96E7C2" w14:textId="1385C47A" w:rsidR="00642DDA" w:rsidRPr="00642DDA" w:rsidRDefault="00640B98" w:rsidP="00642DDA">
      <w:r>
        <w:t>Za vršilko dolžnosti generalnega direktorja direktorata je vlada s 1. julijem 2026 imenovala mag. Vesno Vodišek Razboršek</w:t>
      </w:r>
      <w:r w:rsidR="00642DDA">
        <w:t>,</w:t>
      </w:r>
      <w:r>
        <w:t xml:space="preserve"> </w:t>
      </w:r>
      <w:r w:rsidR="00642DDA" w:rsidRPr="00642DDA">
        <w:t xml:space="preserve">magistrico znanosti s področja </w:t>
      </w:r>
      <w:proofErr w:type="gramStart"/>
      <w:r w:rsidR="00642DDA" w:rsidRPr="00642DDA">
        <w:t>managementa</w:t>
      </w:r>
      <w:proofErr w:type="gramEnd"/>
      <w:r w:rsidR="00642DDA" w:rsidRPr="00642DDA">
        <w:t xml:space="preserve"> neprofitnih organizacij, z bogatimi izkušnjami v institucionalnem varstvu starejših. Med drugim je skoraj 14 let vodila Dom starejših Šentjur.   </w:t>
      </w:r>
    </w:p>
    <w:p w14:paraId="3CC646F4" w14:textId="77777777" w:rsidR="00640B98" w:rsidRDefault="00640B98" w:rsidP="00ED104A">
      <w:pPr>
        <w:pStyle w:val="Vir"/>
      </w:pPr>
      <w:r>
        <w:t xml:space="preserve">Vir: Ministrstvo za demografijo, družino in socialne zadeve </w:t>
      </w:r>
    </w:p>
    <w:p w14:paraId="22CB33A5" w14:textId="4F45E359" w:rsidR="00640B98" w:rsidRDefault="00640B98" w:rsidP="00ED104A">
      <w:pPr>
        <w:pStyle w:val="Naslov2"/>
      </w:pPr>
      <w:r>
        <w:t xml:space="preserve">Vlada imenovala vršilko dolžnosti generalnega direktorja Direktorata za socialne zadeve </w:t>
      </w:r>
    </w:p>
    <w:p w14:paraId="6CD87337" w14:textId="77777777" w:rsidR="00640B98" w:rsidRDefault="00640B98" w:rsidP="00640B98">
      <w:r>
        <w:t xml:space="preserve">Vlada je s 30. junijem 2026 z mesta vršilke dolžnosti generalnega direktorja Direktorata za socialne zadeve v Ministrstvu za demografijo, družino in socialne zadeve razrešila Polono Obrč. </w:t>
      </w:r>
    </w:p>
    <w:p w14:paraId="46C90542" w14:textId="77777777" w:rsidR="00640B98" w:rsidRDefault="00640B98" w:rsidP="00640B98"/>
    <w:p w14:paraId="28DB8D9E" w14:textId="40FB7451" w:rsidR="00640B98" w:rsidRDefault="00640B98" w:rsidP="00640B98">
      <w:r>
        <w:t>Za novo vršilko dolžnosti generalnega direktorja direktorata je vlada s 1. julijem 2026 imenovala Urško Repar Justin</w:t>
      </w:r>
      <w:r w:rsidR="00642DDA">
        <w:t xml:space="preserve">, </w:t>
      </w:r>
      <w:r w:rsidR="00642DDA" w:rsidRPr="00642DDA">
        <w:t>univerzitetno diplomirano pravnico, z bogatimi izkušnjami v socialnovarstveni dejavnosti. Med drugim je dobra štiri leta vodila CSD Radovljica, zadnjih osem leta pa vodi CSD Gorenjska.</w:t>
      </w:r>
    </w:p>
    <w:p w14:paraId="41305DB9" w14:textId="77777777" w:rsidR="00640B98" w:rsidRDefault="00640B98" w:rsidP="00ED104A">
      <w:pPr>
        <w:pStyle w:val="Vir"/>
      </w:pPr>
      <w:r>
        <w:t xml:space="preserve">Vir: Ministrstvo za demografijo, družino in socialne zadeve </w:t>
      </w:r>
    </w:p>
    <w:p w14:paraId="429C886C" w14:textId="6C4CA0B0" w:rsidR="00640B98" w:rsidRDefault="00640B98" w:rsidP="00ED104A">
      <w:pPr>
        <w:pStyle w:val="Naslov2"/>
      </w:pPr>
      <w:r>
        <w:t xml:space="preserve">Vlada imenovala vršilca dolžnosti generalnega direktorja Direktorata za družino </w:t>
      </w:r>
    </w:p>
    <w:p w14:paraId="1A99A80F" w14:textId="77777777" w:rsidR="00640B98" w:rsidRDefault="00640B98" w:rsidP="00640B98">
      <w:r>
        <w:t xml:space="preserve">Vlada je s 30. junijem 2026 z mesta generalne direktorice Direktorata za družino v Ministrstvu za demografijo, družino in socialne zadeve razrešila Anito Bregar. </w:t>
      </w:r>
    </w:p>
    <w:p w14:paraId="13D0FEAD" w14:textId="77777777" w:rsidR="00640B98" w:rsidRDefault="00640B98" w:rsidP="00640B98"/>
    <w:p w14:paraId="2E44BAB4" w14:textId="77777777" w:rsidR="00642DDA" w:rsidRPr="00642DDA" w:rsidRDefault="00640B98" w:rsidP="00642DDA">
      <w:r>
        <w:t>Za vršilca dolžnosti generalnega direktorja direktorata je vlada s 1. julijem 2026 imenovala Dušana Mikuža</w:t>
      </w:r>
      <w:r w:rsidR="00642DDA">
        <w:t xml:space="preserve">, </w:t>
      </w:r>
      <w:r w:rsidR="00642DDA" w:rsidRPr="00642DDA">
        <w:t xml:space="preserve">univerzitetnega diplomiranega politologa, ki je med letoma 2020 in 2022 kot generalni direktor Direktorata za družino v preteklosti že oblikoval in usklajeval sistemske rešitve družinske politike. </w:t>
      </w:r>
    </w:p>
    <w:p w14:paraId="0F89F45F" w14:textId="77777777" w:rsidR="00640B98" w:rsidRDefault="00640B98" w:rsidP="00ED104A">
      <w:pPr>
        <w:pStyle w:val="Vir"/>
      </w:pPr>
      <w:r>
        <w:lastRenderedPageBreak/>
        <w:t xml:space="preserve">Vir: Ministrstvo za demografijo, družino in socialne zadeve </w:t>
      </w:r>
    </w:p>
    <w:p w14:paraId="0C295FBE" w14:textId="77688526" w:rsidR="00640B98" w:rsidRPr="00ED104A" w:rsidRDefault="00640B98" w:rsidP="00ED104A">
      <w:pPr>
        <w:pStyle w:val="Naslov2"/>
        <w:rPr>
          <w:rStyle w:val="Naslov2Znak"/>
          <w:b/>
          <w:bCs/>
        </w:rPr>
      </w:pPr>
      <w:r w:rsidRPr="00ED104A">
        <w:t xml:space="preserve">Vlada imenovala vršilko dolžnosti generalne direktorice Direktorata za upravno notranje </w:t>
      </w:r>
      <w:r w:rsidRPr="00ED104A">
        <w:rPr>
          <w:rStyle w:val="Naslov2Znak"/>
          <w:b/>
          <w:bCs/>
        </w:rPr>
        <w:t>zadeve v Ministrstvu za notranje zadeve in javno upravo</w:t>
      </w:r>
    </w:p>
    <w:p w14:paraId="0C13AC02" w14:textId="77777777" w:rsidR="00640B98" w:rsidRDefault="00640B98" w:rsidP="00640B98">
      <w:r>
        <w:t>Vlada Republike Slovenije je izdala odločbo o razrešitvi Urške Židan s položaja generalne direktorice Direktorata za upravne notranje zadeve v Ministrstvu za notranje zadeve in javno upravo s 23. junijem 2026.</w:t>
      </w:r>
    </w:p>
    <w:p w14:paraId="69BA6D5D" w14:textId="77777777" w:rsidR="00640B98" w:rsidRDefault="00640B98" w:rsidP="00640B98"/>
    <w:p w14:paraId="3002822C" w14:textId="77777777" w:rsidR="00640B98" w:rsidRDefault="00640B98" w:rsidP="00640B98">
      <w:r>
        <w:t>Vlada je izdala odločbo o imenovanju Alenke Colja za vršilko dolžnosti generalne direktorice Direktorata za upravne notranje zadeve v Ministrstvu za notranje zadeve in javno upravo, in sicer od 24. junija 2026 do imenovanja novega generalnega direktorja Direktorata za upravne notranje zadeve v Ministrstvu za notranje zadeve in javno upravo, vendar največ za šest mesecev, to je najdlje do 23. decembra 2026. Alenka Colja je sicer od leta 2008 vodja Sektorja za registracijo prebivalstva in javne listine na Direktoratu za upravne notranje zadeve.</w:t>
      </w:r>
    </w:p>
    <w:p w14:paraId="59B04077" w14:textId="77777777" w:rsidR="00640B98" w:rsidRDefault="00640B98" w:rsidP="00A85553">
      <w:pPr>
        <w:pStyle w:val="Vir"/>
      </w:pPr>
      <w:r>
        <w:t>Vir: Ministrstvo za notranje zadeve in javno upravo</w:t>
      </w:r>
    </w:p>
    <w:p w14:paraId="491EADE1" w14:textId="3DC9F7FD" w:rsidR="004B6FDB" w:rsidRDefault="004B6FDB" w:rsidP="004B6FDB">
      <w:pPr>
        <w:pStyle w:val="Naslov2"/>
      </w:pPr>
      <w:r>
        <w:t>Vlada imenovala vršilca dolžnosti direktorja Urada Republike Slovenije za preprečevanje pranja denarja</w:t>
      </w:r>
    </w:p>
    <w:p w14:paraId="390172AC" w14:textId="77777777" w:rsidR="004B6FDB" w:rsidRDefault="004B6FDB" w:rsidP="004B6FDB">
      <w:r>
        <w:t>Vlada je izdala odločbo o razrešitvi Jureta Palke s položaja vršilca dolžnosti direktorja Urada Republike Slovenije za preprečevanje pranja denarja (UPPD) Ministrstva za finance ter o imenovanju Dušana Šafariča za vršilca dolžnosti direktorja UPPD</w:t>
      </w:r>
      <w:proofErr w:type="gramStart"/>
      <w:r>
        <w:t xml:space="preserve"> in</w:t>
      </w:r>
      <w:proofErr w:type="gramEnd"/>
      <w:r>
        <w:t xml:space="preserve"> sicer od 1. julija  2026 do imenovanja novega direktorja UPPD, vendar največ za 6 mesecev (najdlje do 31. 12. 2026). </w:t>
      </w:r>
    </w:p>
    <w:p w14:paraId="79094B4D" w14:textId="0798F379" w:rsidR="00640B98" w:rsidRDefault="004B6FDB" w:rsidP="004B6FDB">
      <w:pPr>
        <w:pStyle w:val="Vir"/>
      </w:pPr>
      <w:r>
        <w:t>Vir: Ministrstvo za finance</w:t>
      </w:r>
    </w:p>
    <w:p w14:paraId="30842EAA" w14:textId="4BE1FC66" w:rsidR="00641347" w:rsidRDefault="00641347" w:rsidP="00641347">
      <w:pPr>
        <w:pStyle w:val="Naslov2"/>
      </w:pPr>
      <w:r>
        <w:t>Vlada razrešila generalnega direktorja Direktorata za medije</w:t>
      </w:r>
    </w:p>
    <w:p w14:paraId="59FEFE5B" w14:textId="3784A1B1" w:rsidR="00641347" w:rsidRDefault="00641347" w:rsidP="00641347">
      <w:r>
        <w:t xml:space="preserve">Vlada je na redni seji izdala odločbo, s katero je s 26. junijem dr. Blaža Mazija razrešila s položaja generalnega direktorja Direktorata za medije. </w:t>
      </w:r>
    </w:p>
    <w:p w14:paraId="0BFFEDF3" w14:textId="77777777" w:rsidR="00641347" w:rsidRDefault="00641347" w:rsidP="00641347"/>
    <w:p w14:paraId="2670D7A8" w14:textId="3BA38A5D" w:rsidR="00641347" w:rsidRDefault="00641347" w:rsidP="00641347">
      <w:r>
        <w:t xml:space="preserve">Zakon o javnih uslužbencih v petem odstavku 92. člena določa, da lahko funkcionar oziroma organ, pristojen za imenovanje, na predlog funkcionarja, pristojnega za predlaganje imenovanja, v enem letu od nastopa funkcije z odločbo razreši generalnega direktorja </w:t>
      </w:r>
      <w:proofErr w:type="gramStart"/>
      <w:r>
        <w:t>v</w:t>
      </w:r>
      <w:proofErr w:type="gramEnd"/>
      <w:r>
        <w:t xml:space="preserve"> ministrstvu, ne glede na razloge iz drugega odstavka tega člena.</w:t>
      </w:r>
    </w:p>
    <w:p w14:paraId="6DF439D2" w14:textId="520DFF67" w:rsidR="00640B98" w:rsidRDefault="00641347" w:rsidP="00641347">
      <w:pPr>
        <w:pStyle w:val="Vir"/>
      </w:pPr>
      <w:r>
        <w:t>Vir: Ministrstvo za kulturo</w:t>
      </w:r>
    </w:p>
    <w:p w14:paraId="20987917" w14:textId="5132EA83" w:rsidR="00A26F91" w:rsidRDefault="00A26F91" w:rsidP="00A26F91">
      <w:pPr>
        <w:pStyle w:val="Naslov2"/>
      </w:pPr>
      <w:r>
        <w:t>Vlada imenovala namestnika guvernerja v Svetu guvernerjev Evropske banke za obnovo in razvoj</w:t>
      </w:r>
    </w:p>
    <w:p w14:paraId="146A33EF" w14:textId="77777777" w:rsidR="00A26F91" w:rsidRDefault="00A26F91" w:rsidP="00A26F91">
      <w:r>
        <w:t>Vlada Republike Slovenije je razrešila namestnico guvernerja v Svetu guvernerjev Evropske banke za obnovo in razvoj Nikolino Prah in namesto nje imenovala Petra Papeža, državnega sekretarja na Ministrstvu za finance.</w:t>
      </w:r>
    </w:p>
    <w:p w14:paraId="3C15A1BB" w14:textId="495723BA" w:rsidR="00640B98" w:rsidRDefault="00A26F91" w:rsidP="00A26F91">
      <w:pPr>
        <w:pStyle w:val="Vir"/>
      </w:pPr>
      <w:r>
        <w:t>Vir: Ministrstvo za finance</w:t>
      </w:r>
    </w:p>
    <w:p w14:paraId="3FA88578" w14:textId="0E42CFA7" w:rsidR="00A26F91" w:rsidRDefault="00A26F91" w:rsidP="00A26F91">
      <w:pPr>
        <w:pStyle w:val="Naslov2"/>
      </w:pPr>
      <w:r>
        <w:t xml:space="preserve">Vlada imenovala namestnika guvernerja Republike Slovenije v Mednarodni banki za obnovo in razvoj, Mednarodni finančni korporaciji, Mednarodnem združenju za razvoj in Mednarodnem združenju za zavarovanje </w:t>
      </w:r>
      <w:proofErr w:type="gramStart"/>
      <w:r>
        <w:t>investicij</w:t>
      </w:r>
      <w:proofErr w:type="gramEnd"/>
    </w:p>
    <w:p w14:paraId="3F152456" w14:textId="77777777" w:rsidR="00A26F91" w:rsidRDefault="00A26F91" w:rsidP="00A26F91">
      <w:r>
        <w:lastRenderedPageBreak/>
        <w:t xml:space="preserve">Vlada je razrešila Nikolino Prah kot namestnico guvernerja Republike Slovenije v Mednarodni banki za obnovo in razvoj, Mednarodni finančni korporaciji, Mednarodnem združenju za razvoj in Mednarodnem združenju za zavarovanje </w:t>
      </w:r>
      <w:proofErr w:type="gramStart"/>
      <w:r>
        <w:t>investicij</w:t>
      </w:r>
      <w:proofErr w:type="gramEnd"/>
      <w:r>
        <w:t xml:space="preserve"> in kot namestnika guvernerja imenovala Petra Papeža, državnega sekretarja na Ministrstvu za finance.</w:t>
      </w:r>
    </w:p>
    <w:p w14:paraId="09683BD5" w14:textId="291FC59E" w:rsidR="00640B98" w:rsidRDefault="00A26F91" w:rsidP="00A26F91">
      <w:pPr>
        <w:pStyle w:val="Vir"/>
      </w:pPr>
      <w:r>
        <w:t>Vir: Ministrstvo za finance</w:t>
      </w:r>
    </w:p>
    <w:p w14:paraId="6BD8F250" w14:textId="68E8E118" w:rsidR="003A4001" w:rsidRDefault="00C5302B" w:rsidP="00C5302B">
      <w:pPr>
        <w:pStyle w:val="Naslov2"/>
      </w:pPr>
      <w:r>
        <w:t>O</w:t>
      </w:r>
      <w:r w:rsidR="003A4001">
        <w:t>dpoklic članov in imenovanj</w:t>
      </w:r>
      <w:r>
        <w:t>e</w:t>
      </w:r>
      <w:r w:rsidR="003A4001">
        <w:t xml:space="preserve"> članov Upravnega odbora Javnega gospodarskega zavoda Protokolarne storitve Republike Slovenije</w:t>
      </w:r>
    </w:p>
    <w:p w14:paraId="4A702D9E" w14:textId="3291FFC9" w:rsidR="00C5302B" w:rsidRDefault="00C5302B" w:rsidP="00C5302B">
      <w:r>
        <w:t>Vlada Republike Slovenije je odpoklicala člane upravnega odbora Javnega gospodarskega zavoda Protokolarne storitve Republike Slovenije Špelo Spanžel, Bernardo Suša, mag. Aleksandra Strela, mag. Sandro Pahić, Zalo Strnad Zelenik in Jadranko Gustinčič.</w:t>
      </w:r>
    </w:p>
    <w:p w14:paraId="4C92D260" w14:textId="77777777" w:rsidR="00C5302B" w:rsidRDefault="00C5302B" w:rsidP="00C5302B"/>
    <w:p w14:paraId="379D8DC2" w14:textId="77777777" w:rsidR="00C5302B" w:rsidRDefault="00C5302B" w:rsidP="00C5302B">
      <w:r>
        <w:t>Vlada Republike Slovenije je za člane Upravnega odbora Javnega gospodarskega zavoda Protokolarne storitve Republike Slovenije z dnem 24. 6. 2026 za mandatno dobo štirih let, in sicer</w:t>
      </w:r>
      <w:proofErr w:type="gramStart"/>
      <w:r>
        <w:t xml:space="preserve"> do</w:t>
      </w:r>
      <w:proofErr w:type="gramEnd"/>
      <w:r>
        <w:t xml:space="preserve"> 23. 6. 2030 imenovala Dušanko Leben, mag. Andrejo Ravnihar Megušar, Aleksandro Petro Marolt Vajda, Moniko Gregorčič, mag. Aleksandra Strela in Žana Skubica.</w:t>
      </w:r>
    </w:p>
    <w:p w14:paraId="32541FFF" w14:textId="77777777" w:rsidR="00C5302B" w:rsidRDefault="00C5302B" w:rsidP="00C5302B"/>
    <w:p w14:paraId="605C4F47" w14:textId="77777777" w:rsidR="00C5302B" w:rsidRDefault="00C5302B" w:rsidP="00C5302B">
      <w:r>
        <w:t xml:space="preserve">Odlok o ustanovitvi Javnega gospodarskega zavoda Protokolarne storitve Republike </w:t>
      </w:r>
      <w:proofErr w:type="gramStart"/>
      <w:r>
        <w:t xml:space="preserve">Slovenije  </w:t>
      </w:r>
      <w:proofErr w:type="gramEnd"/>
      <w:r>
        <w:t>v 20. členu določa, da šest članov upravnega odbora imenuje ustanoviteljica. Člani upravnega odbora so imenovani za dobo štirih let in so lahko ponovno imenovani.</w:t>
      </w:r>
    </w:p>
    <w:p w14:paraId="44836471" w14:textId="505A483C" w:rsidR="003A4001" w:rsidRDefault="00C5302B" w:rsidP="00C5302B">
      <w:pPr>
        <w:pStyle w:val="Vir"/>
      </w:pPr>
      <w:r>
        <w:t>Vir: Generalni sekretariat vlade</w:t>
      </w:r>
    </w:p>
    <w:p w14:paraId="1DEFDB45" w14:textId="77777777" w:rsidR="004D31AD" w:rsidRPr="004D31AD" w:rsidRDefault="004D31AD" w:rsidP="004D31AD"/>
    <w:tbl>
      <w:tblPr>
        <w:tblW w:w="846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567"/>
        <w:gridCol w:w="7893"/>
      </w:tblGrid>
      <w:tr w:rsidR="003A4001" w:rsidRPr="003E1275" w14:paraId="48EC3802" w14:textId="77777777" w:rsidTr="00111630">
        <w:trPr>
          <w:trHeight w:val="417"/>
        </w:trPr>
        <w:tc>
          <w:tcPr>
            <w:tcW w:w="567" w:type="dxa"/>
            <w:tcBorders>
              <w:top w:val="nil"/>
              <w:left w:val="nil"/>
              <w:bottom w:val="nil"/>
              <w:right w:val="nil"/>
            </w:tcBorders>
          </w:tcPr>
          <w:p w14:paraId="5CEEA768" w14:textId="29984849" w:rsidR="003A4001" w:rsidRPr="003E1275" w:rsidRDefault="003A4001" w:rsidP="00111630">
            <w:pPr>
              <w:jc w:val="both"/>
              <w:rPr>
                <w:rFonts w:cs="Arial"/>
                <w:szCs w:val="20"/>
              </w:rPr>
            </w:pPr>
          </w:p>
        </w:tc>
        <w:tc>
          <w:tcPr>
            <w:tcW w:w="7893" w:type="dxa"/>
            <w:tcBorders>
              <w:top w:val="nil"/>
              <w:left w:val="nil"/>
              <w:bottom w:val="nil"/>
              <w:right w:val="nil"/>
            </w:tcBorders>
          </w:tcPr>
          <w:p w14:paraId="3EAE89E0" w14:textId="01B576B9" w:rsidR="003A4001" w:rsidRPr="003E1275" w:rsidRDefault="003A4001" w:rsidP="00111630">
            <w:pPr>
              <w:jc w:val="both"/>
              <w:rPr>
                <w:rFonts w:cs="Arial"/>
                <w:szCs w:val="20"/>
              </w:rPr>
            </w:pPr>
          </w:p>
        </w:tc>
      </w:tr>
      <w:tr w:rsidR="003A4001" w:rsidRPr="003E1275" w14:paraId="795A2A44" w14:textId="77777777" w:rsidTr="00111630">
        <w:tc>
          <w:tcPr>
            <w:tcW w:w="567" w:type="dxa"/>
            <w:tcBorders>
              <w:top w:val="nil"/>
              <w:left w:val="nil"/>
              <w:bottom w:val="nil"/>
              <w:right w:val="nil"/>
            </w:tcBorders>
          </w:tcPr>
          <w:p w14:paraId="292D7234" w14:textId="77777777" w:rsidR="003A4001" w:rsidRPr="003E1275" w:rsidRDefault="003A4001" w:rsidP="00111630">
            <w:pPr>
              <w:jc w:val="both"/>
              <w:rPr>
                <w:rFonts w:cs="Arial"/>
                <w:szCs w:val="20"/>
              </w:rPr>
            </w:pPr>
          </w:p>
          <w:p w14:paraId="4F8307B0" w14:textId="77777777" w:rsidR="003A4001" w:rsidRPr="003E1275" w:rsidRDefault="003A4001" w:rsidP="00111630">
            <w:pPr>
              <w:jc w:val="both"/>
              <w:rPr>
                <w:rFonts w:cs="Arial"/>
                <w:szCs w:val="20"/>
              </w:rPr>
            </w:pPr>
          </w:p>
        </w:tc>
        <w:tc>
          <w:tcPr>
            <w:tcW w:w="7893" w:type="dxa"/>
            <w:tcBorders>
              <w:top w:val="nil"/>
              <w:left w:val="nil"/>
              <w:bottom w:val="nil"/>
              <w:right w:val="nil"/>
            </w:tcBorders>
          </w:tcPr>
          <w:p w14:paraId="5C60E58F" w14:textId="77777777" w:rsidR="00C5302B" w:rsidRPr="00C5302B" w:rsidRDefault="00C5302B" w:rsidP="00C5302B">
            <w:pPr>
              <w:jc w:val="both"/>
              <w:rPr>
                <w:rFonts w:cs="Arial"/>
                <w:color w:val="000000"/>
                <w:szCs w:val="20"/>
              </w:rPr>
            </w:pPr>
          </w:p>
          <w:p w14:paraId="0C5386E1" w14:textId="77777777" w:rsidR="00C5302B" w:rsidRPr="00C5302B" w:rsidRDefault="00C5302B" w:rsidP="00C5302B">
            <w:pPr>
              <w:jc w:val="both"/>
              <w:rPr>
                <w:rFonts w:cs="Arial"/>
                <w:color w:val="000000"/>
                <w:szCs w:val="20"/>
              </w:rPr>
            </w:pPr>
          </w:p>
          <w:p w14:paraId="2C454AFA" w14:textId="77777777" w:rsidR="003A4001" w:rsidRPr="003E1275" w:rsidRDefault="003A4001" w:rsidP="00C5302B">
            <w:pPr>
              <w:jc w:val="both"/>
              <w:rPr>
                <w:rFonts w:cs="Arial"/>
                <w:szCs w:val="20"/>
              </w:rPr>
            </w:pPr>
          </w:p>
        </w:tc>
      </w:tr>
    </w:tbl>
    <w:p w14:paraId="45C5A9FF" w14:textId="77777777" w:rsidR="003A4001" w:rsidRPr="00640B98" w:rsidRDefault="003A4001" w:rsidP="00640B98"/>
    <w:sectPr w:rsidR="003A4001" w:rsidRPr="00640B98" w:rsidSect="00F01966">
      <w:type w:val="continuous"/>
      <w:pgSz w:w="11906" w:h="16838"/>
      <w:pgMar w:top="1135" w:right="1417" w:bottom="1417" w:left="1417"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762F9" w14:textId="77777777" w:rsidR="00C823A2" w:rsidRDefault="00C823A2" w:rsidP="00750D01">
      <w:pPr>
        <w:spacing w:line="240" w:lineRule="auto"/>
      </w:pPr>
      <w:r>
        <w:separator/>
      </w:r>
    </w:p>
  </w:endnote>
  <w:endnote w:type="continuationSeparator" w:id="0">
    <w:p w14:paraId="4DF10BF1" w14:textId="77777777" w:rsidR="00C823A2" w:rsidRDefault="00C823A2"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57046" w14:textId="77777777" w:rsidR="00C823A2" w:rsidRDefault="00C823A2" w:rsidP="00750D01">
      <w:pPr>
        <w:spacing w:line="240" w:lineRule="auto"/>
      </w:pPr>
      <w:r>
        <w:separator/>
      </w:r>
    </w:p>
  </w:footnote>
  <w:footnote w:type="continuationSeparator" w:id="0">
    <w:p w14:paraId="603ECCA0" w14:textId="77777777" w:rsidR="00C823A2" w:rsidRDefault="00C823A2"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6B71" w14:textId="77777777" w:rsidR="009540E4" w:rsidRPr="00110CBD" w:rsidRDefault="009540E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F38C" w14:textId="1CA9CECA" w:rsidR="00F01966" w:rsidRDefault="00F01966">
    <w:pPr>
      <w:pStyle w:val="Glava"/>
    </w:pPr>
    <w:r>
      <w:rPr>
        <w:noProof/>
      </w:rPr>
      <w:drawing>
        <wp:anchor distT="0" distB="0" distL="114300" distR="114300" simplePos="0" relativeHeight="251660288" behindDoc="0" locked="0" layoutInCell="1" allowOverlap="1" wp14:anchorId="3B4E3537" wp14:editId="27ACADE6">
          <wp:simplePos x="0" y="0"/>
          <wp:positionH relativeFrom="column">
            <wp:posOffset>-742950</wp:posOffset>
          </wp:positionH>
          <wp:positionV relativeFrom="paragraph">
            <wp:posOffset>387098</wp:posOffset>
          </wp:positionV>
          <wp:extent cx="2216989" cy="329086"/>
          <wp:effectExtent l="0" t="0" r="0" b="0"/>
          <wp:wrapNone/>
          <wp:docPr id="2" name="Slika 2" descr="Slika, ki vsebuje besede grafika, simbol, risank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grafika, simbol, risanka,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989" cy="329086"/>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6880"/>
    <w:multiLevelType w:val="hybridMultilevel"/>
    <w:tmpl w:val="771E3FA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72D2AC2"/>
    <w:multiLevelType w:val="hybridMultilevel"/>
    <w:tmpl w:val="056094C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85D2CF9"/>
    <w:multiLevelType w:val="hybridMultilevel"/>
    <w:tmpl w:val="1CDA2A0A"/>
    <w:lvl w:ilvl="0" w:tplc="5044B500">
      <w:start w:val="1"/>
      <w:numFmt w:val="bullet"/>
      <w:lvlText w:val=""/>
      <w:lvlJc w:val="left"/>
      <w:pPr>
        <w:ind w:left="720" w:hanging="360"/>
      </w:pPr>
      <w:rPr>
        <w:rFonts w:ascii="Symbol" w:hAnsi="Symbol" w:hint="default"/>
      </w:rPr>
    </w:lvl>
    <w:lvl w:ilvl="1" w:tplc="41860F60">
      <w:start w:val="20"/>
      <w:numFmt w:val="bullet"/>
      <w:lvlText w:val="-"/>
      <w:lvlJc w:val="left"/>
      <w:pPr>
        <w:ind w:left="1650" w:hanging="57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95E3891"/>
    <w:multiLevelType w:val="hybridMultilevel"/>
    <w:tmpl w:val="930808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F533FC0"/>
    <w:multiLevelType w:val="hybridMultilevel"/>
    <w:tmpl w:val="7AFEF6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1C90CBE"/>
    <w:multiLevelType w:val="hybridMultilevel"/>
    <w:tmpl w:val="F1F83CB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3F84D0F"/>
    <w:multiLevelType w:val="hybridMultilevel"/>
    <w:tmpl w:val="B07AB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7BD65D3"/>
    <w:multiLevelType w:val="hybridMultilevel"/>
    <w:tmpl w:val="35043D9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68271FA"/>
    <w:multiLevelType w:val="hybridMultilevel"/>
    <w:tmpl w:val="DAEC4C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C2F037C"/>
    <w:multiLevelType w:val="hybridMultilevel"/>
    <w:tmpl w:val="B33C89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A0D175E"/>
    <w:multiLevelType w:val="hybridMultilevel"/>
    <w:tmpl w:val="3F46B55A"/>
    <w:lvl w:ilvl="0" w:tplc="5044B50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176576364">
    <w:abstractNumId w:val="10"/>
  </w:num>
  <w:num w:numId="2" w16cid:durableId="984821814">
    <w:abstractNumId w:val="6"/>
  </w:num>
  <w:num w:numId="3" w16cid:durableId="150218247">
    <w:abstractNumId w:val="0"/>
  </w:num>
  <w:num w:numId="4" w16cid:durableId="1026903286">
    <w:abstractNumId w:val="7"/>
  </w:num>
  <w:num w:numId="5" w16cid:durableId="231817878">
    <w:abstractNumId w:val="2"/>
  </w:num>
  <w:num w:numId="6" w16cid:durableId="2110814889">
    <w:abstractNumId w:val="11"/>
  </w:num>
  <w:num w:numId="7" w16cid:durableId="695153758">
    <w:abstractNumId w:val="3"/>
  </w:num>
  <w:num w:numId="8" w16cid:durableId="853298866">
    <w:abstractNumId w:val="5"/>
  </w:num>
  <w:num w:numId="9" w16cid:durableId="1789348953">
    <w:abstractNumId w:val="1"/>
  </w:num>
  <w:num w:numId="10" w16cid:durableId="1415012333">
    <w:abstractNumId w:val="8"/>
  </w:num>
  <w:num w:numId="11" w16cid:durableId="886650520">
    <w:abstractNumId w:val="4"/>
  </w:num>
  <w:num w:numId="12" w16cid:durableId="7190117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E4"/>
    <w:rsid w:val="000318E4"/>
    <w:rsid w:val="00050A56"/>
    <w:rsid w:val="000610D5"/>
    <w:rsid w:val="00073339"/>
    <w:rsid w:val="00076DF7"/>
    <w:rsid w:val="00083F2E"/>
    <w:rsid w:val="00085D04"/>
    <w:rsid w:val="00087069"/>
    <w:rsid w:val="00087A14"/>
    <w:rsid w:val="000928C7"/>
    <w:rsid w:val="00097B85"/>
    <w:rsid w:val="000B1D39"/>
    <w:rsid w:val="000C4B9F"/>
    <w:rsid w:val="000D5520"/>
    <w:rsid w:val="000E0657"/>
    <w:rsid w:val="00110932"/>
    <w:rsid w:val="00110B8F"/>
    <w:rsid w:val="00111A16"/>
    <w:rsid w:val="00113F85"/>
    <w:rsid w:val="00125753"/>
    <w:rsid w:val="0012724F"/>
    <w:rsid w:val="0013016C"/>
    <w:rsid w:val="0015313E"/>
    <w:rsid w:val="001602C9"/>
    <w:rsid w:val="00161638"/>
    <w:rsid w:val="0016530C"/>
    <w:rsid w:val="001673A5"/>
    <w:rsid w:val="00173343"/>
    <w:rsid w:val="001B00EC"/>
    <w:rsid w:val="001B01DD"/>
    <w:rsid w:val="001B42F9"/>
    <w:rsid w:val="001C3560"/>
    <w:rsid w:val="001C5F19"/>
    <w:rsid w:val="001D4277"/>
    <w:rsid w:val="001D69D6"/>
    <w:rsid w:val="001F51BC"/>
    <w:rsid w:val="001F7F63"/>
    <w:rsid w:val="00203CAB"/>
    <w:rsid w:val="00203F5F"/>
    <w:rsid w:val="00215140"/>
    <w:rsid w:val="00220CDD"/>
    <w:rsid w:val="0022511A"/>
    <w:rsid w:val="00231021"/>
    <w:rsid w:val="00236C0A"/>
    <w:rsid w:val="002434F1"/>
    <w:rsid w:val="002501CE"/>
    <w:rsid w:val="00255F3C"/>
    <w:rsid w:val="002856E5"/>
    <w:rsid w:val="00290FD0"/>
    <w:rsid w:val="002A25FB"/>
    <w:rsid w:val="002C0766"/>
    <w:rsid w:val="002C36A6"/>
    <w:rsid w:val="002D5B5D"/>
    <w:rsid w:val="002E3F96"/>
    <w:rsid w:val="002F313C"/>
    <w:rsid w:val="002F3BE7"/>
    <w:rsid w:val="00302938"/>
    <w:rsid w:val="00304583"/>
    <w:rsid w:val="0032428F"/>
    <w:rsid w:val="0033519E"/>
    <w:rsid w:val="00346E22"/>
    <w:rsid w:val="00351E1E"/>
    <w:rsid w:val="00357DC0"/>
    <w:rsid w:val="00361255"/>
    <w:rsid w:val="00363A41"/>
    <w:rsid w:val="00381018"/>
    <w:rsid w:val="003847C8"/>
    <w:rsid w:val="003877EB"/>
    <w:rsid w:val="00390DF7"/>
    <w:rsid w:val="0039662C"/>
    <w:rsid w:val="003A3742"/>
    <w:rsid w:val="003A4001"/>
    <w:rsid w:val="003D64D8"/>
    <w:rsid w:val="003E17B6"/>
    <w:rsid w:val="003E1B89"/>
    <w:rsid w:val="003E6170"/>
    <w:rsid w:val="003F4CC5"/>
    <w:rsid w:val="00415527"/>
    <w:rsid w:val="00431C65"/>
    <w:rsid w:val="00432937"/>
    <w:rsid w:val="00435CF5"/>
    <w:rsid w:val="004403EC"/>
    <w:rsid w:val="00447B57"/>
    <w:rsid w:val="0045565C"/>
    <w:rsid w:val="00455B63"/>
    <w:rsid w:val="00460370"/>
    <w:rsid w:val="00465AB5"/>
    <w:rsid w:val="00472762"/>
    <w:rsid w:val="0047427A"/>
    <w:rsid w:val="00480AE5"/>
    <w:rsid w:val="004A00A8"/>
    <w:rsid w:val="004A7BFC"/>
    <w:rsid w:val="004A7CAD"/>
    <w:rsid w:val="004B4753"/>
    <w:rsid w:val="004B6FDB"/>
    <w:rsid w:val="004B7346"/>
    <w:rsid w:val="004B7ED1"/>
    <w:rsid w:val="004C3F67"/>
    <w:rsid w:val="004C721D"/>
    <w:rsid w:val="004D31AD"/>
    <w:rsid w:val="00514121"/>
    <w:rsid w:val="00522637"/>
    <w:rsid w:val="00527867"/>
    <w:rsid w:val="00527AA5"/>
    <w:rsid w:val="005314D7"/>
    <w:rsid w:val="00544398"/>
    <w:rsid w:val="005458D4"/>
    <w:rsid w:val="005515BD"/>
    <w:rsid w:val="005740C1"/>
    <w:rsid w:val="0059143B"/>
    <w:rsid w:val="005A570D"/>
    <w:rsid w:val="005B5886"/>
    <w:rsid w:val="005C1523"/>
    <w:rsid w:val="005C7596"/>
    <w:rsid w:val="005D5D80"/>
    <w:rsid w:val="005E1ABB"/>
    <w:rsid w:val="006102DC"/>
    <w:rsid w:val="00614FFD"/>
    <w:rsid w:val="00626A98"/>
    <w:rsid w:val="006274BB"/>
    <w:rsid w:val="00634EFA"/>
    <w:rsid w:val="00635D43"/>
    <w:rsid w:val="006367B9"/>
    <w:rsid w:val="00640B98"/>
    <w:rsid w:val="00641347"/>
    <w:rsid w:val="0064180E"/>
    <w:rsid w:val="00642DDA"/>
    <w:rsid w:val="0066249C"/>
    <w:rsid w:val="0067375D"/>
    <w:rsid w:val="00676F03"/>
    <w:rsid w:val="006906AF"/>
    <w:rsid w:val="00693BA3"/>
    <w:rsid w:val="006A51B4"/>
    <w:rsid w:val="006B3F12"/>
    <w:rsid w:val="006C1B31"/>
    <w:rsid w:val="006F29FA"/>
    <w:rsid w:val="0070324C"/>
    <w:rsid w:val="0071171B"/>
    <w:rsid w:val="007120FD"/>
    <w:rsid w:val="007130E1"/>
    <w:rsid w:val="00716545"/>
    <w:rsid w:val="00717E59"/>
    <w:rsid w:val="007219B5"/>
    <w:rsid w:val="0073796B"/>
    <w:rsid w:val="00750D01"/>
    <w:rsid w:val="0075264D"/>
    <w:rsid w:val="007643A0"/>
    <w:rsid w:val="007669A3"/>
    <w:rsid w:val="00767A18"/>
    <w:rsid w:val="00771D15"/>
    <w:rsid w:val="00781345"/>
    <w:rsid w:val="00784E57"/>
    <w:rsid w:val="0079749C"/>
    <w:rsid w:val="007A6460"/>
    <w:rsid w:val="007B0ADD"/>
    <w:rsid w:val="007B515F"/>
    <w:rsid w:val="007B5220"/>
    <w:rsid w:val="007C21FB"/>
    <w:rsid w:val="007D6BF2"/>
    <w:rsid w:val="007E198F"/>
    <w:rsid w:val="007F5D6B"/>
    <w:rsid w:val="007F6EE3"/>
    <w:rsid w:val="007F6EF7"/>
    <w:rsid w:val="00801A29"/>
    <w:rsid w:val="008220A3"/>
    <w:rsid w:val="00823125"/>
    <w:rsid w:val="008244C0"/>
    <w:rsid w:val="008336E7"/>
    <w:rsid w:val="00836E94"/>
    <w:rsid w:val="00844BB8"/>
    <w:rsid w:val="00847AD3"/>
    <w:rsid w:val="00851FE1"/>
    <w:rsid w:val="008522C0"/>
    <w:rsid w:val="008624E8"/>
    <w:rsid w:val="0088720B"/>
    <w:rsid w:val="008A16D8"/>
    <w:rsid w:val="008B6738"/>
    <w:rsid w:val="008B7AF2"/>
    <w:rsid w:val="008C0D30"/>
    <w:rsid w:val="008C4231"/>
    <w:rsid w:val="008C4BFB"/>
    <w:rsid w:val="008D49BD"/>
    <w:rsid w:val="00905C96"/>
    <w:rsid w:val="009174DA"/>
    <w:rsid w:val="00933061"/>
    <w:rsid w:val="00933087"/>
    <w:rsid w:val="00945B27"/>
    <w:rsid w:val="009540E4"/>
    <w:rsid w:val="00955926"/>
    <w:rsid w:val="00974186"/>
    <w:rsid w:val="00983241"/>
    <w:rsid w:val="00985096"/>
    <w:rsid w:val="009900DE"/>
    <w:rsid w:val="009A41AA"/>
    <w:rsid w:val="009B3707"/>
    <w:rsid w:val="009C2C98"/>
    <w:rsid w:val="009C2D77"/>
    <w:rsid w:val="009C562E"/>
    <w:rsid w:val="009D10D1"/>
    <w:rsid w:val="009F136D"/>
    <w:rsid w:val="009F37F4"/>
    <w:rsid w:val="009F4DB0"/>
    <w:rsid w:val="00A06971"/>
    <w:rsid w:val="00A26F91"/>
    <w:rsid w:val="00A30052"/>
    <w:rsid w:val="00A34FC4"/>
    <w:rsid w:val="00A445DF"/>
    <w:rsid w:val="00A521C4"/>
    <w:rsid w:val="00A5415F"/>
    <w:rsid w:val="00A60A37"/>
    <w:rsid w:val="00A60FBF"/>
    <w:rsid w:val="00A67305"/>
    <w:rsid w:val="00A726C3"/>
    <w:rsid w:val="00A7406B"/>
    <w:rsid w:val="00A7412B"/>
    <w:rsid w:val="00A85553"/>
    <w:rsid w:val="00AB1DC2"/>
    <w:rsid w:val="00AD1AFD"/>
    <w:rsid w:val="00AE6CD6"/>
    <w:rsid w:val="00AF2612"/>
    <w:rsid w:val="00AF5FC8"/>
    <w:rsid w:val="00B022E5"/>
    <w:rsid w:val="00B06EAB"/>
    <w:rsid w:val="00B10433"/>
    <w:rsid w:val="00B37A37"/>
    <w:rsid w:val="00B43836"/>
    <w:rsid w:val="00B47F61"/>
    <w:rsid w:val="00B53301"/>
    <w:rsid w:val="00B53594"/>
    <w:rsid w:val="00B602CF"/>
    <w:rsid w:val="00B60F58"/>
    <w:rsid w:val="00B70F5B"/>
    <w:rsid w:val="00B753A8"/>
    <w:rsid w:val="00B84862"/>
    <w:rsid w:val="00B903E5"/>
    <w:rsid w:val="00B94D8D"/>
    <w:rsid w:val="00BA743D"/>
    <w:rsid w:val="00BB1111"/>
    <w:rsid w:val="00BB4431"/>
    <w:rsid w:val="00BB73C0"/>
    <w:rsid w:val="00BE5C43"/>
    <w:rsid w:val="00C227A8"/>
    <w:rsid w:val="00C3152B"/>
    <w:rsid w:val="00C354D9"/>
    <w:rsid w:val="00C365A8"/>
    <w:rsid w:val="00C43D34"/>
    <w:rsid w:val="00C458C2"/>
    <w:rsid w:val="00C5302B"/>
    <w:rsid w:val="00C666AC"/>
    <w:rsid w:val="00C748E9"/>
    <w:rsid w:val="00C823A2"/>
    <w:rsid w:val="00C843E1"/>
    <w:rsid w:val="00C97F7B"/>
    <w:rsid w:val="00CA5624"/>
    <w:rsid w:val="00CA69C4"/>
    <w:rsid w:val="00CB7ADA"/>
    <w:rsid w:val="00CC3123"/>
    <w:rsid w:val="00CC3530"/>
    <w:rsid w:val="00CC37B3"/>
    <w:rsid w:val="00CD04B8"/>
    <w:rsid w:val="00CE21D5"/>
    <w:rsid w:val="00CE45D7"/>
    <w:rsid w:val="00CF099E"/>
    <w:rsid w:val="00D10EB4"/>
    <w:rsid w:val="00D14EEC"/>
    <w:rsid w:val="00D22282"/>
    <w:rsid w:val="00D245F7"/>
    <w:rsid w:val="00D24C77"/>
    <w:rsid w:val="00D42266"/>
    <w:rsid w:val="00D60A92"/>
    <w:rsid w:val="00D64FA4"/>
    <w:rsid w:val="00D650E2"/>
    <w:rsid w:val="00D7373E"/>
    <w:rsid w:val="00D74A82"/>
    <w:rsid w:val="00D85532"/>
    <w:rsid w:val="00D9208E"/>
    <w:rsid w:val="00D95BC6"/>
    <w:rsid w:val="00D966FF"/>
    <w:rsid w:val="00D97B4B"/>
    <w:rsid w:val="00DA3B4D"/>
    <w:rsid w:val="00DA3BD5"/>
    <w:rsid w:val="00DA5C0D"/>
    <w:rsid w:val="00DA5D7A"/>
    <w:rsid w:val="00DB55BA"/>
    <w:rsid w:val="00DE199D"/>
    <w:rsid w:val="00DE1B54"/>
    <w:rsid w:val="00DE27BA"/>
    <w:rsid w:val="00DE475C"/>
    <w:rsid w:val="00E02AB3"/>
    <w:rsid w:val="00E05EEE"/>
    <w:rsid w:val="00E14AAE"/>
    <w:rsid w:val="00E20351"/>
    <w:rsid w:val="00E2036F"/>
    <w:rsid w:val="00E22972"/>
    <w:rsid w:val="00E3207D"/>
    <w:rsid w:val="00E3507E"/>
    <w:rsid w:val="00E6065F"/>
    <w:rsid w:val="00E65986"/>
    <w:rsid w:val="00E67BC0"/>
    <w:rsid w:val="00E7132A"/>
    <w:rsid w:val="00E83E60"/>
    <w:rsid w:val="00E86C78"/>
    <w:rsid w:val="00E948BD"/>
    <w:rsid w:val="00EA1AF3"/>
    <w:rsid w:val="00EC012E"/>
    <w:rsid w:val="00ED104A"/>
    <w:rsid w:val="00ED2EC7"/>
    <w:rsid w:val="00EE35F8"/>
    <w:rsid w:val="00EF1263"/>
    <w:rsid w:val="00F01966"/>
    <w:rsid w:val="00F03257"/>
    <w:rsid w:val="00F20884"/>
    <w:rsid w:val="00F21123"/>
    <w:rsid w:val="00F21419"/>
    <w:rsid w:val="00F21BAD"/>
    <w:rsid w:val="00F23144"/>
    <w:rsid w:val="00F240E9"/>
    <w:rsid w:val="00F30E33"/>
    <w:rsid w:val="00F31222"/>
    <w:rsid w:val="00F462C7"/>
    <w:rsid w:val="00F92545"/>
    <w:rsid w:val="00F93A56"/>
    <w:rsid w:val="00FA792D"/>
    <w:rsid w:val="00FC2D38"/>
    <w:rsid w:val="00FD6F18"/>
    <w:rsid w:val="00FE5604"/>
    <w:rsid w:val="00FF24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8F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aliases w:val="numbered list,K1,3,Bullet 1,Bullet Points,Colorful List - Accent 11,Dot pt,F5 List Paragraph,Indicator Text,Issue Action POC,List Paragraph Char Char Char,List Paragraph2,MAIN CONTENT,Normal numbered,Numbered Para 1,Bulle,OBC Bullet"/>
    <w:basedOn w:val="Navaden"/>
    <w:link w:val="OdstavekseznamaZnak"/>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 w:type="character" w:styleId="Hiperpovezava">
    <w:name w:val="Hyperlink"/>
    <w:basedOn w:val="Privzetapisavaodstavka"/>
    <w:uiPriority w:val="99"/>
    <w:unhideWhenUsed/>
    <w:rsid w:val="00640B98"/>
    <w:rPr>
      <w:color w:val="0563C1" w:themeColor="hyperlink"/>
      <w:u w:val="single"/>
    </w:rPr>
  </w:style>
  <w:style w:type="character" w:customStyle="1" w:styleId="OdstavekseznamaZnak">
    <w:name w:val="Odstavek seznama Znak"/>
    <w:aliases w:val="numbered list Znak,K1 Znak,3 Znak,Bullet 1 Znak,Bullet Points Znak,Colorful List - Accent 11 Znak,Dot pt Znak,F5 List Paragraph Znak,Indicator Text Znak,Issue Action POC Znak,List Paragraph Char Char Char Znak,List Paragraph2 Znak"/>
    <w:basedOn w:val="Privzetapisavaodstavka"/>
    <w:link w:val="Odstavekseznama"/>
    <w:uiPriority w:val="34"/>
    <w:qFormat/>
    <w:rsid w:val="00CA69C4"/>
    <w:rPr>
      <w:rFonts w:ascii="Arial" w:eastAsia="Times New Roman" w:hAnsi="Arial" w:cs="Times New Roman"/>
      <w:sz w:val="20"/>
      <w:szCs w:val="24"/>
    </w:rPr>
  </w:style>
  <w:style w:type="character" w:styleId="SledenaHiperpovezava">
    <w:name w:val="FollowedHyperlink"/>
    <w:basedOn w:val="Privzetapisavaodstavka"/>
    <w:uiPriority w:val="99"/>
    <w:semiHidden/>
    <w:unhideWhenUsed/>
    <w:rsid w:val="002A25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i/novice/2026-06-09-evropska-komisija-podala-predhodno-pozitivno-oceno-sestega-zahtevka-za-placil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i/novice/2026-06-18-evropska-komisija-pozitivno-ocenila-predlog-seste-spremembe-nacrta-za-okrevanje-in-odpornos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D5117429E6D7418C58FC90322A8638" ma:contentTypeVersion="3" ma:contentTypeDescription="Create a new document." ma:contentTypeScope="" ma:versionID="af7836002ab36a4cf9d574b9cf62edcf">
  <xsd:schema xmlns:xsd="http://www.w3.org/2001/XMLSchema" xmlns:xs="http://www.w3.org/2001/XMLSchema" xmlns:p="http://schemas.microsoft.com/office/2006/metadata/properties" xmlns:ns3="eb582466-1b59-4d29-8755-2962c9164f84" targetNamespace="http://schemas.microsoft.com/office/2006/metadata/properties" ma:root="true" ma:fieldsID="8f3c0790d4e523edad3a139ab2c0a08f" ns3:_="">
    <xsd:import namespace="eb582466-1b59-4d29-8755-2962c9164f84"/>
    <xsd:element name="properties">
      <xsd:complexType>
        <xsd:sequence>
          <xsd:element name="documentManagement">
            <xsd:complexType>
              <xsd:all>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82466-1b59-4d29-8755-2962c916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A01A8C-74B0-4B71-BCE1-F6503D59E079}">
  <ds:schemaRefs>
    <ds:schemaRef ds:uri="http://schemas.openxmlformats.org/officeDocument/2006/bibliography"/>
  </ds:schemaRefs>
</ds:datastoreItem>
</file>

<file path=customXml/itemProps2.xml><?xml version="1.0" encoding="utf-8"?>
<ds:datastoreItem xmlns:ds="http://schemas.openxmlformats.org/officeDocument/2006/customXml" ds:itemID="{6B5584C5-23D0-42C4-903E-C12EFBD15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82466-1b59-4d29-8755-2962c916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4DDD5E-BF2A-42E4-BF83-F29C09BA9F1D}">
  <ds:schemaRefs>
    <ds:schemaRef ds:uri="http://schemas.microsoft.com/sharepoint/v3/contenttype/forms"/>
  </ds:schemaRefs>
</ds:datastoreItem>
</file>

<file path=customXml/itemProps4.xml><?xml version="1.0" encoding="utf-8"?>
<ds:datastoreItem xmlns:ds="http://schemas.openxmlformats.org/officeDocument/2006/customXml" ds:itemID="{2C695D88-41D0-4D94-8F20-06CCAE564D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4882</Words>
  <Characters>27832</Characters>
  <Application>Microsoft Office Word</Application>
  <DocSecurity>0</DocSecurity>
  <Lines>231</Lines>
  <Paragraphs>65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2026-06-23T08:32:00Z</dcterms:created>
  <dcterms:modified xsi:type="dcterms:W3CDTF">2026-06-23T11:35:00Z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0x010100E5D5117429E6D7418C58FC90322A8638</vt:lpwstr>
  </property>
</Properties>
</file>