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2DA81A8" w:rsidR="0073796B" w:rsidRPr="0039662C" w:rsidRDefault="00D245F7" w:rsidP="0039662C">
      <w:pPr>
        <w:pStyle w:val="Naslov1"/>
      </w:pPr>
      <w:r>
        <w:t>20</w:t>
      </w:r>
      <w:r w:rsidR="009F136D">
        <w:t>3</w:t>
      </w:r>
      <w:r w:rsidR="0073796B" w:rsidRPr="0039662C">
        <w:t xml:space="preserve">. </w:t>
      </w:r>
      <w:r w:rsidR="00D74A82">
        <w:t>red</w:t>
      </w:r>
      <w:r w:rsidR="00F03257">
        <w:t xml:space="preserve">na </w:t>
      </w:r>
      <w:r w:rsidR="0073796B" w:rsidRPr="0039662C">
        <w:t>seja Vlade Republike Slovenije</w:t>
      </w:r>
    </w:p>
    <w:p w14:paraId="27F30B92" w14:textId="180E11F3" w:rsidR="0073796B" w:rsidRDefault="00B10433" w:rsidP="008B7AF2">
      <w:pPr>
        <w:pStyle w:val="DatumSZJ"/>
      </w:pPr>
      <w:r>
        <w:t>2</w:t>
      </w:r>
      <w:r w:rsidR="009F136D">
        <w:t>8</w:t>
      </w:r>
      <w:r w:rsidR="002856E5">
        <w:t>.</w:t>
      </w:r>
      <w:r w:rsidR="008220A3">
        <w:t xml:space="preserve"> </w:t>
      </w:r>
      <w:r w:rsidR="00D245F7">
        <w:t>maj</w:t>
      </w:r>
      <w:r w:rsidR="00B94D8D">
        <w:t xml:space="preserve"> </w:t>
      </w:r>
      <w:r w:rsidR="0073796B" w:rsidRPr="008B7AF2">
        <w:t>202</w:t>
      </w:r>
      <w:r w:rsidR="00F03257">
        <w:t>6</w:t>
      </w:r>
    </w:p>
    <w:p w14:paraId="630B9879" w14:textId="169A3896" w:rsidR="00356CF6" w:rsidRDefault="008674FF" w:rsidP="008674FF">
      <w:pPr>
        <w:pStyle w:val="Naslov2"/>
      </w:pPr>
      <w:r>
        <w:t>U</w:t>
      </w:r>
      <w:r w:rsidR="00356CF6" w:rsidRPr="00356CF6">
        <w:t>redb</w:t>
      </w:r>
      <w:r>
        <w:t>a</w:t>
      </w:r>
      <w:r w:rsidR="00356CF6" w:rsidRPr="00356CF6">
        <w:t xml:space="preserve"> o varovanju varovanih podatkov pristojnega nacionalnega organa za informacijsko varnost</w:t>
      </w:r>
    </w:p>
    <w:p w14:paraId="7A67FFB2" w14:textId="77777777" w:rsidR="008674FF" w:rsidRDefault="008674FF" w:rsidP="008674FF">
      <w:r>
        <w:t>Vlada Republike Slovenije je izdala Uredbo o varovanih podatkih pristojnega nacionalnega organa za informacijsko varnost. Urad Vlade Republike Slovenije za informacijsko varnost (URSIV) je pripravil predlog uredbe na podlagi tretjega odstavka 4. člena Zakona o informacijski varnosti.</w:t>
      </w:r>
    </w:p>
    <w:p w14:paraId="02C93CFD" w14:textId="77777777" w:rsidR="008674FF" w:rsidRDefault="008674FF" w:rsidP="008674FF"/>
    <w:p w14:paraId="7D3569FB" w14:textId="77777777" w:rsidR="008674FF" w:rsidRDefault="008674FF" w:rsidP="008674FF">
      <w:r>
        <w:t>Uredba določa organizacijske in logično-tehnične postopke ter ukrepe za določanje in varovanje varovanih podatkov pristojnega nacionalnega organa ter vodenje zbirk podatkov, katerih upravljavec je pristojni nacionalni organ in vsebujejo varovane podatke. Varovani podatek pristojnega nacionalnega organa je podatek o ranljivostih ali stanju informacijskih sistemov in omrežij zavezancev ter njihovi identiteti, ki ni tajen ali poslovna skrivnost, njegovo razkritje nepoklicanim osebam pa bi lahko pristojnemu nacionalnemu organu povzročilo motnje pri delovanju in izvajanju nalog oziroma bi lahko škodovalo zavezancem.</w:t>
      </w:r>
    </w:p>
    <w:p w14:paraId="052FCB9C" w14:textId="77777777" w:rsidR="008674FF" w:rsidRDefault="008674FF" w:rsidP="008674FF"/>
    <w:p w14:paraId="5911AF96" w14:textId="15A2C8CF" w:rsidR="008674FF" w:rsidRDefault="008674FF" w:rsidP="008674FF">
      <w:r>
        <w:t>Uredba določa pooblaščene osebe za določanje in označevanje varovanih podatkov, pravila njihovega označevanja z oznako »VAROVANI PODATEK URSIV« različnih stopenj ter ukrepe za njihovo varovanje. Prejemniki varovanih podatkov teh ne smejo deliti izven obsega, določenega s posamezno stopnjo oznake.</w:t>
      </w:r>
    </w:p>
    <w:p w14:paraId="5DF44ECC" w14:textId="6D2DFFE2" w:rsidR="008674FF" w:rsidRPr="00356CF6" w:rsidRDefault="008674FF" w:rsidP="008674FF">
      <w:pPr>
        <w:pStyle w:val="Vir"/>
      </w:pPr>
      <w:r w:rsidRPr="008674FF">
        <w:t>Vir: Urad za informacijsko varnost</w:t>
      </w:r>
    </w:p>
    <w:p w14:paraId="333F42BC" w14:textId="08786DAF" w:rsidR="00BF79C4" w:rsidRDefault="00BF79C4" w:rsidP="00BF79C4">
      <w:pPr>
        <w:pStyle w:val="Naslov2"/>
      </w:pPr>
      <w:r>
        <w:t>Spremembe Uredbe o pomožni policiji</w:t>
      </w:r>
    </w:p>
    <w:p w14:paraId="3D509B40" w14:textId="77777777" w:rsidR="00BF79C4" w:rsidRDefault="00BF79C4" w:rsidP="00BF79C4">
      <w:r>
        <w:t>Vlada Republike Slovenije je izdala Uredbo o spremembah in dopolnitvah Uredbe o pomožni policiji in jo objavi v Uradnem listu Republike Slovenije.</w:t>
      </w:r>
    </w:p>
    <w:p w14:paraId="5860C08A" w14:textId="77777777" w:rsidR="00BF79C4" w:rsidRDefault="00BF79C4" w:rsidP="00BF79C4"/>
    <w:p w14:paraId="12C74341" w14:textId="77777777" w:rsidR="00BF79C4" w:rsidRDefault="00BF79C4" w:rsidP="00BF79C4">
      <w:r>
        <w:t>Uredba spreminja pogoje za sklenitev pogodbe o prostovoljni službi v pomožni policiji in jih prilagaja določbam Zakona o spremembah in dopolnitvah Zakona o organiziranosti in delu v policiji (ZODPol-I).</w:t>
      </w:r>
    </w:p>
    <w:p w14:paraId="016BD548" w14:textId="77777777" w:rsidR="00BF79C4" w:rsidRDefault="00BF79C4" w:rsidP="00BF79C4"/>
    <w:p w14:paraId="20E1D545" w14:textId="77777777" w:rsidR="00BF79C4" w:rsidRDefault="00BF79C4" w:rsidP="00BF79C4">
      <w:r>
        <w:t>Spremembe uredbe se nanašajo na dvig starostne meje, do katere posamezniki lahko sodelujejo v pomožni policiji, in sicer s 60 na 63 let starosti. Kandidati za pomožne policiste in pomožni policisti, ki so samostojni podjetniki, nimajo plače, zato je ZODPol-I zanje določil, da so upravičeni do nadomestila izgubljenega zaslužka v primeru udeležbe na usposabljanjih oziroma med opravljanjem službe v pomožni policiji. S spremembo uredbe se ustrezno spreminja tudi določba o nadomestilu plače.</w:t>
      </w:r>
    </w:p>
    <w:p w14:paraId="12BF6EB2" w14:textId="77777777" w:rsidR="00BF79C4" w:rsidRDefault="00BF79C4" w:rsidP="00BF79C4"/>
    <w:p w14:paraId="55064B3D" w14:textId="77777777" w:rsidR="00BF79C4" w:rsidRDefault="00BF79C4" w:rsidP="00BF79C4">
      <w:r>
        <w:t>Uredba začne veljati petnajsti dan po objavi v Uradnem listu Republike Slovenije.</w:t>
      </w:r>
    </w:p>
    <w:p w14:paraId="4B9358AD" w14:textId="0266E4BD" w:rsidR="00356CF6" w:rsidRPr="00356CF6" w:rsidRDefault="00BF79C4" w:rsidP="00BF79C4">
      <w:pPr>
        <w:pStyle w:val="Vir"/>
      </w:pPr>
      <w:r>
        <w:t>Vir: Ministrstvo za notranje zadeve</w:t>
      </w:r>
    </w:p>
    <w:p w14:paraId="16203C83" w14:textId="3295C5B7" w:rsidR="00077C5C" w:rsidRDefault="00077C5C" w:rsidP="00077C5C">
      <w:pPr>
        <w:pStyle w:val="Naslov2"/>
      </w:pPr>
      <w:r>
        <w:t>Vlada uskladila uredbo o plačah in prejemkih pripadnikov Slovenske vojske</w:t>
      </w:r>
    </w:p>
    <w:p w14:paraId="3226F96D" w14:textId="77777777" w:rsidR="00077C5C" w:rsidRDefault="00077C5C" w:rsidP="00077C5C">
      <w:r>
        <w:t xml:space="preserve">Vlada Republike Slovenije je na današnji seji izdala Uredbo o spremembah Uredbe o plačah in drugih prejemkih pripadnikov Slovenske vojske pri izvajanju obveznosti, prevzetih v mednarodnih </w:t>
      </w:r>
      <w:r>
        <w:lastRenderedPageBreak/>
        <w:t xml:space="preserve">organizacijah oziroma z mednarodnimi pogodbami. Nova uredba bo objavljena v Uradnem listu Republike Slovenije. </w:t>
      </w:r>
    </w:p>
    <w:p w14:paraId="1C3B9D19" w14:textId="77777777" w:rsidR="00077C5C" w:rsidRDefault="00077C5C" w:rsidP="00077C5C"/>
    <w:p w14:paraId="36067B09" w14:textId="77777777" w:rsidR="00077C5C" w:rsidRDefault="00077C5C" w:rsidP="00077C5C">
      <w:r>
        <w:t>Vlada je uredbo sprejela</w:t>
      </w:r>
      <w:proofErr w:type="gramStart"/>
      <w:r>
        <w:t xml:space="preserve"> upoštevaje</w:t>
      </w:r>
      <w:proofErr w:type="gramEnd"/>
      <w:r>
        <w:t xml:space="preserve"> drugo alinejo prvega odstavka 104. člena Zakona o skupnih temeljih sistema plač v javnem sektorju, saj so se s 1. aprilom letos zaradi uskladitve z inflacijo vrednosti plačnih razredov plačne lestvice povišale za 0,9 %. Posledično so se tudi osnovne plače vseh zaposlenih v javnem sektorju s plačo za mesec april 2026 povišale za isti odstotek. </w:t>
      </w:r>
    </w:p>
    <w:p w14:paraId="31AACF87" w14:textId="77777777" w:rsidR="00077C5C" w:rsidRDefault="00077C5C" w:rsidP="00077C5C">
      <w:r>
        <w:t xml:space="preserve"> </w:t>
      </w:r>
    </w:p>
    <w:p w14:paraId="00E83DEC" w14:textId="77777777" w:rsidR="00077C5C" w:rsidRDefault="00077C5C" w:rsidP="00077C5C">
      <w:r>
        <w:t xml:space="preserve">Predlagane spremembe uredbe predstavljajo izvedbo uskladitve veljavnih nominalnih zneskov z zakonsko določeno spremembo plačne lestvice ter ne uvajajo novih pravic, obveznosti ali vsebinskih rešitev, ki bi posegale v pravni položaj posameznikov ali širše javnosti. </w:t>
      </w:r>
    </w:p>
    <w:p w14:paraId="7FFE7AF8" w14:textId="689C2BF9" w:rsidR="00356CF6" w:rsidRPr="00356CF6" w:rsidRDefault="00077C5C" w:rsidP="00077C5C">
      <w:pPr>
        <w:pStyle w:val="Vir"/>
      </w:pPr>
      <w:r>
        <w:t>Vir: Ministrstvo za obrambo</w:t>
      </w:r>
    </w:p>
    <w:p w14:paraId="3E5215DE" w14:textId="005B02DA" w:rsidR="00BE0ABD" w:rsidRDefault="00BE0ABD" w:rsidP="00BE0ABD">
      <w:pPr>
        <w:pStyle w:val="Naslov2"/>
      </w:pPr>
      <w:r>
        <w:t xml:space="preserve">Vlada izdala Uredbo o dopolnitvi Uredbe o koncesiji za graditev sedežnice Vitranc 2 v Kranjski Gori </w:t>
      </w:r>
    </w:p>
    <w:p w14:paraId="2066A6ED" w14:textId="3144517E" w:rsidR="00BE0ABD" w:rsidRDefault="00BE0ABD" w:rsidP="00BE0ABD">
      <w:r>
        <w:t xml:space="preserve">Vlada Republike Slovenije je izdala Uredbo o dopolnitvi Uredbe o koncesiji za graditev sedežnice Vitranc 2 v Kranjski Gori. Z navedeno dopolnitvijo se je uskladilo dejanska lokacija sedežnice s koncesijsko pogodbo, ki je bila sklenjena leta 2011. Za novo sedežnico Vitranc 2 je zato pričakovati, da bo upravljavec v prihajajoči poletni sezoni z njo </w:t>
      </w:r>
      <w:r w:rsidR="00026CE0">
        <w:t>za</w:t>
      </w:r>
      <w:r>
        <w:t>čel izvajati prevoze oseb na vrh Vitranca.</w:t>
      </w:r>
    </w:p>
    <w:p w14:paraId="1D1EA3C6" w14:textId="77777777" w:rsidR="00BE0ABD" w:rsidRDefault="00BE0ABD" w:rsidP="00BE0ABD"/>
    <w:p w14:paraId="3B7D95F5" w14:textId="77777777" w:rsidR="00BE0ABD" w:rsidRDefault="00BE0ABD" w:rsidP="00BE0ABD">
      <w:r>
        <w:t xml:space="preserve">Sprejem dopolnitve koncesijskega akta za graditev sedežnice Vitranc 2 v Kranjski Gori predstavlja tekoči posel, ker gre za uskladitev dejanske lokacije sedežnice s koncesijsko pogodbo. </w:t>
      </w:r>
    </w:p>
    <w:p w14:paraId="522B4FD7" w14:textId="5BEEA63A" w:rsidR="00356CF6" w:rsidRPr="00356CF6" w:rsidRDefault="00BE0ABD" w:rsidP="00BE0ABD">
      <w:pPr>
        <w:pStyle w:val="Vir"/>
      </w:pPr>
      <w:r>
        <w:t>Vir: Ministrstvo za infrastrukturo</w:t>
      </w:r>
    </w:p>
    <w:p w14:paraId="1805A0E4" w14:textId="566415B2" w:rsidR="0052731E" w:rsidRDefault="0052731E" w:rsidP="009461B4">
      <w:pPr>
        <w:pStyle w:val="Naslov2"/>
      </w:pPr>
      <w:r>
        <w:t>S</w:t>
      </w:r>
      <w:r w:rsidR="00356CF6" w:rsidRPr="00356CF6">
        <w:t>ofinanciranj</w:t>
      </w:r>
      <w:r>
        <w:t>e</w:t>
      </w:r>
      <w:r w:rsidR="00356CF6" w:rsidRPr="00356CF6">
        <w:t xml:space="preserve"> obveznosti občin z evidentiranimi romskimi naselji v letu 2026</w:t>
      </w:r>
    </w:p>
    <w:p w14:paraId="47447593" w14:textId="598F2CAC" w:rsidR="0052731E" w:rsidRDefault="0052731E" w:rsidP="0052731E">
      <w:r>
        <w:t xml:space="preserve">Vlada Republike Slovenije je sprejela odločbo o sofinanciranju obveznosti občin z evidentiranimi romskimi naselji za leto 2026 na podlagi </w:t>
      </w:r>
      <w:proofErr w:type="spellStart"/>
      <w:r>
        <w:t>20.a</w:t>
      </w:r>
      <w:proofErr w:type="spellEnd"/>
      <w:r>
        <w:t xml:space="preserve"> člena Zakona o financiranju občin (ZFO 1). </w:t>
      </w:r>
    </w:p>
    <w:p w14:paraId="285F750D" w14:textId="77777777" w:rsidR="0052731E" w:rsidRDefault="0052731E" w:rsidP="0052731E"/>
    <w:p w14:paraId="711A35BB" w14:textId="64E911C6" w:rsidR="0052731E" w:rsidRDefault="0052731E" w:rsidP="0052731E">
      <w:r>
        <w:t>V skladu z zakonom se sredstva za sofinanciranje obveznosti občin z evidentiranimi romskimi naselji v posameznem proračunskem letu zagotovijo v višini 4,2</w:t>
      </w:r>
      <w:proofErr w:type="gramStart"/>
      <w:r>
        <w:t xml:space="preserve"> %</w:t>
      </w:r>
      <w:proofErr w:type="gramEnd"/>
      <w:r>
        <w:t xml:space="preserve"> skupne primerne porabe občin z evidentiranimi romskimi naselji, ki za leto 2026 znaša 9.765.097,00 evr</w:t>
      </w:r>
      <w:r w:rsidR="009461B4">
        <w:t>a</w:t>
      </w:r>
      <w:r>
        <w:t xml:space="preserve">. </w:t>
      </w:r>
    </w:p>
    <w:p w14:paraId="158C481D" w14:textId="77777777" w:rsidR="0052731E" w:rsidRDefault="0052731E" w:rsidP="0052731E"/>
    <w:p w14:paraId="41B739B5" w14:textId="77777777" w:rsidR="0052731E" w:rsidRDefault="0052731E" w:rsidP="0052731E">
      <w:r>
        <w:t xml:space="preserve">Sredstva bodo občinam izplačana v dveh obrokih: prvi obrok do 31. maja 2026, drugi obrok pa najpozneje do 20. septembra 2026. </w:t>
      </w:r>
    </w:p>
    <w:p w14:paraId="2D2D9EEF" w14:textId="77777777" w:rsidR="0052731E" w:rsidRDefault="0052731E" w:rsidP="0052731E"/>
    <w:p w14:paraId="4A3709EB" w14:textId="77777777" w:rsidR="0052731E" w:rsidRDefault="0052731E" w:rsidP="0052731E">
      <w:r>
        <w:t>S tem Vlada zagotavlja financiranje nalog občin na področju urejanja romske tematike ter nadaljuje izvajanje zakonskih obveznosti države na tem področju.</w:t>
      </w:r>
    </w:p>
    <w:p w14:paraId="3C846712" w14:textId="77777777" w:rsidR="0052731E" w:rsidRDefault="0052731E" w:rsidP="0052731E"/>
    <w:p w14:paraId="6C626936" w14:textId="5FE6A38A" w:rsidR="00356CF6" w:rsidRPr="00356CF6" w:rsidRDefault="0052731E" w:rsidP="0052731E">
      <w:r>
        <w:t>Urad za narodnosti</w:t>
      </w:r>
    </w:p>
    <w:p w14:paraId="166B1D5A" w14:textId="77777777" w:rsidR="00356CF6" w:rsidRPr="00356CF6" w:rsidRDefault="00356CF6" w:rsidP="00356CF6"/>
    <w:p w14:paraId="47D64B27" w14:textId="3EC2A3F1" w:rsidR="006C692B" w:rsidRDefault="006C692B" w:rsidP="006C692B">
      <w:pPr>
        <w:pStyle w:val="Naslov2"/>
      </w:pPr>
      <w:r>
        <w:t>Izvedbeni program Vlade Republike Slovenije za uresničevanje razvojnih ciljev Slovenije skozi vlaganja v znanost in inovacije</w:t>
      </w:r>
    </w:p>
    <w:p w14:paraId="4742DE27" w14:textId="64CEBED3" w:rsidR="006C692B" w:rsidRDefault="006C692B" w:rsidP="006C692B">
      <w:r>
        <w:t>Vlada je sprejela Zavezništvo za raziskave in inovacije 2026–2028 – Izvedbeni program Vlade Republike Slovenije za uresničevanje razvojnih ciljev Slovenije skozi vlaganja v znanost in inovacije. Gre za triletni izvedbeni načrt za izvajanje znanstvenoraziskovalne in inovacijske politike v Sloveniji. Pripravljen je na podlagi ključnih nacionalnih ter področnih strategij (Strategije razvoja Slovenije 2030 in Resolucije o znanstvenoraziskovalni in inovacijski strategiji Slovenije 2030).</w:t>
      </w:r>
    </w:p>
    <w:p w14:paraId="6B51474C" w14:textId="77777777" w:rsidR="006C692B" w:rsidRDefault="006C692B" w:rsidP="006C692B"/>
    <w:p w14:paraId="28292A3E" w14:textId="77777777" w:rsidR="006C692B" w:rsidRDefault="006C692B" w:rsidP="006C692B">
      <w:r>
        <w:lastRenderedPageBreak/>
        <w:t>Dokument temelji na načelu usklajenega delovanja celotne vlade in vključuje sodelovanje različnih ministrstev in drugih deležnikov. Redno se bo posodabljal, s čimer se zagotavlja kontinuiteta in prilagajanje novim prioritetam. Njegov namen je vzpostaviti pregleden, stabilen in dolgoročno vzdržen sistem financiranja ter izvajanja raziskav in inovacij. Ključni cilji vključujejo zagotavljanje stabilnega večletnega financiranja (do 1,25 odstotka BDP iz javnih sredstev), krepitev medresorskega sodelovanja, razvoj celotne inovacijske verige od temeljnih raziskav do tržne uporabe ter vzpostavitev učinkovitega sistema spremljanja in evalvacije.</w:t>
      </w:r>
    </w:p>
    <w:p w14:paraId="4E465B46" w14:textId="77777777" w:rsidR="006C692B" w:rsidRDefault="006C692B" w:rsidP="006C692B"/>
    <w:p w14:paraId="7C286298" w14:textId="77777777" w:rsidR="006C692B" w:rsidRDefault="006C692B" w:rsidP="006C692B">
      <w:r>
        <w:t>Vsebinsko dokument poudari, da je odlična znanost temelj razvoja, ki omogoča nastanek novih znanj in inovacij. Pomemben poudarek je tudi na razvoju kadrov, vključno z mladimi raziskovalci in mednarodno mobilnostjo</w:t>
      </w:r>
      <w:proofErr w:type="gramStart"/>
      <w:r>
        <w:t>,</w:t>
      </w:r>
      <w:proofErr w:type="gramEnd"/>
      <w:r>
        <w:t xml:space="preserve"> ter na krepitvi raziskovalne infrastrukture, kot so vrhunska oprema, digitalne platforme in napredne tehnologije. Ključno vlogo ima povezovanje znanosti in gospodarstva, s ciljem hitrejšega prenosa znanja v prakso in povečanja konkurenčnosti gospodarstva.</w:t>
      </w:r>
    </w:p>
    <w:p w14:paraId="345B5D14" w14:textId="77777777" w:rsidR="006C692B" w:rsidRDefault="006C692B" w:rsidP="006C692B">
      <w:r>
        <w:t xml:space="preserve">  </w:t>
      </w:r>
    </w:p>
    <w:p w14:paraId="300E857C" w14:textId="6A7BA214" w:rsidR="006C692B" w:rsidRDefault="006C692B" w:rsidP="006C692B">
      <w:r>
        <w:t xml:space="preserve">Poseben poudarek je na strateških področjih, kot so zelene in nizkoogljične tehnologije, digitalna preobrazba in umetna inteligenca, biotehnologija ter reševanje širših družbenih izzivov. Dokument uvaja tudi večnivojski model upravljanja, ki vključuje strateško, operativno in vključujočo raven sodelovanja deležnikov. Financiranje temelji na kombinaciji nacionalnih in evropskih sredstev ob postopnem povečevanju vlaganj, izvajanje pa spremlja sistem rednega poročanja in evalvacij, kar omogoča večjo učinkovitost in </w:t>
      </w:r>
      <w:proofErr w:type="gramStart"/>
      <w:r>
        <w:t>transparentnost</w:t>
      </w:r>
      <w:proofErr w:type="gramEnd"/>
      <w:r>
        <w:t xml:space="preserve"> celotnega sistema.</w:t>
      </w:r>
    </w:p>
    <w:p w14:paraId="3823A8E2" w14:textId="77777777" w:rsidR="006C692B" w:rsidRDefault="006C692B" w:rsidP="006C692B"/>
    <w:p w14:paraId="4B12C0D7" w14:textId="2405DC04" w:rsidR="006C692B" w:rsidRDefault="006C692B" w:rsidP="006C692B">
      <w:r>
        <w:t xml:space="preserve">Zavezništvo za raziskave in inovacije 2026–2028 predstavlja pregled stanja na področju raziskav in inovacij, ki temeljijo na obstoječih podlagah in sprejetih proračunih, ter ne uvaja nobenih novih politik ali strateških odločitev. Namen je zagotavljanje kontinuitete in preglednosti ter s tem izpolnjevanje obveznosti v okviru Strategije razvoja Slovenije 2023 in Resolucije o znanstvenoraziskovalni in inovacijski strategiji 2030 ter pregled izpolnjevanja zakonskih obveznosti, saj Zakon o znanstvenoraziskovalni in inovacijski dejavnosti določa stopnjo financiranja te dejavnosti, kar bo omogočalo spremljanje doseganja tega cilja. </w:t>
      </w:r>
    </w:p>
    <w:p w14:paraId="2651CC5B" w14:textId="345E24C9" w:rsidR="00356CF6" w:rsidRPr="00356CF6" w:rsidRDefault="006C692B" w:rsidP="006C692B">
      <w:pPr>
        <w:pStyle w:val="Vir"/>
      </w:pPr>
      <w:r>
        <w:t>Vir: Ministrstvo za visoko šolstvo, znanost in inovacije</w:t>
      </w:r>
    </w:p>
    <w:p w14:paraId="7569826F" w14:textId="4B3D19D1" w:rsidR="00D22302" w:rsidRDefault="00D22302" w:rsidP="00D22302">
      <w:pPr>
        <w:pStyle w:val="Naslov2"/>
      </w:pPr>
      <w:r>
        <w:t>Spremembe Programa odprave posledic škode v gospodarstvu po poplavah med 27. oktobrom in 6. novembrom 2023</w:t>
      </w:r>
    </w:p>
    <w:p w14:paraId="6B9451E0" w14:textId="77777777" w:rsidR="00D22302" w:rsidRDefault="00D22302" w:rsidP="00D22302">
      <w:r>
        <w:t xml:space="preserve">Vlada Republike Slovenije je sprejela spremembe Programa odprave posledic škode v gospodarstvu po poplavah med 27. oktobrom in 6. novembrom 2023. V tem obdobju so močno neurje, plazovi in poplave prizadeli Dolenjsko, Gorenjsko, Koroško, Ljubljansko, Obalno, Severnoprimorsko in </w:t>
      </w:r>
      <w:proofErr w:type="spellStart"/>
      <w:r>
        <w:t>Zahodnoštajersko</w:t>
      </w:r>
      <w:proofErr w:type="spellEnd"/>
      <w:r>
        <w:t xml:space="preserve"> </w:t>
      </w:r>
      <w:proofErr w:type="gramStart"/>
      <w:r>
        <w:t>regijo</w:t>
      </w:r>
      <w:proofErr w:type="gramEnd"/>
      <w:r>
        <w:t>. Prvotni program je vlada sprejela 30. maja 2024, spremembe pa se nanašajo predvsem na zagotovitev sredstev in spremembo obdobja izplačil.</w:t>
      </w:r>
    </w:p>
    <w:p w14:paraId="3415FF07" w14:textId="77777777" w:rsidR="00D22302" w:rsidRDefault="00D22302" w:rsidP="00D22302"/>
    <w:p w14:paraId="4AE584BC" w14:textId="77777777" w:rsidR="00D22302" w:rsidRDefault="00D22302" w:rsidP="00D22302">
      <w:r>
        <w:t xml:space="preserve">Skupno je oceno škode v gospodarstvu oddalo 11 oškodovancev, in sicer v višini 3.417.421,17 evra. Od tega je bilo 2.696.427,87 evra prijavljene škode na strojih in opremi, 119.900 evrov škode na zalogah ter 601.093,30 evra izpada prihodka. Najvišjo oceno škode je podalo podjetje SGP Graditelj d. o. o. iz Kamnika. Od skupno prijavljene škode v višini 2,65 milijona evrov sta približno dva milijona evrov predstavljala škoda na mostu, ki pa ne sodi med škodo v gospodarstvu. Zato se je skupna ocena škode v gospodarstvu znižala na približno 1,5 milijona evrov. </w:t>
      </w:r>
    </w:p>
    <w:p w14:paraId="62220E4A" w14:textId="77777777" w:rsidR="00D22302" w:rsidRDefault="00D22302" w:rsidP="00D22302"/>
    <w:p w14:paraId="4F8B1F99" w14:textId="77777777" w:rsidR="00D22302" w:rsidRDefault="00D22302" w:rsidP="00D22302">
      <w:r>
        <w:t xml:space="preserve">Zaradi obsežnih </w:t>
      </w:r>
      <w:proofErr w:type="gramStart"/>
      <w:r>
        <w:t>aktivnosti</w:t>
      </w:r>
      <w:proofErr w:type="gramEnd"/>
      <w:r>
        <w:t xml:space="preserve"> pri obravnavi vlog oškodovancev po katastrofalnih poplavah 4. avgusta 2023 ni bilo možno sočasno izvesti tudi aktivnosti, povezane s poplavami med 27. oktobrom in 6. novembrom 2023. Zaradi navedenega je treba izvesti poziv oškodovancem in izplačila v letu 2026. </w:t>
      </w:r>
    </w:p>
    <w:p w14:paraId="27480DF2" w14:textId="77777777" w:rsidR="00D22302" w:rsidRDefault="00D22302" w:rsidP="00D22302"/>
    <w:p w14:paraId="124BBCD5" w14:textId="77777777" w:rsidR="00D22302" w:rsidRDefault="00D22302" w:rsidP="00D22302">
      <w:r>
        <w:lastRenderedPageBreak/>
        <w:t xml:space="preserve">Ministrstvo za gospodarstvo, turizem in šport (MGTŠ) lahko zagotovi sredstva v višini do 45 odstotkov oziroma do 60 odstotkov škode (v primeru zavarovanja proti poplavam). Za ta namen je v finančnem načrtu ministrstva za leto 2026 zagotovljenih 900.000 evrov. </w:t>
      </w:r>
    </w:p>
    <w:p w14:paraId="7E97E887" w14:textId="77777777" w:rsidR="00D22302" w:rsidRDefault="00D22302" w:rsidP="00D22302"/>
    <w:p w14:paraId="24C0893E" w14:textId="77777777" w:rsidR="00D22302" w:rsidRDefault="00D22302" w:rsidP="00D22302">
      <w:r>
        <w:t xml:space="preserve">Če bo dejanska škoda, ugotovljena na podlagi cenilnih poročil, višja od trenutno ocenjene, bo treba zagotoviti dodatna sredstva. Omogočeno je, da se za izračun višine pomoči upošteva dejanska škoda in ni omejitve na ocenjeno vrednost škode. </w:t>
      </w:r>
    </w:p>
    <w:p w14:paraId="0B857DF2" w14:textId="77777777" w:rsidR="00D22302" w:rsidRDefault="00D22302" w:rsidP="00D22302"/>
    <w:p w14:paraId="0BF2506F" w14:textId="1B3D6BEE" w:rsidR="00356CF6" w:rsidRPr="00356CF6" w:rsidRDefault="00D22302" w:rsidP="00D22302">
      <w:r>
        <w:t>Vir: Ministrstvo za gospodarstvo, turizem in šport</w:t>
      </w:r>
    </w:p>
    <w:p w14:paraId="6A046D5E" w14:textId="77777777" w:rsidR="00356CF6" w:rsidRPr="00356CF6" w:rsidRDefault="00356CF6" w:rsidP="00356CF6"/>
    <w:p w14:paraId="2D3DFC29" w14:textId="0334629C" w:rsidR="00845DEC" w:rsidRDefault="00845DEC" w:rsidP="00845DEC">
      <w:pPr>
        <w:pStyle w:val="Naslov2"/>
      </w:pPr>
      <w:r>
        <w:t>Vlada sprejela Program razvoja pristanišča za mednarodni promet v Kopru za obdobje 2026-2030</w:t>
      </w:r>
    </w:p>
    <w:p w14:paraId="0D7D56DD" w14:textId="77777777" w:rsidR="00845DEC" w:rsidRDefault="00845DEC" w:rsidP="00845DEC">
      <w:r>
        <w:t>Skladno z Resolucijo o nacionalnem programu razvoja prometa do leta 2030, Resolucijo o nacionalnem programu razvoja pomorstva RS, Uredbo o upravljanju koprskega tovornega pristanišča, opravljanju pristaniške dejavnosti, podelitvi koncesije za upravljanje, vodenje, razvoj in redno vzdrževanje pristaniške infrastrukture v tem pristanišču in Koncesijsko pogodbo za opravljanje pristaniških dejavnosti, vodenje, razvoj in redno vzdrževanje pristaniške infrastrukture na območju koprskega tovornega pristanišča je Vlada Republike Slovenije sprejela Program razvoja pristanišča za mednarodni promet v Kopru za obdobje 2026-2030 (v nadaljevanju: PRP 2026-2030</w:t>
      </w:r>
      <w:proofErr w:type="gramStart"/>
      <w:r>
        <w:t xml:space="preserve"> )</w:t>
      </w:r>
      <w:proofErr w:type="gramEnd"/>
      <w:r>
        <w:t xml:space="preserve">. Program razvoja pristanišča se sprejme vsakih pet let, lahko se letno spreminja in dopolnjuje. Strokovne podlage za </w:t>
      </w:r>
      <w:proofErr w:type="gramStart"/>
      <w:r>
        <w:t>PRP</w:t>
      </w:r>
      <w:proofErr w:type="gramEnd"/>
      <w:r>
        <w:t xml:space="preserve"> 2026-2030 je pripravila Luka Koper in jih uskladila z Upravo Republike Slovenije za pomorstvo in Ministrstvom za infrastrukturo. Strokovne podlage vsebujejo analizo poslovnega okolja, analizo institucionalnega, naravnega in družbeno – socialnega okolja. Dokument obravnava tudi varnost in varovanje pristanišča, predviden razvoj infrastrukture in analizo razvoja blagovnih skupin. V PRP 2026-2030 so navedene naložbe, terminski </w:t>
      </w:r>
      <w:proofErr w:type="gramStart"/>
      <w:r>
        <w:t>plani</w:t>
      </w:r>
      <w:proofErr w:type="gramEnd"/>
      <w:r>
        <w:t xml:space="preserve"> in ocenjene vrednosti posameznih naložb - ločeno za pristaniško infrastrukturo, ki je namenjena za javni promet in pristaniško infrastrukturo, ki za javni promet ni namenjena. </w:t>
      </w:r>
    </w:p>
    <w:p w14:paraId="1C7A0FD7" w14:textId="77777777" w:rsidR="00845DEC" w:rsidRDefault="00845DEC" w:rsidP="00845DEC"/>
    <w:p w14:paraId="4F114DDF" w14:textId="77777777" w:rsidR="00845DEC" w:rsidRDefault="00845DEC" w:rsidP="00845DEC">
      <w:proofErr w:type="gramStart"/>
      <w:r>
        <w:t>Investicije</w:t>
      </w:r>
      <w:proofErr w:type="gramEnd"/>
      <w:r>
        <w:t xml:space="preserve"> v razvoj pristaniške infrastrukture obsegajo:</w:t>
      </w:r>
    </w:p>
    <w:p w14:paraId="65E5329C" w14:textId="60EB39CA" w:rsidR="00845DEC" w:rsidRDefault="00845DEC" w:rsidP="00845DEC">
      <w:pPr>
        <w:pStyle w:val="Odstavekseznama"/>
        <w:numPr>
          <w:ilvl w:val="0"/>
          <w:numId w:val="13"/>
        </w:numPr>
      </w:pPr>
      <w:proofErr w:type="gramStart"/>
      <w:r>
        <w:t>investicije</w:t>
      </w:r>
      <w:proofErr w:type="gramEnd"/>
      <w:r>
        <w:t xml:space="preserve"> v obstoječe predmete pristaniške infrastrukture zaradi njihovega izboljšanja, rekonstrukcije ali povečanja zmogljivosti,</w:t>
      </w:r>
    </w:p>
    <w:p w14:paraId="24D37945" w14:textId="307A1E34" w:rsidR="00845DEC" w:rsidRDefault="00845DEC" w:rsidP="00845DEC">
      <w:pPr>
        <w:pStyle w:val="Odstavekseznama"/>
        <w:numPr>
          <w:ilvl w:val="0"/>
          <w:numId w:val="13"/>
        </w:numPr>
      </w:pPr>
      <w:r>
        <w:t>izgradnjo oz. izdelavo novih predmetov pristaniške infrastrukture.</w:t>
      </w:r>
    </w:p>
    <w:p w14:paraId="5FE00370" w14:textId="77777777" w:rsidR="00845DEC" w:rsidRDefault="00845DEC" w:rsidP="00845DEC"/>
    <w:p w14:paraId="2FF0C272" w14:textId="77777777" w:rsidR="00845DEC" w:rsidRDefault="00845DEC" w:rsidP="00845DEC">
      <w:r>
        <w:t xml:space="preserve">S </w:t>
      </w:r>
      <w:proofErr w:type="gramStart"/>
      <w:r>
        <w:t>PRP</w:t>
      </w:r>
      <w:proofErr w:type="gramEnd"/>
      <w:r>
        <w:t xml:space="preserve"> 2026-2030 se na ravni idejne zasnove načrtuje prostorski in infrastrukturni razvoj pristanišča ter dinamika izvedbe načrtovanih infrastrukturnih ureditev ob upoštevanju skupnih interesov pogodbenih strank ter na podlagi sodobnih trendov gospodarske dinamike na področju pristaniških in logističnih dejavnosti. </w:t>
      </w:r>
    </w:p>
    <w:p w14:paraId="04431BDD" w14:textId="77777777" w:rsidR="00845DEC" w:rsidRDefault="00845DEC" w:rsidP="00845DEC">
      <w:pPr>
        <w:pStyle w:val="Vir"/>
      </w:pPr>
      <w:r>
        <w:t>Vir: Ministrstvo za infrastrukturo</w:t>
      </w:r>
    </w:p>
    <w:p w14:paraId="7FE356F7" w14:textId="31B2C247" w:rsidR="0044693A" w:rsidRDefault="0044693A" w:rsidP="0044693A">
      <w:pPr>
        <w:pStyle w:val="Naslov2"/>
      </w:pPr>
      <w:r>
        <w:t>Vlada sprejela poslovno politiko Eko sklada za obdobje 2026–2030</w:t>
      </w:r>
    </w:p>
    <w:p w14:paraId="524BC543" w14:textId="77777777" w:rsidR="0044693A" w:rsidRDefault="0044693A" w:rsidP="0044693A">
      <w:r>
        <w:t>Vlada je sprejela Poslovno politiko Eko sklada za obdobje 2026–2030, ki določa ključne strateške usmeritve delovanja sklada na področju učinkovite rabe energije, rabe obnovljivih virov energije, protipotresne obnove ter zmanjševanja energetske revščine. Poslovna politika vsebuje tudi okvir predvidenih spodbud in naložb, kar bo potencialnim investitorjem omogočalo lažje srednjeročno načrtovanje projektov.</w:t>
      </w:r>
    </w:p>
    <w:p w14:paraId="3FDB7135" w14:textId="77777777" w:rsidR="0044693A" w:rsidRDefault="0044693A" w:rsidP="0044693A"/>
    <w:p w14:paraId="6092DE3C" w14:textId="77777777" w:rsidR="0044693A" w:rsidRDefault="0044693A" w:rsidP="0044693A">
      <w:r>
        <w:t xml:space="preserve">Med ključnimi cilji poslovne politike so spodbujanje postopne celovite energetske prenove, možnost kombiniranja nepovratnih sredstev in ugodnih </w:t>
      </w:r>
      <w:proofErr w:type="gramStart"/>
      <w:r>
        <w:t>kreditov</w:t>
      </w:r>
      <w:proofErr w:type="gramEnd"/>
      <w:r>
        <w:t>, uvajanje novih finančnih instrumentov ter zagotavljanje kontinuitete javnih pozivov brez prekinitev. Poseben poudarek je namenjen tudi digitalizaciji poslovanja ter skrajševanju postopkov obdelave vlog.</w:t>
      </w:r>
    </w:p>
    <w:p w14:paraId="7D6497C8" w14:textId="77777777" w:rsidR="0044693A" w:rsidRDefault="0044693A" w:rsidP="0044693A"/>
    <w:p w14:paraId="171FDAC1" w14:textId="77777777" w:rsidR="0044693A" w:rsidRDefault="0044693A" w:rsidP="0044693A">
      <w:proofErr w:type="gramStart"/>
      <w:r>
        <w:t>Eko</w:t>
      </w:r>
      <w:proofErr w:type="gramEnd"/>
      <w:r>
        <w:t xml:space="preserve"> sklad bo ukrepe financiral iz več virov, med drugim iz sredstev za učinkovito rabo energije, Podnebnega sklada, evropske kohezijske politike in Socialnega sklada za podnebje. Za kreditiranje bo lahko v prihodnjih petih letih namenjenih do 250 milijonov evrov, za ukrepe blaženja in zmanjševanja energetske revščine pa je iz Socialnega sklada za podnebje predvidenih 248 milijonov evrov.</w:t>
      </w:r>
    </w:p>
    <w:p w14:paraId="28DE0516" w14:textId="3C17E4C5" w:rsidR="00356CF6" w:rsidRPr="00356CF6" w:rsidRDefault="0044693A" w:rsidP="0044693A">
      <w:pPr>
        <w:pStyle w:val="Vir"/>
      </w:pPr>
      <w:r>
        <w:t>Vir: Ministrstvo za okolje, podnebje in energijo</w:t>
      </w:r>
    </w:p>
    <w:p w14:paraId="1D54093B" w14:textId="68299C8A" w:rsidR="003A27B2" w:rsidRDefault="003A27B2" w:rsidP="003A27B2">
      <w:pPr>
        <w:pStyle w:val="Naslov2"/>
      </w:pPr>
      <w:r>
        <w:t xml:space="preserve">Vlada v veljavni Načrt razvojnih programov za obdobje 2026–2029 uvrstila tri nove projekte </w:t>
      </w:r>
    </w:p>
    <w:p w14:paraId="3F427068" w14:textId="77777777" w:rsidR="003A27B2" w:rsidRDefault="003A27B2" w:rsidP="003A27B2">
      <w:r>
        <w:t xml:space="preserve">Vlada je v veljavni Načrt razvojnih programov za obdobje 2026–2029 uvrstila tri nove projekte, in sicer »Oceno </w:t>
      </w:r>
      <w:proofErr w:type="spellStart"/>
      <w:r>
        <w:t>agroekoloških</w:t>
      </w:r>
      <w:proofErr w:type="spellEnd"/>
      <w:r>
        <w:t xml:space="preserve"> sistemov«, »Spodbujanje </w:t>
      </w:r>
      <w:proofErr w:type="spellStart"/>
      <w:r>
        <w:t>agroekologije</w:t>
      </w:r>
      <w:proofErr w:type="spellEnd"/>
      <w:r>
        <w:t xml:space="preserve"> z inovacijami« in »Izboljšanje vrtnarstva z inovacijami«.</w:t>
      </w:r>
    </w:p>
    <w:p w14:paraId="72DF2AB5" w14:textId="77777777" w:rsidR="003A27B2" w:rsidRDefault="003A27B2" w:rsidP="003A27B2"/>
    <w:p w14:paraId="7676554A" w14:textId="77777777" w:rsidR="003A27B2" w:rsidRDefault="003A27B2" w:rsidP="003A27B2">
      <w:r>
        <w:t xml:space="preserve">Ministrstvo za kmetijstvo, gozdarstvo in prehrano (MKGP) aktivno sodeluje v evropskem partnerstvu </w:t>
      </w:r>
      <w:proofErr w:type="spellStart"/>
      <w:r>
        <w:t>Agroekologija</w:t>
      </w:r>
      <w:proofErr w:type="spellEnd"/>
      <w:r>
        <w:t xml:space="preserve">, ki je vzpostavljeno v okviru 9. okvirnega programa EU za raziskave in inovacije Obzorje Evropa. Partnerstvo, financirano s strani Evropske komisije in 26 držav, združuje prizadevanja za pospešitev prehoda k trajnostnim kmetijskim sistemom ter naslavljanje ključnih izzivov, kot so podnebne spremembe, izguba biotske raznovrstnosti, prehranska varnost in </w:t>
      </w:r>
      <w:proofErr w:type="gramStart"/>
      <w:r>
        <w:t>okoljska</w:t>
      </w:r>
      <w:proofErr w:type="gramEnd"/>
      <w:r>
        <w:t xml:space="preserve"> trajnost, ob hkratnem zagotavljanju ekonomske vzdržnosti za kmete.</w:t>
      </w:r>
    </w:p>
    <w:p w14:paraId="34B2FBAF" w14:textId="77777777" w:rsidR="003A27B2" w:rsidRDefault="003A27B2" w:rsidP="003A27B2"/>
    <w:p w14:paraId="516E2F88" w14:textId="77777777" w:rsidR="003A27B2" w:rsidRDefault="003A27B2" w:rsidP="003A27B2">
      <w:r>
        <w:t xml:space="preserve">Projektni konzorcij, ki ga koordinira nemški </w:t>
      </w:r>
      <w:proofErr w:type="gramStart"/>
      <w:r>
        <w:t>raziskovalni center</w:t>
      </w:r>
      <w:proofErr w:type="gramEnd"/>
      <w:r>
        <w:t xml:space="preserve"> </w:t>
      </w:r>
      <w:proofErr w:type="spellStart"/>
      <w:r>
        <w:t>Jülich</w:t>
      </w:r>
      <w:proofErr w:type="spellEnd"/>
      <w:r>
        <w:t xml:space="preserve"> GmbH, vključuje 72 partnerjev iz 26 držav. Ključni cilji partnerstva so boljša povezanost znanstveno-raziskovalne skupnosti, usklajevanje raziskovalnih programov na področju </w:t>
      </w:r>
      <w:proofErr w:type="spellStart"/>
      <w:r>
        <w:t>agroekologije</w:t>
      </w:r>
      <w:proofErr w:type="spellEnd"/>
      <w:r>
        <w:t xml:space="preserve"> ter učinkovitejši prenos znanja med raziskovalci, kmeti, odločevalci in drugimi deležniki. Posebno vlogo pri tem imajo t. i. živi laboratoriji, ki omogočajo testiranje rešitev v realnem okolju, ter raziskovalne infrastrukture, ki širijo </w:t>
      </w:r>
      <w:proofErr w:type="spellStart"/>
      <w:r>
        <w:t>agroekološko</w:t>
      </w:r>
      <w:proofErr w:type="spellEnd"/>
      <w:r>
        <w:t xml:space="preserve"> znanje.</w:t>
      </w:r>
    </w:p>
    <w:p w14:paraId="0B224EC6" w14:textId="77777777" w:rsidR="003A27B2" w:rsidRDefault="003A27B2" w:rsidP="003A27B2"/>
    <w:p w14:paraId="3E34B7A7" w14:textId="77777777" w:rsidR="003A27B2" w:rsidRDefault="003A27B2" w:rsidP="003A27B2">
      <w:r>
        <w:t xml:space="preserve">V okviru izvajanja partnerstva je MKGP pristopil k drugemu nadnacionalnemu javnemu razpisu, ki temelji na krovni pogodbi (Grant </w:t>
      </w:r>
      <w:proofErr w:type="spellStart"/>
      <w:r>
        <w:t>Agreement</w:t>
      </w:r>
      <w:proofErr w:type="spellEnd"/>
      <w:r>
        <w:t xml:space="preserve"> No 101132349 – </w:t>
      </w:r>
      <w:proofErr w:type="spellStart"/>
      <w:r>
        <w:t>Agroekologija</w:t>
      </w:r>
      <w:proofErr w:type="spellEnd"/>
      <w:r>
        <w:t xml:space="preserve">). Na ravni razpisa je bilo izbranih 19 projektov, med njimi tudi trije projekti s slovenskimi prijavitelji. V Načrt razvojnih programov 2026–2029 je vlada tako uvrstila »Oceno </w:t>
      </w:r>
      <w:proofErr w:type="spellStart"/>
      <w:r>
        <w:t>agroekoloških</w:t>
      </w:r>
      <w:proofErr w:type="spellEnd"/>
      <w:r>
        <w:t xml:space="preserve"> sistemov« (</w:t>
      </w:r>
      <w:proofErr w:type="spellStart"/>
      <w:r>
        <w:t>MultiCAS</w:t>
      </w:r>
      <w:proofErr w:type="spellEnd"/>
      <w:r>
        <w:t>)</w:t>
      </w:r>
      <w:proofErr w:type="gramStart"/>
      <w:r>
        <w:t xml:space="preserve">,  </w:t>
      </w:r>
      <w:proofErr w:type="gramEnd"/>
      <w:r>
        <w:t xml:space="preserve">»Spodbujanje </w:t>
      </w:r>
      <w:proofErr w:type="spellStart"/>
      <w:r>
        <w:t>agroekologije</w:t>
      </w:r>
      <w:proofErr w:type="spellEnd"/>
      <w:r>
        <w:t xml:space="preserve"> z inovacijami« (</w:t>
      </w:r>
      <w:proofErr w:type="spellStart"/>
      <w:r>
        <w:t>AgroPolis</w:t>
      </w:r>
      <w:proofErr w:type="spellEnd"/>
      <w:r>
        <w:t>) in »Izboljšanje vrtnarstva z inovacijami« (ECOFLOURISH).</w:t>
      </w:r>
    </w:p>
    <w:p w14:paraId="07766494" w14:textId="77777777" w:rsidR="003A27B2" w:rsidRDefault="003A27B2" w:rsidP="003A27B2"/>
    <w:p w14:paraId="02976CB8" w14:textId="5C8B8E28" w:rsidR="003A27B2" w:rsidRDefault="003A27B2" w:rsidP="003A27B2">
      <w:pPr>
        <w:pStyle w:val="Odstavekseznama"/>
        <w:numPr>
          <w:ilvl w:val="0"/>
          <w:numId w:val="12"/>
        </w:numPr>
      </w:pPr>
      <w:proofErr w:type="spellStart"/>
      <w:r>
        <w:t>MultiCAS</w:t>
      </w:r>
      <w:proofErr w:type="spellEnd"/>
      <w:r>
        <w:t xml:space="preserve"> bo razvijal celostno orodje za ocenjevanje </w:t>
      </w:r>
      <w:proofErr w:type="spellStart"/>
      <w:r>
        <w:t>agroekoloških</w:t>
      </w:r>
      <w:proofErr w:type="spellEnd"/>
      <w:r>
        <w:t xml:space="preserve"> kmetij, prilagojeno lokalnim razmeram. Vključuje oceno </w:t>
      </w:r>
      <w:proofErr w:type="gramStart"/>
      <w:r>
        <w:t>okoljskih</w:t>
      </w:r>
      <w:proofErr w:type="gramEnd"/>
      <w:r>
        <w:t>, ekonomskih in družbenih učinkov ter krepitev sodelovanja med deležniki. Trajanje: 1. junij 2026–31. december 2029</w:t>
      </w:r>
    </w:p>
    <w:p w14:paraId="5A0C1D7B" w14:textId="59BE6B4C" w:rsidR="003A27B2" w:rsidRDefault="003A27B2" w:rsidP="003A27B2">
      <w:pPr>
        <w:pStyle w:val="Odstavekseznama"/>
        <w:numPr>
          <w:ilvl w:val="0"/>
          <w:numId w:val="12"/>
        </w:numPr>
      </w:pPr>
      <w:proofErr w:type="spellStart"/>
      <w:r>
        <w:t>AgroPolis</w:t>
      </w:r>
      <w:proofErr w:type="spellEnd"/>
      <w:r>
        <w:t xml:space="preserve"> bo spodbujal razvoj inovativnih </w:t>
      </w:r>
      <w:proofErr w:type="spellStart"/>
      <w:r>
        <w:t>agroekoloških</w:t>
      </w:r>
      <w:proofErr w:type="spellEnd"/>
      <w:r>
        <w:t xml:space="preserve"> vrednostnih verig in oblikovanje podpornih politik. Projekt vključuje </w:t>
      </w:r>
      <w:proofErr w:type="gramStart"/>
      <w:r>
        <w:t>testiranje</w:t>
      </w:r>
      <w:proofErr w:type="gramEnd"/>
      <w:r>
        <w:t xml:space="preserve"> inovacij v živih laboratorijih ter pripravo konkretnih priporočil za nacionalno in evropsko raven. Trajanje: 1. april 2026–31. december 2029</w:t>
      </w:r>
    </w:p>
    <w:p w14:paraId="638686EA" w14:textId="5BAFB314" w:rsidR="003A27B2" w:rsidRDefault="003A27B2" w:rsidP="003A27B2">
      <w:pPr>
        <w:pStyle w:val="Odstavekseznama"/>
        <w:numPr>
          <w:ilvl w:val="0"/>
          <w:numId w:val="12"/>
        </w:numPr>
      </w:pPr>
      <w:r>
        <w:t xml:space="preserve">ECOFLOURISH bo osredotočen na razvoj digitalnih rešitev za </w:t>
      </w:r>
      <w:proofErr w:type="spellStart"/>
      <w:r>
        <w:t>agroekološko</w:t>
      </w:r>
      <w:proofErr w:type="spellEnd"/>
      <w:r>
        <w:t xml:space="preserve"> vrtnarstvo, z izboljšanjem rabe virov, zdravja tal in biotske raznovrstnosti ter podporo odločanju v pridelavi jagodičevja. Trajanje: 1. marec 2026–31. december 2029</w:t>
      </w:r>
    </w:p>
    <w:p w14:paraId="3AF2A403" w14:textId="77777777" w:rsidR="003A27B2" w:rsidRDefault="003A27B2" w:rsidP="003A27B2"/>
    <w:p w14:paraId="098ADB3D" w14:textId="77777777" w:rsidR="003A27B2" w:rsidRDefault="003A27B2" w:rsidP="003A27B2">
      <w:r>
        <w:t>Sofinanciranje projektov bo prispevalo k vzpostavljanju evropskega raziskovalnega prostora, ki omogoča usklajevanje nacionalnih raziskovalnih politik in povečano vključevanje slovenskih raziskovalnih organizacij v evropske raziskovalne tokove. Projekti bodo financirani s prerazporeditvijo sredstev iz evidenčnega projekta »Raziskovalno-inovacijski projekti EU v kmetijstvu«.</w:t>
      </w:r>
    </w:p>
    <w:p w14:paraId="0CDF2558" w14:textId="2F0965F7" w:rsidR="00356CF6" w:rsidRPr="00356CF6" w:rsidRDefault="003A27B2" w:rsidP="003A27B2">
      <w:pPr>
        <w:pStyle w:val="Vir"/>
      </w:pPr>
      <w:r>
        <w:t>Vir: Ministrstvo za kmetijstvo, gozdarstvo in prehrano</w:t>
      </w:r>
    </w:p>
    <w:p w14:paraId="204772F4" w14:textId="3C771BF0" w:rsidR="006C0E77" w:rsidRDefault="006C0E77" w:rsidP="006C0E77">
      <w:pPr>
        <w:pStyle w:val="Naslov2"/>
      </w:pPr>
      <w:r>
        <w:t xml:space="preserve">Digitalizacija lokalnih energetskih </w:t>
      </w:r>
      <w:proofErr w:type="gramStart"/>
      <w:r>
        <w:t>konceptov</w:t>
      </w:r>
      <w:proofErr w:type="gramEnd"/>
      <w:r>
        <w:t xml:space="preserve"> v Načrt razvojnih programov 2026–2029</w:t>
      </w:r>
    </w:p>
    <w:p w14:paraId="743FC4D0" w14:textId="77777777" w:rsidR="006C0E77" w:rsidRDefault="006C0E77" w:rsidP="006C0E77">
      <w:r>
        <w:lastRenderedPageBreak/>
        <w:t xml:space="preserve">Vlada je v veljavni Načrt razvojnih programov 2026–2029 uvrstila nov projekt »Digitalizacija lokalnih energetskih </w:t>
      </w:r>
      <w:proofErr w:type="gramStart"/>
      <w:r>
        <w:t>konceptov</w:t>
      </w:r>
      <w:proofErr w:type="gramEnd"/>
      <w:r>
        <w:t xml:space="preserve">«. </w:t>
      </w:r>
    </w:p>
    <w:p w14:paraId="4D6E5DF7" w14:textId="77777777" w:rsidR="006C0E77" w:rsidRDefault="006C0E77" w:rsidP="006C0E77"/>
    <w:p w14:paraId="1E17B70E" w14:textId="77777777" w:rsidR="006C0E77" w:rsidRDefault="006C0E77" w:rsidP="006C0E77">
      <w:r>
        <w:t xml:space="preserve">Projekt se izvaja v okviru Slovensko-švicarskega programa sodelovanja in drugega Švicarskega prispevka na področju »Energetska učinkovitost in obnovljivi viri energije«. Namen projekta je razvoj in nacionalna uvedba enotne digitalne platforme za pripravo, posodabljanje in uporabo lokalnih energetskih </w:t>
      </w:r>
      <w:proofErr w:type="gramStart"/>
      <w:r>
        <w:t>konceptov</w:t>
      </w:r>
      <w:proofErr w:type="gramEnd"/>
      <w:r>
        <w:t xml:space="preserve"> (LEK). </w:t>
      </w:r>
    </w:p>
    <w:p w14:paraId="0ED66443" w14:textId="77777777" w:rsidR="006C0E77" w:rsidRDefault="006C0E77" w:rsidP="006C0E77"/>
    <w:p w14:paraId="51D11F74" w14:textId="77777777" w:rsidR="006C0E77" w:rsidRDefault="006C0E77" w:rsidP="006C0E77">
      <w:r>
        <w:t xml:space="preserve">Platforma bo občinam omogočila enotno vstopno točko za pripravo in posodabljanje LEK na podlagi digitalnih energetskih in prostorskih podatkov. S tem se bo zmanjšala razpršenost podatkov, izboljšala njihova primerljivost ter podprlo spremljanje izvajanja ukrepov energetske učinkovitosti in obnovljivih virov energije. </w:t>
      </w:r>
    </w:p>
    <w:p w14:paraId="5EB0790F" w14:textId="77777777" w:rsidR="006C0E77" w:rsidRDefault="006C0E77" w:rsidP="006C0E77"/>
    <w:p w14:paraId="33211F13" w14:textId="77777777" w:rsidR="006C0E77" w:rsidRDefault="006C0E77" w:rsidP="006C0E77">
      <w:r>
        <w:t xml:space="preserve">Ocenjena vrednost projekta znaša 2,16 milijona evrov, pri čemer bo 85 odstotkov sredstev zagotovljenih iz drugega Švicarskega prispevka, 15 odstotkov pa iz proračuna Republike Slovenije. Projekt se bo izvajal do 30. julija 2029. </w:t>
      </w:r>
    </w:p>
    <w:p w14:paraId="249F6BEF" w14:textId="18B1E197" w:rsidR="00356CF6" w:rsidRPr="00356CF6" w:rsidRDefault="006C0E77" w:rsidP="006C0E77">
      <w:pPr>
        <w:pStyle w:val="Vir"/>
      </w:pPr>
      <w:r>
        <w:t>Vir: Ministrstvo za okolje, podnebje in energijo</w:t>
      </w:r>
    </w:p>
    <w:p w14:paraId="5C5F9AF0" w14:textId="46491D13" w:rsidR="007B4D5C" w:rsidRDefault="007B4D5C" w:rsidP="007B4D5C">
      <w:pPr>
        <w:pStyle w:val="Naslov2"/>
      </w:pPr>
      <w:r>
        <w:t xml:space="preserve">Vlada sprejela projekt BUILD – </w:t>
      </w:r>
      <w:proofErr w:type="spellStart"/>
      <w:r>
        <w:t>CitiVERSE</w:t>
      </w:r>
      <w:proofErr w:type="spellEnd"/>
      <w:r>
        <w:t xml:space="preserve"> – Lokalni digitalni dvojčki</w:t>
      </w:r>
    </w:p>
    <w:p w14:paraId="5AC7CCC4" w14:textId="77777777" w:rsidR="007B4D5C" w:rsidRDefault="007B4D5C" w:rsidP="007B4D5C">
      <w:r>
        <w:t xml:space="preserve">Vlada Republike Slovenije je na današnji seji sprejela sklep o uvrstitvi novega projekta »BUILD – </w:t>
      </w:r>
      <w:proofErr w:type="spellStart"/>
      <w:r>
        <w:t>CitiVERSE</w:t>
      </w:r>
      <w:proofErr w:type="spellEnd"/>
      <w:r>
        <w:t xml:space="preserve"> – Lokalni digitalni dvojčki« v veljavni Načrt razvojnih programov 2026–2029.</w:t>
      </w:r>
    </w:p>
    <w:p w14:paraId="29A23D6D" w14:textId="77777777" w:rsidR="007B4D5C" w:rsidRDefault="007B4D5C" w:rsidP="007B4D5C"/>
    <w:p w14:paraId="3E076467" w14:textId="1C0291DB" w:rsidR="007B4D5C" w:rsidRDefault="007B4D5C" w:rsidP="007B4D5C">
      <w:r>
        <w:t xml:space="preserve">Projekt BUILD – </w:t>
      </w:r>
      <w:proofErr w:type="spellStart"/>
      <w:r>
        <w:t>CitiVERSE</w:t>
      </w:r>
      <w:proofErr w:type="spellEnd"/>
      <w:r>
        <w:t xml:space="preserve"> (</w:t>
      </w:r>
      <w:proofErr w:type="spellStart"/>
      <w:r>
        <w:t>BestUse</w:t>
      </w:r>
      <w:proofErr w:type="spellEnd"/>
      <w:r>
        <w:t xml:space="preserve"> In </w:t>
      </w:r>
      <w:proofErr w:type="spellStart"/>
      <w:r>
        <w:t>Local</w:t>
      </w:r>
      <w:proofErr w:type="spellEnd"/>
      <w:r>
        <w:t xml:space="preserve"> Digital </w:t>
      </w:r>
      <w:proofErr w:type="spellStart"/>
      <w:r>
        <w:t>twins</w:t>
      </w:r>
      <w:proofErr w:type="spellEnd"/>
      <w:r>
        <w:t xml:space="preserve"> </w:t>
      </w:r>
      <w:proofErr w:type="spellStart"/>
      <w:r>
        <w:t>towards</w:t>
      </w:r>
      <w:proofErr w:type="spellEnd"/>
      <w:r>
        <w:t xml:space="preserve"> the </w:t>
      </w:r>
      <w:proofErr w:type="spellStart"/>
      <w:r>
        <w:t>CitiVERSE</w:t>
      </w:r>
      <w:proofErr w:type="spellEnd"/>
      <w:r>
        <w:t xml:space="preserve">) je evropski </w:t>
      </w:r>
      <w:proofErr w:type="spellStart"/>
      <w:r>
        <w:t>večdržavni</w:t>
      </w:r>
      <w:proofErr w:type="spellEnd"/>
      <w:r>
        <w:t xml:space="preserve"> projekt, namenjen vzpostavitvi skupne digitalne infrastrukture za lokalne digitalne dvojčke mest in skupnosti. Projekt spodbuja uporabo naprednih digitalnih tehnologij, kot so umetna inteligenca, internet stvari (</w:t>
      </w:r>
      <w:proofErr w:type="spellStart"/>
      <w:r>
        <w:t>IoT</w:t>
      </w:r>
      <w:proofErr w:type="spellEnd"/>
      <w:r>
        <w:t xml:space="preserve">) in oblačne storitve, za podporo pametnim skupnostim ter učinkovitejšemu upravljanju </w:t>
      </w:r>
      <w:proofErr w:type="gramStart"/>
      <w:r>
        <w:t>mest</w:t>
      </w:r>
      <w:proofErr w:type="gramEnd"/>
      <w:r>
        <w:t xml:space="preserve"> in javnih storitev.</w:t>
      </w:r>
    </w:p>
    <w:p w14:paraId="40A45A52" w14:textId="77777777" w:rsidR="007B4D5C" w:rsidRDefault="007B4D5C" w:rsidP="007B4D5C"/>
    <w:p w14:paraId="3CA39E28" w14:textId="501B4148" w:rsidR="007B4D5C" w:rsidRDefault="007B4D5C" w:rsidP="007B4D5C">
      <w:r>
        <w:t xml:space="preserve">Projekt izvaja Konzorcij evropske digitalne infrastrukture za lokalne digitalne dvojčke za </w:t>
      </w:r>
      <w:proofErr w:type="spellStart"/>
      <w:r>
        <w:t>CitiVERSE</w:t>
      </w:r>
      <w:proofErr w:type="spellEnd"/>
      <w:r>
        <w:t xml:space="preserve"> (LDT </w:t>
      </w:r>
      <w:proofErr w:type="spellStart"/>
      <w:r>
        <w:t>CitiVERSE</w:t>
      </w:r>
      <w:proofErr w:type="spellEnd"/>
      <w:r>
        <w:t xml:space="preserve"> EDIC), v katerem Republika Slovenija sodeluje kot polnopravna članica. Slovenska partnerja v projektu sta Ministrstvo za digitalno preobrazbo in Mestna občina Ljubljana.</w:t>
      </w:r>
    </w:p>
    <w:p w14:paraId="5C1FFF72" w14:textId="77777777" w:rsidR="007B4D5C" w:rsidRDefault="007B4D5C" w:rsidP="007B4D5C"/>
    <w:p w14:paraId="6BF73D18" w14:textId="46C70538" w:rsidR="007B4D5C" w:rsidRDefault="007B4D5C" w:rsidP="007B4D5C">
      <w:r>
        <w:t xml:space="preserve">Cilj projekta je vzpostaviti </w:t>
      </w:r>
      <w:proofErr w:type="gramStart"/>
      <w:r>
        <w:t>interoperabilno</w:t>
      </w:r>
      <w:proofErr w:type="gramEnd"/>
      <w:r>
        <w:t>, varno in odprto evropsko infrastrukturo lokalnih digitalnih dvojčkov, ki bo omogočala boljše upravljanje urbanega okolja, učinkovitejše odločanje na podlagi podatkov ter čezmejno sodelovanje med evropskimi mesti in skupnostmi.</w:t>
      </w:r>
    </w:p>
    <w:p w14:paraId="4453328C" w14:textId="77777777" w:rsidR="007B4D5C" w:rsidRDefault="007B4D5C" w:rsidP="007B4D5C"/>
    <w:p w14:paraId="06EFB663" w14:textId="4D189D31" w:rsidR="007B4D5C" w:rsidRDefault="007B4D5C" w:rsidP="007B4D5C">
      <w:r>
        <w:t xml:space="preserve">Projekt BUILD – </w:t>
      </w:r>
      <w:proofErr w:type="spellStart"/>
      <w:r>
        <w:t>CitiVERSE</w:t>
      </w:r>
      <w:proofErr w:type="spellEnd"/>
      <w:r>
        <w:t xml:space="preserve"> bo prispeval k uresničevanju ciljev Programa digitalnega desetletja 2030, Strategije Digitalna Slovenija 2030 ter </w:t>
      </w:r>
      <w:proofErr w:type="gramStart"/>
      <w:r>
        <w:t>Evropskega</w:t>
      </w:r>
      <w:proofErr w:type="gramEnd"/>
      <w:r>
        <w:t xml:space="preserve"> podatkovnega prostora za pametne skupnosti.</w:t>
      </w:r>
    </w:p>
    <w:p w14:paraId="3534A066" w14:textId="77777777" w:rsidR="007B4D5C" w:rsidRDefault="007B4D5C" w:rsidP="007B4D5C">
      <w:r>
        <w:t xml:space="preserve">Projekt bo potekal do 30. septembra 2028. </w:t>
      </w:r>
    </w:p>
    <w:p w14:paraId="6D00A721" w14:textId="77777777" w:rsidR="007B4D5C" w:rsidRDefault="007B4D5C" w:rsidP="007B4D5C"/>
    <w:p w14:paraId="79434605" w14:textId="7C29DC98" w:rsidR="00356CF6" w:rsidRDefault="007B4D5C" w:rsidP="007B4D5C">
      <w:r>
        <w:t xml:space="preserve">S sprejetjem projekta Slovenija nadaljuje </w:t>
      </w:r>
      <w:proofErr w:type="gramStart"/>
      <w:r>
        <w:t>aktivnosti</w:t>
      </w:r>
      <w:proofErr w:type="gramEnd"/>
      <w:r>
        <w:t xml:space="preserve"> za krepitev digitalnih zmogljivosti javnega sektorja ter razvoj podatkovno podprtih in trajnostnih pametnih skupnosti.</w:t>
      </w:r>
    </w:p>
    <w:p w14:paraId="1F844EBD" w14:textId="1A2C2A63" w:rsidR="007B4D5C" w:rsidRPr="00356CF6" w:rsidRDefault="007B4D5C" w:rsidP="007B4D5C">
      <w:pPr>
        <w:pStyle w:val="Vir"/>
      </w:pPr>
      <w:r w:rsidRPr="007B4D5C">
        <w:t>Vir: Ministrstvo za digitalno preobrazbo</w:t>
      </w:r>
    </w:p>
    <w:p w14:paraId="2CE0A62C" w14:textId="13D21176" w:rsidR="000309B2" w:rsidRDefault="000309B2" w:rsidP="000309B2">
      <w:pPr>
        <w:pStyle w:val="Naslov2"/>
      </w:pPr>
      <w:r>
        <w:t xml:space="preserve">Nov projekt v Načrtu razvojnih programov 2026–2029: Vzpostavitev dveh zaklonišč v vrtcih v </w:t>
      </w:r>
      <w:proofErr w:type="spellStart"/>
      <w:r>
        <w:t>Lozovi</w:t>
      </w:r>
      <w:proofErr w:type="spellEnd"/>
    </w:p>
    <w:p w14:paraId="41B9D871" w14:textId="77777777" w:rsidR="000309B2" w:rsidRDefault="000309B2" w:rsidP="000309B2">
      <w:r>
        <w:t xml:space="preserve">Vojna v Ukrajini močno vpliva tudi na predšolsko vzgojo, saj otroci zaradi nevarnosti zračnih napadov in obstreljevanja nimajo zagotovljenega varnega dostopa do vzgojno-izobraževalnih ustanov. V mestu </w:t>
      </w:r>
      <w:proofErr w:type="spellStart"/>
      <w:r>
        <w:lastRenderedPageBreak/>
        <w:t>Lozova</w:t>
      </w:r>
      <w:proofErr w:type="spellEnd"/>
      <w:r>
        <w:t xml:space="preserve"> v Harkovski oblasti zato ostaja izrazita potreba po ustrezno opremljenih zakloniščih, zlasti v predšolskih ustanovah.</w:t>
      </w:r>
    </w:p>
    <w:p w14:paraId="11B139ED" w14:textId="77777777" w:rsidR="000309B2" w:rsidRDefault="000309B2" w:rsidP="000309B2"/>
    <w:p w14:paraId="5707E887" w14:textId="77777777" w:rsidR="000309B2" w:rsidRDefault="000309B2" w:rsidP="000309B2">
      <w:r>
        <w:t>Izvedba navedenega projekta spada v okvir opravljanja tekočih poslov, saj je potrebna za redno mednarodno in politično delovanje. Obveznosti izvrševanja mednarodnega razvojnega sodelovanja in humanitarne pomoči izhajajo iz dolžnosti, ki se zaradi članstva v Evropski uniji in drugih mednarodnih organizacijah od Republike Slovenije pričakujejo.</w:t>
      </w:r>
    </w:p>
    <w:p w14:paraId="65705C0E" w14:textId="77777777" w:rsidR="000309B2" w:rsidRDefault="000309B2" w:rsidP="000309B2"/>
    <w:p w14:paraId="22887D33" w14:textId="77777777" w:rsidR="000309B2" w:rsidRDefault="000309B2" w:rsidP="000309B2">
      <w:r>
        <w:t xml:space="preserve">Namen projekta je zagotoviti varne, funkcionalne, sanitarno ustrezne in dostopne pogoje za otroke in zaposlene v dveh predšolskih ustanovah v </w:t>
      </w:r>
      <w:proofErr w:type="spellStart"/>
      <w:r>
        <w:t>Lozovi</w:t>
      </w:r>
      <w:proofErr w:type="spellEnd"/>
      <w:r>
        <w:t xml:space="preserve"> ter s tem omogočiti varnejše izvajanje predšolske vzgoje v času vojnih razmer. Projekt bo hkrati prispeval tudi k večji varnosti lokalne skupnosti, saj se bosta zaklonišči v izrednih razmerah lahko uporabljali tudi za druge uporabnike v skladu z režimom, ki ga določi lokalna skupnost.</w:t>
      </w:r>
    </w:p>
    <w:p w14:paraId="6937C785" w14:textId="77777777" w:rsidR="000309B2" w:rsidRDefault="000309B2" w:rsidP="000309B2"/>
    <w:p w14:paraId="1BEE29C9" w14:textId="77777777" w:rsidR="000309B2" w:rsidRDefault="000309B2" w:rsidP="000309B2">
      <w:r>
        <w:t>Cilj projekta je zagotoviti varen prostor za 191 otrok in 66 zaposlenih v obeh vrtcih med zračnimi napadi in drugimi varnostnimi grožnjami, omogočiti neprekinjeno izvajanje predšolske vzgoje v vojnih razmerah, izboljšati dostopnost zaklonišč za osebe z zmanjšano mobilnostjo, okrepiti odpornost lokalne skupnosti z dodatno zaščitno infrastrukturo (za dodatnih 235 oseb).</w:t>
      </w:r>
    </w:p>
    <w:p w14:paraId="1AC5D026" w14:textId="77777777" w:rsidR="000309B2" w:rsidRDefault="000309B2" w:rsidP="000309B2"/>
    <w:p w14:paraId="31CF0A43" w14:textId="77777777" w:rsidR="000309B2" w:rsidRDefault="000309B2" w:rsidP="000309B2">
      <w:r>
        <w:t>Vrednost projekta znaša skupaj 1.412.748 evrov, od tega donacija RS (proračunska sredstva) znašajo 1.059.562 evrov, ostali donatorji v Ukrajini pa bodo prispevali lastna sredstva v višini 353.186 evrov.</w:t>
      </w:r>
    </w:p>
    <w:p w14:paraId="42251BCA" w14:textId="77777777" w:rsidR="000309B2" w:rsidRDefault="000309B2" w:rsidP="000309B2">
      <w:pPr>
        <w:pStyle w:val="Vir"/>
      </w:pPr>
      <w:r>
        <w:t>Vir: Ministrstvo za zunanje in evropske zadeve Republike Slovenije</w:t>
      </w:r>
    </w:p>
    <w:p w14:paraId="29700829" w14:textId="086E2C4C" w:rsidR="003E71AB" w:rsidRDefault="003E71AB" w:rsidP="003E71AB">
      <w:pPr>
        <w:pStyle w:val="Naslov2"/>
      </w:pPr>
      <w:r>
        <w:t xml:space="preserve">Vlada uvrstila projekt »Pilotni obrat za </w:t>
      </w:r>
      <w:proofErr w:type="spellStart"/>
      <w:r>
        <w:t>insektno</w:t>
      </w:r>
      <w:proofErr w:type="spellEnd"/>
      <w:r>
        <w:t xml:space="preserve"> </w:t>
      </w:r>
      <w:proofErr w:type="spellStart"/>
      <w:r>
        <w:t>bio</w:t>
      </w:r>
      <w:proofErr w:type="gramStart"/>
      <w:r>
        <w:t>konverzijo</w:t>
      </w:r>
      <w:proofErr w:type="spellEnd"/>
      <w:proofErr w:type="gramEnd"/>
      <w:r>
        <w:t>«</w:t>
      </w:r>
    </w:p>
    <w:p w14:paraId="7998EC5A" w14:textId="77777777" w:rsidR="003E71AB" w:rsidRDefault="003E71AB" w:rsidP="003E71AB">
      <w:r>
        <w:t xml:space="preserve">Vlada je v veljavni Načrt razvojnih programov 2026–2029 uvrstila nov projekt »Pilotni obrat za </w:t>
      </w:r>
      <w:proofErr w:type="spellStart"/>
      <w:r>
        <w:t>insektno</w:t>
      </w:r>
      <w:proofErr w:type="spellEnd"/>
      <w:r>
        <w:t xml:space="preserve"> </w:t>
      </w:r>
      <w:proofErr w:type="spellStart"/>
      <w:r>
        <w:t>bio</w:t>
      </w:r>
      <w:proofErr w:type="gramStart"/>
      <w:r>
        <w:t>konverzijo</w:t>
      </w:r>
      <w:proofErr w:type="spellEnd"/>
      <w:proofErr w:type="gramEnd"/>
      <w:r>
        <w:t xml:space="preserve">«. </w:t>
      </w:r>
    </w:p>
    <w:p w14:paraId="7AB044CF" w14:textId="77777777" w:rsidR="003E71AB" w:rsidRDefault="003E71AB" w:rsidP="003E71AB"/>
    <w:p w14:paraId="574CACD0" w14:textId="77777777" w:rsidR="003E71AB" w:rsidRDefault="003E71AB" w:rsidP="003E71AB">
      <w:r>
        <w:t xml:space="preserve">Projekt je namenjen testiranju, razvoju in preveritvi tehnološke, okoljske ter ekonomske izvedljivosti metode </w:t>
      </w:r>
      <w:proofErr w:type="spellStart"/>
      <w:r>
        <w:t>bio</w:t>
      </w:r>
      <w:proofErr w:type="gramStart"/>
      <w:r>
        <w:t>konverzije</w:t>
      </w:r>
      <w:proofErr w:type="spellEnd"/>
      <w:proofErr w:type="gramEnd"/>
      <w:r>
        <w:t xml:space="preserve"> izbranih bioloških odpadkov s črno bojevniško muho. Gre za pilotno preveritev dodatne tehnološke možnosti za obdelavo bioloških odpadkov, ne za nadomestitev obstoječega postopka mehansko-biološke obdelave.</w:t>
      </w:r>
    </w:p>
    <w:p w14:paraId="338E8BE4" w14:textId="77777777" w:rsidR="003E71AB" w:rsidRDefault="003E71AB" w:rsidP="003E71AB">
      <w:r>
        <w:t xml:space="preserve"> </w:t>
      </w:r>
    </w:p>
    <w:p w14:paraId="7E998BFB" w14:textId="77777777" w:rsidR="003E71AB" w:rsidRDefault="003E71AB" w:rsidP="003E71AB">
      <w:r>
        <w:t xml:space="preserve">Pilotni obrat bo umeščen v realno obratovalno okolje RCERO Ljubljana in neposredno integriran v obstoječi sistem ravnanja z odpadki. Omogočil bo pridobitev podatkov o primernosti posameznih substratov, učinkovitosti </w:t>
      </w:r>
      <w:proofErr w:type="spellStart"/>
      <w:r>
        <w:t>bio</w:t>
      </w:r>
      <w:proofErr w:type="gramStart"/>
      <w:r>
        <w:t>konverzije</w:t>
      </w:r>
      <w:proofErr w:type="spellEnd"/>
      <w:proofErr w:type="gramEnd"/>
      <w:r>
        <w:t xml:space="preserve">, stroškovni strukturi obratovanja ter količini in kakovosti izhodnih produktov. </w:t>
      </w:r>
    </w:p>
    <w:p w14:paraId="639C1A70" w14:textId="77777777" w:rsidR="003E71AB" w:rsidRDefault="003E71AB" w:rsidP="003E71AB"/>
    <w:p w14:paraId="76AF1712" w14:textId="77777777" w:rsidR="003E71AB" w:rsidRDefault="003E71AB" w:rsidP="003E71AB">
      <w:r>
        <w:t xml:space="preserve">Celotna vrednost </w:t>
      </w:r>
      <w:proofErr w:type="gramStart"/>
      <w:r>
        <w:t>investicije</w:t>
      </w:r>
      <w:proofErr w:type="gramEnd"/>
      <w:r>
        <w:t xml:space="preserve"> znaša 4,27 milijona evrov z DDV, od tega je do 2,5 milijona evrov predvidenih iz sredstev Podnebnega sklada, 1,77 milijona evrov pa iz lastnih sredstev Mestne občine Ljubljana. </w:t>
      </w:r>
    </w:p>
    <w:p w14:paraId="4B141A7B" w14:textId="36150C52" w:rsidR="00356CF6" w:rsidRPr="00356CF6" w:rsidRDefault="003E71AB" w:rsidP="003E71AB">
      <w:pPr>
        <w:pStyle w:val="Vir"/>
      </w:pPr>
      <w:r>
        <w:t>Vir: Ministrstvo za okolje, podnebje in energijo</w:t>
      </w:r>
    </w:p>
    <w:p w14:paraId="4D27F5D2" w14:textId="7D1EDFEE" w:rsidR="00356CF6" w:rsidRDefault="00356CF6" w:rsidP="00D10DC6">
      <w:pPr>
        <w:pStyle w:val="Naslov2"/>
      </w:pPr>
      <w:r w:rsidRPr="00356CF6">
        <w:t xml:space="preserve">Končno poročilo o delovanju Delovne skupine Vlade Republike Slovenije za koordinacijo pripravljalnih </w:t>
      </w:r>
      <w:proofErr w:type="gramStart"/>
      <w:r w:rsidRPr="00356CF6">
        <w:t>aktivnosti</w:t>
      </w:r>
      <w:proofErr w:type="gramEnd"/>
      <w:r w:rsidRPr="00356CF6">
        <w:t xml:space="preserve"> na projektu JEK2</w:t>
      </w:r>
    </w:p>
    <w:p w14:paraId="467FF9B4" w14:textId="77777777" w:rsidR="00D10DC6" w:rsidRDefault="00D10DC6" w:rsidP="00D10DC6">
      <w:r>
        <w:t xml:space="preserve">Vlada Republike Slovenije se je na današnji seji seznanila s Končnim poročilom o delovanju Delovne skupine Vlade Republike Slovenije za koordinacijo pripravljalnih </w:t>
      </w:r>
      <w:proofErr w:type="gramStart"/>
      <w:r>
        <w:t>aktivnosti</w:t>
      </w:r>
      <w:proofErr w:type="gramEnd"/>
      <w:r>
        <w:t xml:space="preserve"> na projektu JEK2 za obdobje september 2023 – april 2026. </w:t>
      </w:r>
    </w:p>
    <w:p w14:paraId="369B3B7E" w14:textId="77777777" w:rsidR="00D10DC6" w:rsidRDefault="00D10DC6" w:rsidP="00D10DC6">
      <w:r>
        <w:t xml:space="preserve">V času delovanja delovne skupine so bili vzpostavljeni ključni postopki, strokovne podlage in mehanizmi medresorske koordinacije za pripravo projekta JEK2 do sprejema končne </w:t>
      </w:r>
      <w:proofErr w:type="gramStart"/>
      <w:r>
        <w:t>investicijske</w:t>
      </w:r>
      <w:proofErr w:type="gramEnd"/>
      <w:r>
        <w:t xml:space="preserve"> </w:t>
      </w:r>
      <w:r>
        <w:lastRenderedPageBreak/>
        <w:t xml:space="preserve">odločitve, ki je predvidena do konca leta 2028. Delovna skupina je izvedla 22 rednih in eno dopisno sejo ter sprejela 133 sklepov, pri čemer je bila velika večina tudi </w:t>
      </w:r>
      <w:proofErr w:type="gramStart"/>
      <w:r>
        <w:t>realiziranih</w:t>
      </w:r>
      <w:proofErr w:type="gramEnd"/>
      <w:r>
        <w:t xml:space="preserve">. </w:t>
      </w:r>
    </w:p>
    <w:p w14:paraId="4B856570" w14:textId="77777777" w:rsidR="00D10DC6" w:rsidRDefault="00D10DC6" w:rsidP="00D10DC6"/>
    <w:p w14:paraId="7C462716" w14:textId="07F134DB" w:rsidR="00D10DC6" w:rsidRDefault="00D10DC6" w:rsidP="00D10DC6">
      <w:r>
        <w:t>Med pomembnejšimi mejniki izstopajo priprava in sprejem Resolucije o dolgoročni miroljubni rabi jedrske energije v Republiki Sloveniji, začetek postopka umeščanja JEK2 v prostor, priprava poročila o pripravi modela financiranja projekta ter vključitev Slovenije v mednarodni projekt OECD NEA »</w:t>
      </w:r>
      <w:proofErr w:type="spellStart"/>
      <w:r>
        <w:t>Roadmaps</w:t>
      </w:r>
      <w:proofErr w:type="spellEnd"/>
      <w:r>
        <w:t xml:space="preserve"> to New </w:t>
      </w:r>
      <w:proofErr w:type="spellStart"/>
      <w:r>
        <w:t>Nuclear</w:t>
      </w:r>
      <w:proofErr w:type="spellEnd"/>
      <w:r>
        <w:t xml:space="preserve">«. </w:t>
      </w:r>
      <w:proofErr w:type="gramStart"/>
      <w:r>
        <w:t>Aktivnosti</w:t>
      </w:r>
      <w:proofErr w:type="gramEnd"/>
      <w:r>
        <w:t xml:space="preserve"> so bile usmerjene tudi v razvoj kadrov za potrebe nacionalnega jedrskega programa, krepitev sodelovanja z mednarodnimi partnerji ter pripravo ustreznega zakonodajnega okvirja za izvedbo projekta. </w:t>
      </w:r>
    </w:p>
    <w:p w14:paraId="7DA2CF2F" w14:textId="77777777" w:rsidR="00D10DC6" w:rsidRDefault="00D10DC6" w:rsidP="00D10DC6"/>
    <w:p w14:paraId="2A5680C9" w14:textId="57915626" w:rsidR="00D10DC6" w:rsidRDefault="00D10DC6" w:rsidP="00D10DC6">
      <w:r>
        <w:t xml:space="preserve">V ospredju nadaljnjih </w:t>
      </w:r>
      <w:proofErr w:type="gramStart"/>
      <w:r>
        <w:t>aktivnosti</w:t>
      </w:r>
      <w:proofErr w:type="gramEnd"/>
      <w:r>
        <w:t xml:space="preserve"> ostajajo umeščanje projekta v prostor, priprava finančne konstrukcije, izbor dobavitelja tehnologije, priprava posebnega zakona za JEK2 in ustanovitev projektne družbe. V nadaljevanju bo pomembno tudi usklajevanje z Evropsko komisijo glede postopkov državne pomoči, priprava regionalnega razvojnega zakona za </w:t>
      </w:r>
      <w:proofErr w:type="gramStart"/>
      <w:r>
        <w:t>regijo</w:t>
      </w:r>
      <w:proofErr w:type="gramEnd"/>
      <w:r>
        <w:t xml:space="preserve"> Posavje ter nadaljnja krepitev kadrovskih in institucionalnih zmogljivosti države na področju jedrske energije. </w:t>
      </w:r>
    </w:p>
    <w:p w14:paraId="34F94C56" w14:textId="77777777" w:rsidR="00D10DC6" w:rsidRDefault="00D10DC6" w:rsidP="00D10DC6"/>
    <w:p w14:paraId="07306AAE" w14:textId="69F3470A" w:rsidR="00D10DC6" w:rsidRDefault="00D10DC6" w:rsidP="00D10DC6">
      <w:r>
        <w:t>Projekt JEK2 predstavlja enega ključnih strateških projektov Republike Slovenije za zagotavljanje dolgoročne, stabilne in nizkoogljične oskrbe z električno energijo, zato bo za njegovo nadaljnjo pripravo pomembno ohranjanje učinkovite državne koordinacije in sodelovanja vseh ključnih deležnikov.</w:t>
      </w:r>
    </w:p>
    <w:p w14:paraId="074754CB" w14:textId="77777777" w:rsidR="00D10DC6" w:rsidRDefault="00D10DC6" w:rsidP="00D10DC6">
      <w:pPr>
        <w:pStyle w:val="Vir"/>
      </w:pPr>
      <w:r>
        <w:t>Vir: Kabinet predsednika vlade</w:t>
      </w:r>
    </w:p>
    <w:p w14:paraId="6F5B365A" w14:textId="10DF4895" w:rsidR="00356CF6" w:rsidRDefault="00356CF6" w:rsidP="004F41DC">
      <w:pPr>
        <w:pStyle w:val="Naslov2"/>
      </w:pPr>
      <w:r w:rsidRPr="00356CF6">
        <w:t>Poročilo o delu medresorske delovne skupine za spremljanje načrtovanja in gradnje infrastrukturnega projekta 3. razvojne osi</w:t>
      </w:r>
    </w:p>
    <w:p w14:paraId="330C8AFA" w14:textId="6D9CE89F" w:rsidR="004F41DC" w:rsidRDefault="004F41DC" w:rsidP="004F41DC">
      <w:r>
        <w:t>Vlada se je seznanila s Poročilom o delu medresorske delovne skupine za spremljanje načrtovanja in gradnje infrastrukturnega projekta 3. razvojne osi.</w:t>
      </w:r>
    </w:p>
    <w:p w14:paraId="033C664D" w14:textId="77777777" w:rsidR="004F41DC" w:rsidRDefault="004F41DC" w:rsidP="004F41DC"/>
    <w:p w14:paraId="3F2D4468" w14:textId="77777777" w:rsidR="004F41DC" w:rsidRDefault="004F41DC" w:rsidP="004F41DC">
      <w:r>
        <w:t xml:space="preserve">S sklepom ministrice za infrastrukturo je bila 14. marca 2023 imenovana medresorska delovna skupina za spremljanje načrtovanja in gradnje infrastrukturnega projekta 3. razvojne osi (MDS). Delovni skupini predseduje državni sekretar na Ministrstvu za infrastrukturo (MZI), člani pa so še predstavniki MOPE, MNVP in DARS. Naloga delovne skupine je mesečno spremljanje načrtovanja in gradnje infrastrukturnega projekta 3. razvojne osi, identifikacija zamud, kritičnih mejnikov in druge problematike v vseh fazah načrtovanja in gradnje, določitev ukrepov v okviru </w:t>
      </w:r>
      <w:proofErr w:type="gramStart"/>
      <w:r>
        <w:t>resorne</w:t>
      </w:r>
      <w:proofErr w:type="gramEnd"/>
      <w:r>
        <w:t xml:space="preserve"> pristojnosti ter priprava poročil o napredku projekta. MDS se je v obdobju od imenovanja do konca aprila 2026 sestala na trinajstih delovnih sestankih. Operativna vsebina teh sestankov se je nanašala na problematiko izdaje gradbenih dovoljenj za posamezne odseke ter priprave državnih prostorskih načrtov (DPN).</w:t>
      </w:r>
    </w:p>
    <w:p w14:paraId="46A6189C" w14:textId="77777777" w:rsidR="004F41DC" w:rsidRDefault="004F41DC" w:rsidP="004F41DC"/>
    <w:p w14:paraId="6D0AE672" w14:textId="77777777" w:rsidR="004F41DC" w:rsidRDefault="004F41DC" w:rsidP="004F41DC">
      <w:r>
        <w:t>V okviru aktivnosti, ki jih je MDS koordinirala na drugem odseku od Velenja do Slovenj Gradca, se ugotavlja bistveni napredek, saj je celoten 17,5</w:t>
      </w:r>
      <w:proofErr w:type="gramStart"/>
      <w:r>
        <w:t xml:space="preserve"> km</w:t>
      </w:r>
      <w:proofErr w:type="gramEnd"/>
      <w:r>
        <w:t xml:space="preserve"> odsek trenutno v gradnji, posamezni sklopi pa so bili že zaključeni in predani v promet. Gradnja je zaključena na sklopih D - Gaberke, B – Škalsko jezero, H – Konovo, F – Jenina. Na sklopu A – Velenje potekajo </w:t>
      </w:r>
      <w:proofErr w:type="gramStart"/>
      <w:r>
        <w:t>aktivnosti</w:t>
      </w:r>
      <w:proofErr w:type="gramEnd"/>
      <w:r>
        <w:t xml:space="preserve"> za začetek gradnje. Na odseku Šentrupert – Velenje se pridobiva integralno gradbeno dovoljenje. Za odsek Slovenj Gradec – Dravograd je bila 20. marca 2026 na Vladi RS sprejeta uredba za DPN, pripravlja se </w:t>
      </w:r>
      <w:proofErr w:type="gramStart"/>
      <w:r>
        <w:t>investicijska</w:t>
      </w:r>
      <w:proofErr w:type="gramEnd"/>
      <w:r>
        <w:t xml:space="preserve"> zasnova. Na odsekih Otiški Vrh – Prevalje in Podgora – Letuš potekata postopka državnega prostorskega načrtovanja. </w:t>
      </w:r>
    </w:p>
    <w:p w14:paraId="56379215" w14:textId="77777777" w:rsidR="004F41DC" w:rsidRDefault="004F41DC" w:rsidP="004F41DC"/>
    <w:p w14:paraId="2CEC1469" w14:textId="7698BB35" w:rsidR="004F41DC" w:rsidRDefault="004F41DC" w:rsidP="004F41DC">
      <w:r>
        <w:t>Pododsek Novo mesto vzhod – Osredek, ki predstavlja prvi dve etapi 1. odseka Novo mesto vzhod – Maline je še vedno v fazi priprave na gradnjo zaradi vložene tožbe na izdano gradbeno dovoljenje. V ponovljenem postopku za pridobitev gradbenega dovoljenja je Upravno sodišče izdalo sodbo, s katero je ugodilo tožbi in gradbeno dovoljenje MNVP odpravilo</w:t>
      </w:r>
      <w:proofErr w:type="gramStart"/>
      <w:r>
        <w:t xml:space="preserve"> ter</w:t>
      </w:r>
      <w:proofErr w:type="gramEnd"/>
      <w:r>
        <w:t xml:space="preserve"> zadevo vrnilo istemu organu v ponoven </w:t>
      </w:r>
      <w:r>
        <w:lastRenderedPageBreak/>
        <w:t>postopek. 13. februarja 2026 je MNVP na MOPE poslal vlogo za ponovno pridobitev mnenja o sprejemljivosti gradnje z vidika emisij hrupa, 14. maja 2026 je MOPE izdal pozitivno mnenje z vidika emisij hrupa, MNVP bo nadaljeval s postopkom. Za pododsek od Osredka do Malin, ki predstavlja 3. in 4. etapo izvedbe tega odseka, se pridobiva integralno gradbeno dovoljenje. Za pododseka A in B</w:t>
      </w:r>
      <w:proofErr w:type="gramStart"/>
      <w:r>
        <w:t>,</w:t>
      </w:r>
      <w:proofErr w:type="gramEnd"/>
      <w:r>
        <w:t xml:space="preserve"> to je od priključka Maline do mednarodnega mejnega prehoda Metlika, je v teku izdelava potrebne projektne dokumentacije na pododsekih ter odkupi nepremičnin na pododsekih.</w:t>
      </w:r>
    </w:p>
    <w:p w14:paraId="66F8B5FF" w14:textId="2AD5F822" w:rsidR="004F41DC" w:rsidRPr="00356CF6" w:rsidRDefault="004F41DC" w:rsidP="004F41DC">
      <w:pPr>
        <w:pStyle w:val="Vir"/>
      </w:pPr>
      <w:r>
        <w:t>Vir: Ministrstvo za infrastrukturo</w:t>
      </w:r>
    </w:p>
    <w:p w14:paraId="7266D33A" w14:textId="0675452A" w:rsidR="00356CF6" w:rsidRDefault="00356CF6" w:rsidP="000E662C">
      <w:pPr>
        <w:pStyle w:val="Naslov2"/>
      </w:pPr>
      <w:r w:rsidRPr="00356CF6">
        <w:t xml:space="preserve">Poročilo Ministrstva za solidarno prihodnost o izvajanju Zakona o začasnih ukrepih za izboljšanje kadrovskih in delovnih pogojev ter zmogljivosti pri izvajalcih socialnovarstvenih storitev in dolgotrajne oskrbe za leto 2025 </w:t>
      </w:r>
    </w:p>
    <w:p w14:paraId="6DBEF199" w14:textId="3D59F540" w:rsidR="000E662C" w:rsidRDefault="000E662C" w:rsidP="00356CF6">
      <w:r w:rsidRPr="000E662C">
        <w:t xml:space="preserve">Vlada Republike Slovenije se je seznanila s poročilom Ministrstva za solidarno prihodnost o izvajanju Zakona o začasnih ukrepih za izboljšanje kadrovskih in delovnih pogojev ter zmogljivosti pri izvajalcih socialnovarstvenih storitev in dolgotrajne oskrbe. Poročilo vsebuje predstavitev izvajanja vseh osmih ukrepov oziroma projektov, ki jih vsebuje zakon. Namen zakona je ohranjanje in dvig dostopnosti do storitev, s ciljem razbremenitve zaposlenih, da bi več svojega časa lahko namenili neposrednim </w:t>
      </w:r>
      <w:proofErr w:type="gramStart"/>
      <w:r w:rsidRPr="000E662C">
        <w:t>aktivnostim</w:t>
      </w:r>
      <w:proofErr w:type="gramEnd"/>
      <w:r w:rsidRPr="000E662C">
        <w:t xml:space="preserve"> z uporabniki, zagotavljanja strokovne, kakovostne in varne obravnave ter višje kakovosti življenja uporabnikov socialnovarstvenih storitev in dolgotrajne oskrbe.</w:t>
      </w:r>
    </w:p>
    <w:p w14:paraId="680583CB" w14:textId="77777777" w:rsidR="000E662C" w:rsidRDefault="000E662C" w:rsidP="000E662C">
      <w:pPr>
        <w:pStyle w:val="Vir"/>
      </w:pPr>
      <w:r>
        <w:t>Vir: Ministrstvo za solidarno prihodnost</w:t>
      </w:r>
    </w:p>
    <w:p w14:paraId="4C41A770" w14:textId="05AF9BC0" w:rsidR="00E823FB" w:rsidRDefault="00E823FB" w:rsidP="00E823FB">
      <w:pPr>
        <w:pStyle w:val="Naslov2"/>
      </w:pPr>
      <w:r>
        <w:t>Vlada sprejela Letno poročilo ARAO za leto 2025</w:t>
      </w:r>
    </w:p>
    <w:p w14:paraId="4D5793BD" w14:textId="77777777" w:rsidR="00E823FB" w:rsidRDefault="00E823FB" w:rsidP="00E823FB">
      <w:r>
        <w:t>Vlada je sprejela Letno poročilo o poslovanju Javnega gospodarskega zavoda ARAO – Agencija za radioaktivne odpadke za leto 2025, ki ga je upravni odbor ARAO potrdil 19. marca 2026.</w:t>
      </w:r>
    </w:p>
    <w:p w14:paraId="33CB95AC" w14:textId="77777777" w:rsidR="00E823FB" w:rsidRDefault="00E823FB" w:rsidP="00E823FB"/>
    <w:p w14:paraId="2439C36C" w14:textId="77777777" w:rsidR="00E823FB" w:rsidRDefault="00E823FB" w:rsidP="00E823FB">
      <w:r>
        <w:t xml:space="preserve">ARAO je v letu 2025 izvajal naloge gospodarske javne službe ravnanja z radioaktivnimi odpadki, med drugim aktivnosti pri izgradnji odlagališča nizko- in srednjeradioaktivnih odpadkov (NSRAO), upravljanju Centralnega skladišča radioaktivnih odpadkov, dolgoročnem nadzoru odlagališč na območju nekdanjega Rudnika urana </w:t>
      </w:r>
      <w:proofErr w:type="gramStart"/>
      <w:r>
        <w:t>Žirovski vrh</w:t>
      </w:r>
      <w:proofErr w:type="gramEnd"/>
      <w:r>
        <w:t xml:space="preserve"> ter pripravi četrte revizije Programa odlaganja radioaktivnih odpadkov in izrabljenega goriva iz NEK.</w:t>
      </w:r>
    </w:p>
    <w:p w14:paraId="570ADB34" w14:textId="77777777" w:rsidR="00E823FB" w:rsidRDefault="00E823FB" w:rsidP="00E823FB"/>
    <w:p w14:paraId="568832FB" w14:textId="77777777" w:rsidR="00E823FB" w:rsidRDefault="00E823FB" w:rsidP="00E823FB">
      <w:r>
        <w:t>Izgradnja odlagališča NSRAO je v letu 2025 potekala skladno s terminskim načrtom. Do konca leta je bila zgrajena potrebna infrastruktura, izveden izkop gradbene jame za odlagalni silos ter začeta gradnja tehnološkega objekta.</w:t>
      </w:r>
    </w:p>
    <w:p w14:paraId="42189FE6" w14:textId="77777777" w:rsidR="00E823FB" w:rsidRDefault="00E823FB" w:rsidP="00E823FB"/>
    <w:p w14:paraId="45BB16CB" w14:textId="77777777" w:rsidR="00E823FB" w:rsidRDefault="00E823FB" w:rsidP="00E823FB">
      <w:proofErr w:type="gramStart"/>
      <w:r>
        <w:t>Centralno</w:t>
      </w:r>
      <w:proofErr w:type="gramEnd"/>
      <w:r>
        <w:t xml:space="preserve"> skladišče radioaktivnih odpadkov je obratovalo varno in v skladu z obratovalnimi pogoji. ARAO je v letu 2025 izvedel 46 prevzemov institucionalnih radioaktivnih odpadkov, skladišče pa je približno 80-odstotno zasedeno.</w:t>
      </w:r>
    </w:p>
    <w:p w14:paraId="3566343A" w14:textId="77777777" w:rsidR="00E823FB" w:rsidRDefault="00E823FB" w:rsidP="00E823FB"/>
    <w:p w14:paraId="2CEE5DAD" w14:textId="77777777" w:rsidR="00E823FB" w:rsidRDefault="00E823FB" w:rsidP="00E823FB">
      <w:r>
        <w:t>ARAO je v letu 2025 ustvaril 2.345.706,60 evra prihodkov in 2.341.227,54 evra odhodkov. Čisti dobiček obračunskega obdobja znaša 1.882,04 evra, ki se nameni za izvajanje dejavnosti ARAO in njen razvoj.</w:t>
      </w:r>
    </w:p>
    <w:p w14:paraId="4F8C9010" w14:textId="77777777" w:rsidR="00E823FB" w:rsidRDefault="00E823FB" w:rsidP="00E823FB"/>
    <w:p w14:paraId="5E7F83F6" w14:textId="77777777" w:rsidR="00E823FB" w:rsidRDefault="00E823FB" w:rsidP="00E823FB">
      <w:r>
        <w:t>Vlada ocenjuje, da je bilo delovanje ARAO uspešno ter v okviru predvidenih nalog gospodarske javne službe.</w:t>
      </w:r>
    </w:p>
    <w:p w14:paraId="515D02CC" w14:textId="5CF65F83" w:rsidR="00356CF6" w:rsidRPr="00356CF6" w:rsidRDefault="00E823FB" w:rsidP="00E823FB">
      <w:pPr>
        <w:pStyle w:val="Vir"/>
      </w:pPr>
      <w:r>
        <w:t>Vir: Ministrstvo za okolje, podnebje in energijo</w:t>
      </w:r>
    </w:p>
    <w:p w14:paraId="77B29D6D" w14:textId="122B6A1F" w:rsidR="00356CF6" w:rsidRDefault="00356CF6" w:rsidP="00031880">
      <w:pPr>
        <w:pStyle w:val="Naslov2"/>
      </w:pPr>
      <w:r w:rsidRPr="00356CF6">
        <w:t xml:space="preserve">Letno poročilo </w:t>
      </w:r>
      <w:proofErr w:type="gramStart"/>
      <w:r w:rsidRPr="00356CF6">
        <w:t>Organa</w:t>
      </w:r>
      <w:proofErr w:type="gramEnd"/>
      <w:r w:rsidRPr="00356CF6">
        <w:t xml:space="preserve"> TEN-T</w:t>
      </w:r>
    </w:p>
    <w:p w14:paraId="59CDBCBA" w14:textId="0C3949ED" w:rsidR="00031880" w:rsidRDefault="00031880" w:rsidP="00031880">
      <w:r>
        <w:lastRenderedPageBreak/>
        <w:t xml:space="preserve">Vlada se je seznanila z letnim poročilom </w:t>
      </w:r>
      <w:proofErr w:type="gramStart"/>
      <w:r>
        <w:t>Organa</w:t>
      </w:r>
      <w:proofErr w:type="gramEnd"/>
      <w:r>
        <w:t xml:space="preserve"> TEN-T. Skladno z Zakonom o pospešitvi postopkov za </w:t>
      </w:r>
      <w:proofErr w:type="gramStart"/>
      <w:r>
        <w:t>realizacijo</w:t>
      </w:r>
      <w:proofErr w:type="gramEnd"/>
      <w:r>
        <w:t xml:space="preserve"> vseevropskega prometnega omrežja (zakon TEN-T) je bil na Ministrstvu za infrastrukturo (MZI) ustanovljen Organ TEN-T z nalogo spremljanja in pospeševanja postopkov pri izdaji dovoljenj za infrastrukturne projekte na omrežju TEN-T v Sloveniji. </w:t>
      </w:r>
    </w:p>
    <w:p w14:paraId="44CE1E23" w14:textId="77777777" w:rsidR="00031880" w:rsidRDefault="00031880" w:rsidP="00031880"/>
    <w:p w14:paraId="3266F424" w14:textId="77777777" w:rsidR="00031880" w:rsidRDefault="00031880" w:rsidP="00031880">
      <w:r>
        <w:t xml:space="preserve">Analiza stanja projektov na omrežju TEN-T kaže, da </w:t>
      </w:r>
      <w:proofErr w:type="gramStart"/>
      <w:r>
        <w:t>se ključni infrastrukturni projekti na področju cestne in železniške infrastrukture nahajajo</w:t>
      </w:r>
      <w:proofErr w:type="gramEnd"/>
      <w:r>
        <w:t xml:space="preserve"> v različnih fazah pripravljenosti, pri čemer je za večino značilna visoka stopnja tehnične pripravljenosti, vendar tudi izraziti administrativni in časovni izzivi. Na cestnem področju projekt razširitve avtocestnega (AC) odseka Koseze – Kozarje kljub dolgoletni umeščenosti v prostor in zaključeni projektni dokumentaciji še vedno ni prešel v fazo izvedbe, predvsem zaradi dolgotrajnega postopka pridobivanja gradbenega dovoljenja. Na železniškem področju je zaznati večjo dinamiko, zlasti pri projektu vzporednega levega tira Divača – Koper, ki ima izrazit strateški in čezmejni pomen. Projekt je v fazi intenzivne priprave dokumentacije in ima jasno opredeljen časovni okvir za izvedbo. Prav tako so projekti nadgradnje proge Dobova – </w:t>
      </w:r>
      <w:proofErr w:type="gramStart"/>
      <w:r>
        <w:t>Zidani most</w:t>
      </w:r>
      <w:proofErr w:type="gramEnd"/>
      <w:r>
        <w:t xml:space="preserve">, uvedbe daljinskega vodenja prometa ter izgradnje postajališča Zbelovo in prenove postaje Koper v naprednejših fazah priprave ali tik pred izvedbo. Kljub napredku pa ostaja ključen izziv usklajevanje postopkov umeščanja v prostor, pridobivanje dovoljenj in spoštovanje časovnih okvirov, zlasti v kontekstu zahtev TEN-T. </w:t>
      </w:r>
    </w:p>
    <w:p w14:paraId="4B23378A" w14:textId="4457C190" w:rsidR="00031880" w:rsidRPr="00356CF6" w:rsidRDefault="00031880" w:rsidP="00031880">
      <w:pPr>
        <w:pStyle w:val="Vir"/>
      </w:pPr>
      <w:r>
        <w:t>Vir: Ministrstvo za infrastrukturo</w:t>
      </w:r>
    </w:p>
    <w:p w14:paraId="46CAFA94" w14:textId="6707D958" w:rsidR="00151CDF" w:rsidRDefault="00151CDF" w:rsidP="00151CDF">
      <w:pPr>
        <w:pStyle w:val="Naslov2"/>
      </w:pPr>
      <w:r>
        <w:t>Vlada je obravnavala Letno poročilo o delu Državnega odvetništva Republike Slovenije za leto 2025</w:t>
      </w:r>
    </w:p>
    <w:p w14:paraId="1EAA0E90" w14:textId="77777777" w:rsidR="00151CDF" w:rsidRDefault="00151CDF" w:rsidP="00151CDF">
      <w:r>
        <w:t xml:space="preserve">Državno odvetništvo Republike Slovenije je na večini področij dela v letu 2025 zaključilo več zadev kot v letu 2024. Število zaključenih zadev je bilo precej višje kot v letu 2024 na področju delovnopravnih in </w:t>
      </w:r>
      <w:proofErr w:type="spellStart"/>
      <w:r>
        <w:t>socialnopravnih</w:t>
      </w:r>
      <w:proofErr w:type="spellEnd"/>
      <w:r>
        <w:t xml:space="preserve"> zadev, in sicer za 132,83 odstotka. Prav tako je bilo več zaključenih zadev na področju predhodnih odškodninskih postopkov po Zakonu o kazenskem postopku, in sicer za 66,67 odstotka, na področju predhodnih odškodninskih postopkov po Zakonu o prekrških za 35,78 odstotka, na področju nepravdnih zadev za 8,68 odstotka, na področju postopkov zaradi insolventnosti in prisilnega prenehanja za 5,62 odstotka ter na področju upravnih zadev za 2,07 odstotka. </w:t>
      </w:r>
    </w:p>
    <w:p w14:paraId="7CFD6820" w14:textId="77777777" w:rsidR="00151CDF" w:rsidRDefault="00151CDF" w:rsidP="00151CDF"/>
    <w:p w14:paraId="20908E36" w14:textId="77777777" w:rsidR="00151CDF" w:rsidRDefault="00151CDF" w:rsidP="00151CDF">
      <w:r>
        <w:t>Iz poročila nadalje izhaja, da je bil tudi v letu 2025 uspeh zaključenih zadev na področju odškodninske odgovornosti države izjemen, skoraj 99-odstoten. Republiki Sloveniji je bilo namreč od celotnega zneska, ki so ga nasprotne stranke vtoževale pred slovenskimi sodišči iz naslova odškodninske odgovornosti države, in sicer 48.696.691,14 evra, v plačilo naloženih le 1,29 odstotka. Kar 98,71 odstotka vtoževanih spornih zneskov glavnic</w:t>
      </w:r>
      <w:proofErr w:type="gramStart"/>
      <w:r>
        <w:t>,</w:t>
      </w:r>
      <w:proofErr w:type="gramEnd"/>
      <w:r>
        <w:t xml:space="preserve"> oziroma 48.069.596,85 evra, pa predstavlja vrednost zahtevkov proti državi, ki so jih sodišča zavrnila. Ta znesek pomeni tudi večmilijonski prihranek za državni proračun.</w:t>
      </w:r>
    </w:p>
    <w:p w14:paraId="4C2D297E" w14:textId="64AC6763" w:rsidR="00356CF6" w:rsidRPr="00356CF6" w:rsidRDefault="00151CDF" w:rsidP="00151CDF">
      <w:pPr>
        <w:pStyle w:val="Vir"/>
      </w:pPr>
      <w:r>
        <w:t>Vir: Ministrstvo za pravosodje</w:t>
      </w:r>
    </w:p>
    <w:p w14:paraId="7ED5EAA9" w14:textId="7C6E2BF5" w:rsidR="00DA094A" w:rsidRDefault="00DA094A" w:rsidP="00DA094A">
      <w:pPr>
        <w:pStyle w:val="Naslov2"/>
      </w:pPr>
      <w:r>
        <w:t>Letno poročilo o delu policije za leto 2025</w:t>
      </w:r>
    </w:p>
    <w:p w14:paraId="3FD9BA32" w14:textId="77777777" w:rsidR="00DA094A" w:rsidRDefault="00DA094A" w:rsidP="00DA094A">
      <w:r>
        <w:t>Vlada Republike Slovenije se je seznanila z Letnim poročilom o delu policije za leto 2025 in ga posreduje Državnemu zboru Republike Slovenije.</w:t>
      </w:r>
    </w:p>
    <w:p w14:paraId="1EC8DCD1" w14:textId="77777777" w:rsidR="00DA094A" w:rsidRDefault="00DA094A" w:rsidP="00DA094A"/>
    <w:p w14:paraId="1ACC10CD" w14:textId="77777777" w:rsidR="00DA094A" w:rsidRDefault="00DA094A" w:rsidP="00DA094A">
      <w:r>
        <w:t>Leto 2025 so zaznamovale številne napetosti, ki so vplivale tako na migracije</w:t>
      </w:r>
      <w:proofErr w:type="gramStart"/>
      <w:r>
        <w:t>,</w:t>
      </w:r>
      <w:proofErr w:type="gramEnd"/>
      <w:r>
        <w:t xml:space="preserve"> kot na notranjo varnost. Slovenija je stalno spremljala varnostne razmere in si izmenjevala informacije z drugimi državami, predvsem članicami Evropske unije, in z njimi sodelovala pri zagotavljanju varnosti.</w:t>
      </w:r>
    </w:p>
    <w:p w14:paraId="21AD37E8" w14:textId="77777777" w:rsidR="00DA094A" w:rsidRDefault="00DA094A" w:rsidP="00DA094A"/>
    <w:p w14:paraId="0D4671F0" w14:textId="77777777" w:rsidR="00DA094A" w:rsidRDefault="00DA094A" w:rsidP="00DA094A">
      <w:r>
        <w:t xml:space="preserve">Policija se je spoprijemala z zahtevnimi varnostnimi razmerami in močno povečano varnostno obremenitvijo lokalnega okolja. Kljub razmeroma nizki stopnji kriminalitete v letih 2023–2025 se je v </w:t>
      </w:r>
      <w:r>
        <w:lastRenderedPageBreak/>
        <w:t xml:space="preserve">letih 2023–2025 občutek varnosti zmanjšal predvsem v jugovzhodni Sloveniji. Policija je sicer okrepila svoje </w:t>
      </w:r>
      <w:proofErr w:type="gramStart"/>
      <w:r>
        <w:t>aktivnosti</w:t>
      </w:r>
      <w:proofErr w:type="gramEnd"/>
      <w:r>
        <w:t xml:space="preserve"> v občinah z večetnično skupnostjo, predvsem na območju jugovzhodne Slovenije, vendar to ni prispevalo k preprečitvi tragičnega dogodka oktobra 2025 v Novem mestu, v katerem je umrla ena oseba. Zaradi zagotavljanja večje stopnje varnosti je bil sprejet Zakon o nujnih ukrepih za zagotavljanje javne varnosti.</w:t>
      </w:r>
    </w:p>
    <w:p w14:paraId="628DAF92" w14:textId="77777777" w:rsidR="00DA094A" w:rsidRDefault="00DA094A" w:rsidP="00DA094A"/>
    <w:p w14:paraId="70955465" w14:textId="77777777" w:rsidR="00DA094A" w:rsidRDefault="00DA094A" w:rsidP="00DA094A">
      <w:r>
        <w:t>Na splošno je bilo leto 2025 prelomno zaradi številnih sprememb zakonodaje, ki so povezane z delom policije. Spremenjena sta bila oba policijska zakona: Zakon o nalogah in pooblastilih policije ter Zakon o organiziranosti in delu v policiji. Poleg tega so bili spremenjeni še Zakon o nadzoru državne meje, Zakon o preprečevanju pranja denarja in financiranja terorizma, Zakon o pravilih cestnega prometa, Zakon o tujcih, Zakon o odvzemu premoženja nezakonitega izvora, Zakon o orožju ter Zakon o ohranjanju narave. Med novimi zakoni velja izpostaviti tudi Zakon o informacijski varnosti, Zakon o konoplji za medicinske in znanstvene namene ter Zakon o varstvu javnega reda in miru.</w:t>
      </w:r>
    </w:p>
    <w:p w14:paraId="2BD39729" w14:textId="77777777" w:rsidR="00DA094A" w:rsidRDefault="00DA094A" w:rsidP="00DA094A"/>
    <w:p w14:paraId="6F5ACC18" w14:textId="77777777" w:rsidR="00DA094A" w:rsidRDefault="00DA094A" w:rsidP="00DA094A">
      <w:r>
        <w:t xml:space="preserve">Na delo policije vplivajo tudi strateški dokumenti. Na ravni Evropske unije sta med njimi zagotovo strategija za zagotavljanje notranje varnosti </w:t>
      </w:r>
      <w:proofErr w:type="spellStart"/>
      <w:r>
        <w:t>ProtectEU</w:t>
      </w:r>
      <w:proofErr w:type="spellEnd"/>
      <w:r>
        <w:t xml:space="preserve"> in načrt za učinkovit in zakonit dostop organov kazenskega pregona v Evropski uniji do podatkov. Državni zbor je oktobra 2025 sprejel Resolucijo o dolgoročnem razvojnem programu policije za obdobje 2026–2035, ki je za Policijo zelo pomemben dolgoročno razvojno-usmerjevalni dokument s številnimi novimi razvojnimi prednostnimi nalogami za soočenje s sodobnimi varnostnimi izzivi.</w:t>
      </w:r>
    </w:p>
    <w:p w14:paraId="0954AA82" w14:textId="77777777" w:rsidR="00DA094A" w:rsidRDefault="00DA094A" w:rsidP="00DA094A"/>
    <w:p w14:paraId="101E0563" w14:textId="77777777" w:rsidR="00DA094A" w:rsidRDefault="00DA094A" w:rsidP="00DA094A">
      <w:r>
        <w:t xml:space="preserve">Velik poudarek je bil namenjen </w:t>
      </w:r>
      <w:proofErr w:type="gramStart"/>
      <w:r>
        <w:t>interoperabilnosti</w:t>
      </w:r>
      <w:proofErr w:type="gramEnd"/>
      <w:r>
        <w:t xml:space="preserve"> informacijskih sistemov in v tem okviru sistemu vstopa in izstopa. Policija ga je na svoji zunanji schengenski meji začela izvajati 12. oktobra 2025. V polnosti je zaživel 10. aprila 2026.</w:t>
      </w:r>
    </w:p>
    <w:p w14:paraId="6AC1575E" w14:textId="77777777" w:rsidR="00DA094A" w:rsidRDefault="00DA094A" w:rsidP="00DA094A"/>
    <w:p w14:paraId="16419807" w14:textId="77777777" w:rsidR="00DA094A" w:rsidRDefault="00DA094A" w:rsidP="00DA094A">
      <w:r>
        <w:t xml:space="preserve">Zaradi pereče kadrovske problematike je policija vložila veliko truda ne samo v promocijo zaposlovanja, temveč tudi v zadrževanje kadra v policiji. Tako je že v začetku leta pripravila Nabor oblikovanih možnosti in predlogov za zadržanje kadra in ukrepov za povečanje zaposlovanja v policiji. Izvajanje teh ukrepov skupaj s promocijskimi </w:t>
      </w:r>
      <w:proofErr w:type="gramStart"/>
      <w:r>
        <w:t>aktivnostmi</w:t>
      </w:r>
      <w:proofErr w:type="gramEnd"/>
      <w:r>
        <w:t xml:space="preserve"> za zaposlovanje v policiji, – kar nekaj teh v sodelovanju z Zavodom Republike Slovenije za zaposlovanje, ki so potekale vse leto, in prva izvedba policijskega poletnega tabora </w:t>
      </w:r>
      <w:proofErr w:type="spellStart"/>
      <w:r>
        <w:t>KamPo</w:t>
      </w:r>
      <w:proofErr w:type="spellEnd"/>
      <w:r>
        <w:t xml:space="preserve"> –, je obrodilo sadove, saj je bilo ob koncu leta 2025 nekoliko več zaposlenih kot ob koncu leta 2024. </w:t>
      </w:r>
    </w:p>
    <w:p w14:paraId="6C82F209" w14:textId="4A866F7E" w:rsidR="00356CF6" w:rsidRPr="00356CF6" w:rsidRDefault="00DA094A" w:rsidP="00DA094A">
      <w:pPr>
        <w:pStyle w:val="Vir"/>
      </w:pPr>
      <w:r>
        <w:t>Vir: Ministrstvo za notranje zadeve</w:t>
      </w:r>
    </w:p>
    <w:p w14:paraId="46596A66" w14:textId="54211B96" w:rsidR="0039293A" w:rsidRDefault="0039293A" w:rsidP="0039293A">
      <w:pPr>
        <w:pStyle w:val="Naslov2"/>
      </w:pPr>
      <w:r>
        <w:t xml:space="preserve">Sprejeto Poročilo o izvajanju Zakona o zagotavljanju finančnih sredstev za </w:t>
      </w:r>
      <w:proofErr w:type="gramStart"/>
      <w:r>
        <w:t>investicije</w:t>
      </w:r>
      <w:proofErr w:type="gramEnd"/>
      <w:r>
        <w:t xml:space="preserve"> v športno infrastrukturo v letu 2025</w:t>
      </w:r>
    </w:p>
    <w:p w14:paraId="787F04A0" w14:textId="77777777" w:rsidR="0039293A" w:rsidRDefault="0039293A" w:rsidP="0039293A">
      <w:r>
        <w:t xml:space="preserve">Vlada Republike Slovenije je sprejela Poročilo o izvajanju Zakona o zagotavljanju finančnih sredstev za </w:t>
      </w:r>
      <w:proofErr w:type="gramStart"/>
      <w:r>
        <w:t>investicije</w:t>
      </w:r>
      <w:proofErr w:type="gramEnd"/>
      <w:r>
        <w:t xml:space="preserve"> v športno infrastrukturo v Republiki Sloveniji v letih od 2023 do 2030 (ZFSŠI27) v letu 2025 in ga posredovala Državnemu zboru Republike Slovenije.</w:t>
      </w:r>
    </w:p>
    <w:p w14:paraId="3BE16855" w14:textId="77777777" w:rsidR="0039293A" w:rsidRDefault="0039293A" w:rsidP="0039293A"/>
    <w:p w14:paraId="516C689C" w14:textId="77777777" w:rsidR="0039293A" w:rsidRDefault="0039293A" w:rsidP="0039293A">
      <w:r>
        <w:t xml:space="preserve">Ministrstvo za gospodarstvo, turizem in šport (MGTŠ) je na podlagi letnega načrta financiranja in sofinanciranja </w:t>
      </w:r>
      <w:proofErr w:type="gramStart"/>
      <w:r>
        <w:t>investicij</w:t>
      </w:r>
      <w:proofErr w:type="gramEnd"/>
      <w:r>
        <w:t xml:space="preserve"> v športno infrastrukturo za leto 2025, ZFSŠI27 in Zakona o športu 4. aprila 2025 objavilo Javni razpis za izbor sofinanciranja investicij v športno infrastrukturo za leto 2025. Za izvedbo razpisa je bilo skupno namenjenih 10.470.381,67 evra.</w:t>
      </w:r>
    </w:p>
    <w:p w14:paraId="46F5F972" w14:textId="77777777" w:rsidR="0039293A" w:rsidRDefault="0039293A" w:rsidP="0039293A"/>
    <w:p w14:paraId="656F5CE8" w14:textId="77777777" w:rsidR="0039293A" w:rsidRDefault="0039293A" w:rsidP="0039293A">
      <w:r>
        <w:t xml:space="preserve">Iz naslova ZFSŠI27 je bilo za leto 2025 za sofinanciranje namenjenih 1.968.224,20 evra, saj je bilo 18.031.775,80 evra, že predhodno dodeljenih v okviru Javnega razpisa za izbor sofinanciranja </w:t>
      </w:r>
      <w:proofErr w:type="gramStart"/>
      <w:r>
        <w:t>investicij</w:t>
      </w:r>
      <w:proofErr w:type="gramEnd"/>
      <w:r>
        <w:t xml:space="preserve"> v športno infrastrukturo v letu 2024 za izvedbo investicij v letu 2025. Preostala sredstva je ministrstvo zagotovilo iz naslova sofinanciranja izvajanja letnega programa športa na državni ravni za leto 2025, sprejetega na podlagi Zakona o športu.</w:t>
      </w:r>
    </w:p>
    <w:p w14:paraId="7C4C2FF5" w14:textId="77777777" w:rsidR="0039293A" w:rsidRDefault="0039293A" w:rsidP="0039293A"/>
    <w:p w14:paraId="11D8B7A1" w14:textId="77777777" w:rsidR="0039293A" w:rsidRDefault="0039293A" w:rsidP="0039293A">
      <w:r>
        <w:lastRenderedPageBreak/>
        <w:t>Po pregledu in ocenjevanju vlog je strokovna komisija izbrala 84 projektov občin, ki so prejeli sofinanciranje v skupni višini 10.470.381,67 evra. Sofinancirani so bili vsi projekti, ki so izpolnjevali razpisne pogoje.</w:t>
      </w:r>
    </w:p>
    <w:p w14:paraId="42094513" w14:textId="77777777" w:rsidR="0039293A" w:rsidRDefault="0039293A" w:rsidP="0039293A"/>
    <w:p w14:paraId="78ABBC78" w14:textId="77777777" w:rsidR="0039293A" w:rsidRDefault="0039293A" w:rsidP="0039293A">
      <w:proofErr w:type="gramStart"/>
      <w:r>
        <w:t>Realizacija</w:t>
      </w:r>
      <w:proofErr w:type="gramEnd"/>
      <w:r>
        <w:t xml:space="preserve"> je v letu 2025 dosegla 96 odstotkov oziroma 10.041.017,39 evra. Nerazporejenih je ostalo 429.364,28 evra. Do nižje </w:t>
      </w:r>
      <w:proofErr w:type="gramStart"/>
      <w:r>
        <w:t>realizacije</w:t>
      </w:r>
      <w:proofErr w:type="gramEnd"/>
      <w:r>
        <w:t xml:space="preserve"> je prišlo zaradi dveh odstopov od pogodbe, enega prepozno oddanega zahtevka za izplačilo upravičenih stroškov ter treh zahtevkov nižje vrednosti glede na prvotno odobrena sredstva.</w:t>
      </w:r>
    </w:p>
    <w:p w14:paraId="6F6A4E3D" w14:textId="77777777" w:rsidR="0039293A" w:rsidRDefault="0039293A" w:rsidP="0039293A"/>
    <w:p w14:paraId="5C4863BC" w14:textId="77777777" w:rsidR="0039293A" w:rsidRDefault="0039293A" w:rsidP="0039293A">
      <w:r>
        <w:t xml:space="preserve">Javni razpis za izbor sofinanciranja </w:t>
      </w:r>
      <w:proofErr w:type="gramStart"/>
      <w:r>
        <w:t>investicij</w:t>
      </w:r>
      <w:proofErr w:type="gramEnd"/>
      <w:r>
        <w:t xml:space="preserve"> v športno infrastrukturo v letu 2024 je ministrstvo objavilo 10. maja 2024. Skupna višina razpisanih sredstev je znašala 50.295.768,03 evra, od tega 32.263.992,23 evra za leto 2024 in 18.031.775,80 evra za leto 2025. Iz sredstev ZFSŠI27 je bilo za leto 2024 namenjenih </w:t>
      </w:r>
      <w:proofErr w:type="gramStart"/>
      <w:r>
        <w:t>22.418.787</w:t>
      </w:r>
      <w:proofErr w:type="gramEnd"/>
      <w:r>
        <w:t xml:space="preserve"> evrov, za leto 2025 pa 18.031.775,80 evra.</w:t>
      </w:r>
    </w:p>
    <w:p w14:paraId="6026FA96" w14:textId="77777777" w:rsidR="0039293A" w:rsidRDefault="0039293A" w:rsidP="0039293A"/>
    <w:p w14:paraId="52683DC8" w14:textId="77777777" w:rsidR="0039293A" w:rsidRDefault="0039293A" w:rsidP="0039293A">
      <w:r>
        <w:t xml:space="preserve">Strokovna komisija je izbrala 141 projektov občin, v skupni višini sofinanciranja 50.295.768,03 </w:t>
      </w:r>
      <w:proofErr w:type="gramStart"/>
      <w:r>
        <w:t>evrov v letih 2024 in 2025</w:t>
      </w:r>
      <w:proofErr w:type="gramEnd"/>
      <w:r>
        <w:t>. Izbrani so bili vsi projekti, ki so izpolnjevali razpisne pogoje.</w:t>
      </w:r>
    </w:p>
    <w:p w14:paraId="04171413" w14:textId="77777777" w:rsidR="0039293A" w:rsidRDefault="0039293A" w:rsidP="0039293A"/>
    <w:p w14:paraId="0469DE65" w14:textId="77777777" w:rsidR="0039293A" w:rsidRDefault="0039293A" w:rsidP="0039293A">
      <w:proofErr w:type="gramStart"/>
      <w:r>
        <w:t>Realizacija</w:t>
      </w:r>
      <w:proofErr w:type="gramEnd"/>
      <w:r>
        <w:t xml:space="preserve"> v letu 2025 je bila glede na razpoložljiva sredstva v višini 18.031.775,80 evra 87,7 odstotna oziroma 15.815.559,58 evra. Ostanek sredstev v letu 2025 znaša 2.216.216,22 evra</w:t>
      </w:r>
      <w:proofErr w:type="gramStart"/>
      <w:r>
        <w:t xml:space="preserve">.  </w:t>
      </w:r>
      <w:proofErr w:type="gramEnd"/>
      <w:r>
        <w:t>Do nižje realizacije je prišlo zaradi dveh odstopov od pogodbe, enega neoddanega zahtevka za izplačilo upravičenih stroškov in ene nižje vrednosti zahtevka za izplačilo upravičenih stroškov</w:t>
      </w:r>
      <w:proofErr w:type="gramStart"/>
      <w:r>
        <w:t xml:space="preserve">.  </w:t>
      </w:r>
      <w:proofErr w:type="gramEnd"/>
      <w:r>
        <w:t xml:space="preserve">Projekti iz leta 2024 so bili predloženi poročilu o izvajanju ZFSŠI27 za leto 2024. </w:t>
      </w:r>
    </w:p>
    <w:p w14:paraId="6C8572B9" w14:textId="77777777" w:rsidR="0039293A" w:rsidRDefault="0039293A" w:rsidP="0039293A"/>
    <w:p w14:paraId="568F1F96" w14:textId="77777777" w:rsidR="0039293A" w:rsidRDefault="0039293A" w:rsidP="0039293A">
      <w:r>
        <w:t xml:space="preserve">V letih 2023 do 2025 so bila </w:t>
      </w:r>
      <w:proofErr w:type="gramStart"/>
      <w:r>
        <w:t>realizirana</w:t>
      </w:r>
      <w:proofErr w:type="gramEnd"/>
      <w:r>
        <w:t xml:space="preserve"> vsa sredstva, predvidena v skladu z drugim in tretjim odstavkom ZFSŠI27.</w:t>
      </w:r>
    </w:p>
    <w:p w14:paraId="7D47933C" w14:textId="79ABC6E3" w:rsidR="00356CF6" w:rsidRPr="00356CF6" w:rsidRDefault="0039293A" w:rsidP="0039293A">
      <w:pPr>
        <w:pStyle w:val="Vir"/>
      </w:pPr>
      <w:r>
        <w:t>Vir: Ministrstvo za gospodarstvo, turizem in šport</w:t>
      </w:r>
    </w:p>
    <w:p w14:paraId="5A2B54E9" w14:textId="7448CAC7" w:rsidR="00B57043" w:rsidRDefault="00B57043" w:rsidP="00B57043">
      <w:pPr>
        <w:pStyle w:val="Naslov2"/>
      </w:pPr>
      <w:r>
        <w:t xml:space="preserve">Vlada je sprejela predlog stališča Republike Slovenije do predloga </w:t>
      </w:r>
      <w:proofErr w:type="gramStart"/>
      <w:r>
        <w:t>direktive</w:t>
      </w:r>
      <w:proofErr w:type="gramEnd"/>
      <w:r>
        <w:t xml:space="preserve"> o boju proti nedovoljeni trgovini s strelnim orožjem</w:t>
      </w:r>
    </w:p>
    <w:p w14:paraId="0B77623C" w14:textId="77777777" w:rsidR="00B57043" w:rsidRDefault="00B57043" w:rsidP="00B57043">
      <w:r>
        <w:t xml:space="preserve">Vlada Republike Slovenije je sprejela predlog stališča Republike Slovenije k Predlogu </w:t>
      </w:r>
      <w:proofErr w:type="gramStart"/>
      <w:r>
        <w:t>direktive</w:t>
      </w:r>
      <w:proofErr w:type="gramEnd"/>
      <w:r>
        <w:t xml:space="preserve"> Evropskega parlamenta in Sveta o boju proti nedovoljeni trgovini s strelnim orožjem in drugim kaznivim dejanjem, povezanim s strelnim orožjem, ter spremembi Direktive (EU) 2024/1260 Evropskega parlamenta in Sveta.</w:t>
      </w:r>
    </w:p>
    <w:p w14:paraId="7E004C9E" w14:textId="77777777" w:rsidR="00B57043" w:rsidRDefault="00B57043" w:rsidP="00B57043"/>
    <w:p w14:paraId="6C884BC5" w14:textId="77777777" w:rsidR="00B57043" w:rsidRDefault="00B57043" w:rsidP="00B57043">
      <w:r>
        <w:t xml:space="preserve">Republika Slovenija podpira cilje predlagane </w:t>
      </w:r>
      <w:proofErr w:type="gramStart"/>
      <w:r>
        <w:t>direktive</w:t>
      </w:r>
      <w:proofErr w:type="gramEnd"/>
      <w:r>
        <w:t>, ki so usmerjeni v jasno in enotno opredelitev kaznivih dejanj ter določitev kazni za kazniva dejanja, povezana z nezakonitim strelnim orožjem, hkrati pa prispevajo k izboljšanju čezmejnega sodelovanja ter k vzpostavitvi minimalnega in primerljivega nabora podatkov o zasegih nezakonitega strelnega orožja na ravni EU.</w:t>
      </w:r>
    </w:p>
    <w:p w14:paraId="18F8B16B" w14:textId="43CFC6DE" w:rsidR="00356CF6" w:rsidRPr="00356CF6" w:rsidRDefault="00B57043" w:rsidP="00B57043">
      <w:pPr>
        <w:pStyle w:val="Vir"/>
      </w:pPr>
      <w:r>
        <w:t>Vir: Ministrstvo za pravosodje</w:t>
      </w:r>
    </w:p>
    <w:p w14:paraId="45B1589F" w14:textId="7CBEF0A2" w:rsidR="007258EE" w:rsidRDefault="007258EE" w:rsidP="007258EE">
      <w:pPr>
        <w:pStyle w:val="Naslov2"/>
      </w:pPr>
      <w:r>
        <w:t>Vlada Republike Slovenije sprejela stališče k Aktu o digitalnih omrežjih EU</w:t>
      </w:r>
    </w:p>
    <w:p w14:paraId="3FA1A860" w14:textId="77777777" w:rsidR="007258EE" w:rsidRDefault="007258EE" w:rsidP="007258EE">
      <w:r>
        <w:t xml:space="preserve">Vlada Republike Slovenije je sprejela stališče k predlogu Akta o digitalnih omrežjih Evropske unije, katerega cilj je posodobitev pravil na področju elektronskih komunikacij ter pospešitev razvoja gigabitnih in </w:t>
      </w:r>
      <w:proofErr w:type="gramStart"/>
      <w:r>
        <w:t>5G omrežij</w:t>
      </w:r>
      <w:proofErr w:type="gramEnd"/>
      <w:r>
        <w:t>.</w:t>
      </w:r>
    </w:p>
    <w:p w14:paraId="6EBBE555" w14:textId="77777777" w:rsidR="007258EE" w:rsidRDefault="007258EE" w:rsidP="007258EE"/>
    <w:p w14:paraId="37C531D5" w14:textId="54EBA23D" w:rsidR="007258EE" w:rsidRDefault="007258EE" w:rsidP="007258EE">
      <w:r>
        <w:t>Republika Slovenija podpira razvoj sodobne, varne in odporne digitalne infrastrukture ter krepitev evropskega sodelovanja na področju digitalnih omrežij. Ob tem poudarja pomen trajnostnega razvoja, energetske učinkovitosti, varstva okolja in prilagajanja infrastrukture na podnebne spremembe.</w:t>
      </w:r>
    </w:p>
    <w:p w14:paraId="231592BF" w14:textId="77777777" w:rsidR="007258EE" w:rsidRDefault="007258EE" w:rsidP="007258EE">
      <w:r>
        <w:lastRenderedPageBreak/>
        <w:t>Slovenija se zavzema tudi za ohranitev pristojnosti držav članic pri upravljanju radiofrekvenčnega spektra ter za visoko raven varstva pravic končnih uporabnikov in učinkovito kibernetsko varnost.</w:t>
      </w:r>
    </w:p>
    <w:p w14:paraId="01D799AA" w14:textId="0DAB5F1D" w:rsidR="00356CF6" w:rsidRPr="00356CF6" w:rsidRDefault="007258EE" w:rsidP="007258EE">
      <w:pPr>
        <w:pStyle w:val="Vir"/>
      </w:pPr>
      <w:r>
        <w:t>Vir: Ministrstvo za digitalno preobrazbo</w:t>
      </w:r>
    </w:p>
    <w:p w14:paraId="5E5A032E" w14:textId="724AFDB4" w:rsidR="009D3209" w:rsidRDefault="009D3209" w:rsidP="009D3209">
      <w:pPr>
        <w:pStyle w:val="Naslov2"/>
      </w:pPr>
      <w:r>
        <w:t xml:space="preserve">Vlada se je seznanila s pristopom in sodelovanjem Slovenije v </w:t>
      </w:r>
      <w:proofErr w:type="gramStart"/>
      <w:r>
        <w:t>Evropskem</w:t>
      </w:r>
      <w:proofErr w:type="gramEnd"/>
      <w:r>
        <w:t xml:space="preserve"> konzorciju za digitalno infrastrukturo</w:t>
      </w:r>
    </w:p>
    <w:p w14:paraId="26904672" w14:textId="77777777" w:rsidR="009D3209" w:rsidRDefault="009D3209" w:rsidP="009D3209">
      <w:r>
        <w:t xml:space="preserve">Vlada se je seznanila z informacijo o pristopu in sodelovanju Slovenije kot polnopravne članice v </w:t>
      </w:r>
      <w:proofErr w:type="gramStart"/>
      <w:r>
        <w:t>Evropskem</w:t>
      </w:r>
      <w:proofErr w:type="gramEnd"/>
      <w:r>
        <w:t xml:space="preserve"> konzorciju za digitalno infrastrukturo, Zavezništvu za digitalno izobraževanje.</w:t>
      </w:r>
    </w:p>
    <w:p w14:paraId="07EB5637" w14:textId="77777777" w:rsidR="009D3209" w:rsidRDefault="009D3209" w:rsidP="009D3209">
      <w:r>
        <w:t xml:space="preserve">Namera o pristopu Slovenije k ustanovitvi </w:t>
      </w:r>
      <w:proofErr w:type="gramStart"/>
      <w:r>
        <w:t>Evropskega</w:t>
      </w:r>
      <w:proofErr w:type="gramEnd"/>
      <w:r>
        <w:t xml:space="preserve"> konzorcija za digitalno infrastrukturo, Zavezništva za digitalno izobraževanje je v povezavi z Nacionalnim strateškim časovnim načrtom za digitalno desetletje, sprejetim 9. novembra 2023 in skladna z evropsko zakonodajo Evropskega parlamenta ter Sveta o vzpostavitvi programa politike Digitalno desetletje do leta 2030. Ustanovitev je skladna tudi z Akcijskim načrtom za digitalno izobraževanje 2021 – 2027.</w:t>
      </w:r>
    </w:p>
    <w:p w14:paraId="6A572471" w14:textId="77777777" w:rsidR="009D3209" w:rsidRDefault="009D3209" w:rsidP="009D3209">
      <w:r>
        <w:t xml:space="preserve">Slovenija bo s sodelovanjem v meddržavnem projektu razvijala in omogočila deležnikom na področju digitalnega izobraževanja temeljne zmogljivosti, ki temeljijo na vrednotah Evropske unije, za spodbujanje digitalne suverenosti, varnosti, zaupanja vredne in pedagoške kakovosti digitalnih izobraževalnih infrastruktur. </w:t>
      </w:r>
    </w:p>
    <w:p w14:paraId="2C1DE030" w14:textId="77777777" w:rsidR="009D3209" w:rsidRDefault="009D3209" w:rsidP="009D3209">
      <w:pPr>
        <w:pStyle w:val="Vir"/>
      </w:pPr>
      <w:r>
        <w:t>Vir: Ministrstvo za vzgojo in izobraževanje</w:t>
      </w:r>
    </w:p>
    <w:p w14:paraId="2CF3C102" w14:textId="0FD4B99C" w:rsidR="00453636" w:rsidRDefault="00453636" w:rsidP="00453636">
      <w:pPr>
        <w:pStyle w:val="Naslov2"/>
      </w:pPr>
      <w:r>
        <w:t xml:space="preserve">Vzajemna obravnava neporočenih vzdrževanih otrok članov diplomatskih predstavništev in konzulatov </w:t>
      </w:r>
    </w:p>
    <w:p w14:paraId="1DEF1715" w14:textId="77777777" w:rsidR="00453636" w:rsidRDefault="00453636" w:rsidP="00453636">
      <w:r>
        <w:t>Vlada Republike Slovenije je sprejela predlog za sklenitev Sporazuma o vzajemni obravnavi neporočenih vzdrževanih otrok članov diplomatskih predstavništev in konzulatov Republike Slovenije in Združenih držav Amerike.</w:t>
      </w:r>
    </w:p>
    <w:p w14:paraId="78553274" w14:textId="77777777" w:rsidR="00453636" w:rsidRDefault="00453636" w:rsidP="00453636"/>
    <w:p w14:paraId="777D8453" w14:textId="77BB7FB6" w:rsidR="00453636" w:rsidRDefault="00453636" w:rsidP="00453636">
      <w:r>
        <w:t xml:space="preserve">Dosedanja praksa Združenih držav Amerike neporočene otroke akreditiranih članov diplomatskih predstavništev in konzulatov Republike Slovenije v Združenih državah Amerike postavlja v neenakopravno obravnavo v primerjavi z neporočenimi otroki akreditiranih članov diplomatskih predstavništev in konzulatov Združenih držav Amerike v Republiki Sloveniji. </w:t>
      </w:r>
    </w:p>
    <w:p w14:paraId="254A4B7B" w14:textId="77777777" w:rsidR="00453636" w:rsidRDefault="00453636" w:rsidP="00453636"/>
    <w:p w14:paraId="2E3E73BE" w14:textId="77777777" w:rsidR="00453636" w:rsidRDefault="00453636" w:rsidP="00453636">
      <w:r>
        <w:t xml:space="preserve">Neporočeni otroci, ki s primarnim upravičencem živijo v skupnem gospodinjstvu, imajo sicer urejen zakonit status bivanja v Združenih državah Amerike kot vzdrževani člani, vendar nimajo enakih pravic glede privilegijev in imunitet. </w:t>
      </w:r>
    </w:p>
    <w:p w14:paraId="2CEB137F" w14:textId="77777777" w:rsidR="00453636" w:rsidRDefault="00453636" w:rsidP="00453636"/>
    <w:p w14:paraId="5157AFF3" w14:textId="77777777" w:rsidR="00453636" w:rsidRDefault="00453636" w:rsidP="00453636">
      <w:r>
        <w:t xml:space="preserve">S predlaganim sporazumom bi tudi neporočeni otroci akreditiranih članov slovenskih predstavništev in konzulatov v Združenih državah Amerike dobili enako obravnavo, kar bi izboljšalo njihove pogoje za delo in napotitve slovenskega osebja v Združene države Amerike. </w:t>
      </w:r>
    </w:p>
    <w:p w14:paraId="1264D4C3" w14:textId="77777777" w:rsidR="00453636" w:rsidRDefault="00453636" w:rsidP="00453636">
      <w:pPr>
        <w:pStyle w:val="Vir"/>
      </w:pPr>
      <w:r>
        <w:t>Vir: Ministrstvo za zunanje in evropske zadeve Republike Slovenije</w:t>
      </w:r>
    </w:p>
    <w:p w14:paraId="76C6FA9C" w14:textId="20CF4B68" w:rsidR="00685377" w:rsidRDefault="00685377" w:rsidP="00685377">
      <w:pPr>
        <w:pStyle w:val="Naslov2"/>
      </w:pPr>
      <w:r>
        <w:t>Sodelovanje med Slovenijo in Severno Makedonijo na področju boja proti trgovini z ljudmi in zlorabi otrok, žrtev trgovine z ljudmi</w:t>
      </w:r>
    </w:p>
    <w:p w14:paraId="092FF2A1" w14:textId="77777777" w:rsidR="00685377" w:rsidRDefault="00685377" w:rsidP="00685377">
      <w:r>
        <w:t>Vlada Republike Slovenije je sprejela Sklep o potrditvi Protokola med Vlado Republike Slovenije in Vlado Severne Makedonije o sodelovanju na področju boja proti trgovini z ljudmi in zlorabi otrok, podpisanega na Brdu pri Kranju 1. decembra 2021.</w:t>
      </w:r>
    </w:p>
    <w:p w14:paraId="0F7BCA55" w14:textId="77777777" w:rsidR="00685377" w:rsidRDefault="00685377" w:rsidP="00685377"/>
    <w:p w14:paraId="1B0DC911" w14:textId="77777777" w:rsidR="00685377" w:rsidRDefault="00685377" w:rsidP="00685377">
      <w:r>
        <w:t xml:space="preserve">Namen izvedbenega protokola je ureditev dvostranskih vprašanj, povezanih s preprečevanjem trgovine z ljudmi ter odkrivanjem in pregonom storilcev ter identifikacijo, napotitvijo, zaščito in </w:t>
      </w:r>
      <w:r>
        <w:lastRenderedPageBreak/>
        <w:t>prostovoljnim vračanjem žrtev ali potencialnih žrtev trgovine z ljudmi in vprašanja</w:t>
      </w:r>
      <w:proofErr w:type="gramStart"/>
      <w:r>
        <w:t xml:space="preserve"> povezana</w:t>
      </w:r>
      <w:proofErr w:type="gramEnd"/>
      <w:r>
        <w:t xml:space="preserve"> z identifikacijo, zaščito in pomočjo otrokom, ki so žrtve ali potencialne žrtve vseh oblik zlorab; posebej spolnega izkoriščanja in drugih oblik nasilja in zlorab otrok, če gre za čezmejno delovanje.</w:t>
      </w:r>
    </w:p>
    <w:p w14:paraId="7AE74EC3" w14:textId="77777777" w:rsidR="00685377" w:rsidRDefault="00685377" w:rsidP="00685377"/>
    <w:p w14:paraId="16C59AE2" w14:textId="77777777" w:rsidR="00685377" w:rsidRDefault="00685377" w:rsidP="00685377">
      <w:r>
        <w:t>Sklep o potrditvi Izvedbenega protokola med Vlado Republike Slovenije in Vlado Severne Makedonije o sodelovanju na področju boja proti trgovini z ljudmi in zlorabi otrok, žrtev trgovine z ljudmi, spada med tekoče posle. Obravnava gradiva ne pomeni sprejemanja nove politike ali začetka novih mednarodnih obveznosti, temveč zgolj izvrševanje že prevzetih obveznosti Republike Slovenije iz podpisanega mednarodnega akta ter iz širšega okvira že ratificiranih mednarodnih pogodb na tem področju</w:t>
      </w:r>
    </w:p>
    <w:p w14:paraId="35D3964F" w14:textId="77777777" w:rsidR="00685377" w:rsidRDefault="00685377" w:rsidP="00685377"/>
    <w:p w14:paraId="113A361C" w14:textId="77777777" w:rsidR="00685377" w:rsidRDefault="00685377" w:rsidP="00685377">
      <w:r>
        <w:t>Izvajanje protokola neposredno ne zahteva dodatnih finančnih sredstev.</w:t>
      </w:r>
    </w:p>
    <w:p w14:paraId="3D9CC02F" w14:textId="77777777" w:rsidR="00685377" w:rsidRDefault="00685377" w:rsidP="00685377">
      <w:pPr>
        <w:pStyle w:val="Vir"/>
      </w:pPr>
      <w:r>
        <w:t>Vir: Ministrstvo za zunanje in evropske zadeve Republike Slovenije</w:t>
      </w:r>
    </w:p>
    <w:p w14:paraId="21A82CD7" w14:textId="078A7B6B" w:rsidR="00E96A3F" w:rsidRDefault="00E96A3F" w:rsidP="00E96A3F">
      <w:pPr>
        <w:pStyle w:val="Naslov2"/>
      </w:pPr>
      <w:r>
        <w:t xml:space="preserve">Prispevek Svetovalnemu svetu za akvakulturo (AAC), Svetovalnemu svetu za Sredozemsko morje (MEDAC) in Svetovalnemu svetu za trge (MAC) </w:t>
      </w:r>
      <w:proofErr w:type="gramStart"/>
      <w:r>
        <w:t>za</w:t>
      </w:r>
      <w:proofErr w:type="gramEnd"/>
      <w:r>
        <w:t xml:space="preserve"> leto 2026</w:t>
      </w:r>
    </w:p>
    <w:p w14:paraId="0078AC41" w14:textId="77777777" w:rsidR="00E96A3F" w:rsidRDefault="00E96A3F" w:rsidP="00E96A3F">
      <w:r>
        <w:t xml:space="preserve">Vlada se je seznanila s plačilom prispevka Svetovalnemu svetu za akvakulturo (AAC), Svetovalnemu svetu za Sredozemsko morje (MEDAC) in Svetovalnemu svetu za trge (MAC) za leto 2026 v skupni višini 15.000 </w:t>
      </w:r>
      <w:proofErr w:type="spellStart"/>
      <w:proofErr w:type="gramStart"/>
      <w:r>
        <w:t>eurov</w:t>
      </w:r>
      <w:proofErr w:type="spellEnd"/>
      <w:proofErr w:type="gramEnd"/>
      <w:r>
        <w:t xml:space="preserve">. Sredstva za </w:t>
      </w:r>
      <w:proofErr w:type="gramStart"/>
      <w:r>
        <w:t>realizacijo</w:t>
      </w:r>
      <w:proofErr w:type="gramEnd"/>
      <w:r>
        <w:t xml:space="preserve"> prispevka zagotovi Ministrstvo za kmetijstvo, gozdarstvo in prehrano s proračunske postavke 255310 Varstvo naravnih virov v ribištvu.</w:t>
      </w:r>
    </w:p>
    <w:p w14:paraId="19A4F580" w14:textId="77777777" w:rsidR="00E96A3F" w:rsidRDefault="00E96A3F" w:rsidP="00E96A3F"/>
    <w:p w14:paraId="3074EF43" w14:textId="2F8B9A23" w:rsidR="00E96A3F" w:rsidRDefault="00E96A3F" w:rsidP="00E96A3F">
      <w:r>
        <w:t>V skladu z Uredbo (EU) št. 1380/2013 Evropskega parlamenta in Sveta o skupni ribiški politiki se svetovalni sveti ustanovijo za vsako geografsko območje ali področja pristojnosti, med drugim za akvakulturo, Sredozemlje in trge, povezane z ribištvom.</w:t>
      </w:r>
    </w:p>
    <w:p w14:paraId="110BB948" w14:textId="77777777" w:rsidR="00E96A3F" w:rsidRDefault="00E96A3F" w:rsidP="00E96A3F">
      <w:r>
        <w:t xml:space="preserve">Svetovalni sveti lahko kot organi, katerih cilj je splošni evropski interes, zaprosijo za prispevek EU. Evropska komisija z vsakim svetovalnim svetom podpiše sporazum o prispevku h kritju stroškov svetovalnega sveta za njegovo delovanje. Države članice lahko zagotavljajo ustrezno finančno podporo za lažje delovanje svetovalnih svetov in s tem izrazijo interes za delovanje teh svetov. Višino letnega prispevka za države članice določi posamezni svetovalni svet glede na obseg svojega dela v okviru skupne ribiške politike EU. </w:t>
      </w:r>
    </w:p>
    <w:p w14:paraId="6BDC7116" w14:textId="77777777" w:rsidR="00E96A3F" w:rsidRDefault="00E96A3F" w:rsidP="00E96A3F"/>
    <w:p w14:paraId="09CFB944" w14:textId="686AFF99" w:rsidR="00E96A3F" w:rsidRDefault="00E96A3F" w:rsidP="00E96A3F">
      <w:r>
        <w:t xml:space="preserve">Za leto 2026 so svetovalni sveti zaprosili za naslednje prispevke: 6.000 evrov za Svetovalni svet za Sredozemsko morje, 6.000 evrov </w:t>
      </w:r>
      <w:proofErr w:type="gramStart"/>
      <w:r>
        <w:t>za</w:t>
      </w:r>
      <w:proofErr w:type="gramEnd"/>
      <w:r>
        <w:t xml:space="preserve"> Svetovalnega sveta za akvakulturo in 3.000 evrov za Svetovalni svet za trge (zneski ostajajo nespremenjeni glede na leto 2025). </w:t>
      </w:r>
    </w:p>
    <w:p w14:paraId="1984A804" w14:textId="77777777" w:rsidR="00E96A3F" w:rsidRDefault="00E96A3F" w:rsidP="00E96A3F"/>
    <w:p w14:paraId="01032715" w14:textId="02EB5766" w:rsidR="00E96A3F" w:rsidRDefault="00E96A3F" w:rsidP="00E96A3F">
      <w:r>
        <w:t>Skupen znesek, ki ga Republika Slovenija v letu 2026 prispeva za vse tri svete, je 15.000 evrov, ki jih zagotovi Ministrstvo za kmetijstvo, gozdarstvo in prehrano.</w:t>
      </w:r>
    </w:p>
    <w:p w14:paraId="3DCA059B" w14:textId="77777777" w:rsidR="00E96A3F" w:rsidRDefault="00E96A3F" w:rsidP="00E96A3F"/>
    <w:p w14:paraId="70FF0364" w14:textId="112E71A2" w:rsidR="00E96A3F" w:rsidRDefault="00E96A3F" w:rsidP="00E96A3F">
      <w:r>
        <w:t>Navedeni prispevek sicer Republika Slovenija tem trem svetovalnim svetom daje že od leta 2018. Svetovalni sveti v zameno za podporo državam članicam v vednost posredujejo svoja mnenja in ocene, prav tako lahko predstavniki držav na njihovih sestankih sodelujejo kot opazovalci. Z aktivnim sodelovanjem v vseh treh svetovalnih svetih imajo slovenski predstavniki možnost neposrednega vplivanja oziroma sooblikovanja skupne ribiške politike in posameznih ribiških politik, pomembnih za Slovenijo.</w:t>
      </w:r>
    </w:p>
    <w:p w14:paraId="69567C09" w14:textId="023202B7" w:rsidR="00356CF6" w:rsidRPr="00356CF6" w:rsidRDefault="00E96A3F" w:rsidP="00E96A3F">
      <w:pPr>
        <w:pStyle w:val="Vir"/>
      </w:pPr>
      <w:r>
        <w:t>Vir: Ministrstvo za kmetijstvo, gozdarstvo in prehrano</w:t>
      </w:r>
    </w:p>
    <w:p w14:paraId="741F8A81" w14:textId="60B2A852" w:rsidR="00AD5A82" w:rsidRDefault="00AD5A82" w:rsidP="00AD5A82">
      <w:pPr>
        <w:pStyle w:val="Naslov2"/>
      </w:pPr>
      <w:r>
        <w:t>Vlada sprejela spremembe uredbe o pregledih, čiščenju in meritvah na malih kurilnih napravah</w:t>
      </w:r>
    </w:p>
    <w:p w14:paraId="2BD87288" w14:textId="77777777" w:rsidR="00AD5A82" w:rsidRDefault="00AD5A82" w:rsidP="00AD5A82">
      <w:r>
        <w:t>Vlada je sprejela Uredbo o spremembah Uredbe o spremembah in dopolnitvi Uredbe o pregledih, čiščenju in meritvah na malih kurilnih napravah.</w:t>
      </w:r>
    </w:p>
    <w:p w14:paraId="29AE8FD1" w14:textId="77777777" w:rsidR="00AD5A82" w:rsidRDefault="00AD5A82" w:rsidP="00AD5A82"/>
    <w:p w14:paraId="28D0188C" w14:textId="77777777" w:rsidR="00AD5A82" w:rsidRDefault="00AD5A82" w:rsidP="00AD5A82">
      <w:r>
        <w:t xml:space="preserve">Spremembe uredbe določajo nove roke za izvajanje meritev emisij snovi z dimnimi plini na malih kurilnih napravah na trdna goriva v prehodnem obdobju. Začetek izvajanja meritev se s 1. novembra 2026 zamika na 1. november 2029, za tri leta pa se </w:t>
      </w:r>
      <w:proofErr w:type="gramStart"/>
      <w:r>
        <w:t>zamikajo</w:t>
      </w:r>
      <w:proofErr w:type="gramEnd"/>
      <w:r>
        <w:t xml:space="preserve"> tudi roki za izvajanje prvih in občasnih meritev.</w:t>
      </w:r>
    </w:p>
    <w:p w14:paraId="524A819C" w14:textId="77777777" w:rsidR="00AD5A82" w:rsidRDefault="00AD5A82" w:rsidP="00AD5A82"/>
    <w:p w14:paraId="0F5B13D8" w14:textId="77777777" w:rsidR="00AD5A82" w:rsidRDefault="00AD5A82" w:rsidP="00AD5A82">
      <w:r>
        <w:t xml:space="preserve">Razlog za </w:t>
      </w:r>
      <w:proofErr w:type="gramStart"/>
      <w:r>
        <w:t>zamik</w:t>
      </w:r>
      <w:proofErr w:type="gramEnd"/>
      <w:r>
        <w:t xml:space="preserve"> je zagotovitev dodatnega časa za pripravo in izvedbo strokovnih usposabljanj izvajalcev dimnikarskih storitev, pripravo enotne metodologije izvajanja meritev ter ustrezno tehnično opremljenost izvajalcev z merilno opremo.</w:t>
      </w:r>
    </w:p>
    <w:p w14:paraId="3414F49A" w14:textId="77777777" w:rsidR="00AD5A82" w:rsidRDefault="00AD5A82" w:rsidP="00AD5A82"/>
    <w:p w14:paraId="22F87517" w14:textId="77777777" w:rsidR="00AD5A82" w:rsidRDefault="00AD5A82" w:rsidP="00AD5A82">
      <w:r>
        <w:t>Namen spremembe je zagotoviti strokovno, enotno in učinkovito izvajanje meritev ter nemoteno izvajanje sistema dimnikarskih storitev v praksi.</w:t>
      </w:r>
    </w:p>
    <w:p w14:paraId="30B0AF39" w14:textId="77777777" w:rsidR="00AD5A82" w:rsidRDefault="00AD5A82" w:rsidP="00AD5A82">
      <w:pPr>
        <w:pStyle w:val="Vir"/>
      </w:pPr>
      <w:r>
        <w:t>Vir: Ministrstvo za okolje, podnebje in energijo</w:t>
      </w:r>
    </w:p>
    <w:p w14:paraId="1372E947" w14:textId="61576ED5" w:rsidR="009B0929" w:rsidRDefault="00D31915" w:rsidP="00D31915">
      <w:pPr>
        <w:pStyle w:val="Naslov2"/>
      </w:pPr>
      <w:r>
        <w:t>S</w:t>
      </w:r>
      <w:r w:rsidR="009B0929">
        <w:t>prememb</w:t>
      </w:r>
      <w:r>
        <w:t xml:space="preserve">a </w:t>
      </w:r>
      <w:r w:rsidR="009B0929">
        <w:t>Uredbe o soglasjih za proizvodnjo in dovoljenjih za promet z vojaškim orožjem in opremo ter predhodnih dovoljenjih za uvoz, izvoz, tranzit in prenos obrambnih proizvodov</w:t>
      </w:r>
    </w:p>
    <w:p w14:paraId="3B14065E" w14:textId="77777777" w:rsidR="00D31915" w:rsidRDefault="00D31915" w:rsidP="00D31915">
      <w:r>
        <w:t xml:space="preserve">Vlada Republike Slovenije je danes izdala Uredbo o spremembi Uredbe o soglasjih za proizvodnjo in dovoljenjih za promet z vojaškim orožjem in opremo ter predhodnih dovoljenjih za uvoz, izvoz, tranzit in prenos obrambnih proizvodov. Nova uredba bo objavljena v Uradnem listu Republike Slovenije. </w:t>
      </w:r>
    </w:p>
    <w:p w14:paraId="0A452556" w14:textId="77777777" w:rsidR="00D31915" w:rsidRDefault="00D31915" w:rsidP="00D31915"/>
    <w:p w14:paraId="19B5F7E9" w14:textId="77777777" w:rsidR="00D31915" w:rsidRDefault="00D31915" w:rsidP="00D31915">
      <w:r>
        <w:t xml:space="preserve">Z novo uredbo se v pravni red Republike Slovenije prenaša Delegirana </w:t>
      </w:r>
      <w:proofErr w:type="gramStart"/>
      <w:r>
        <w:t>direktiva</w:t>
      </w:r>
      <w:proofErr w:type="gramEnd"/>
      <w:r>
        <w:t xml:space="preserve"> Komisije (EU) 2026/325 z dne 27. oktobra 2025 o spremembi Direktive 2009/43/ES Evropskega parlamenta in Sveta glede posodobitve seznama obrambnih proizvodov v skladu s posodobljenim Skupnim seznamom vojaškega blaga Evropske unije z dne 24. februarja 2025.</w:t>
      </w:r>
    </w:p>
    <w:p w14:paraId="74F46ACD" w14:textId="77777777" w:rsidR="00D31915" w:rsidRDefault="00D31915" w:rsidP="00D31915">
      <w:r>
        <w:t xml:space="preserve">Gre za obvezno uskladitev evropskega pravnega reda s slovenskim pravnim redom, pri čemer se seznam obrambnih proizvodov vsako leto posodobi. </w:t>
      </w:r>
    </w:p>
    <w:p w14:paraId="3A6C1465" w14:textId="5FB22D69" w:rsidR="009B0929" w:rsidRDefault="00D31915" w:rsidP="00D31915">
      <w:pPr>
        <w:pStyle w:val="Vir"/>
      </w:pPr>
      <w:r>
        <w:t>Vir: Ministrstvo za obrambo</w:t>
      </w:r>
    </w:p>
    <w:p w14:paraId="5D3807D9" w14:textId="034524CE" w:rsidR="00691228" w:rsidRDefault="00691228" w:rsidP="00691228">
      <w:pPr>
        <w:pStyle w:val="Naslov2"/>
      </w:pPr>
      <w:r>
        <w:t>O</w:t>
      </w:r>
      <w:r w:rsidR="009B0929">
        <w:t>dločb</w:t>
      </w:r>
      <w:r>
        <w:t>a</w:t>
      </w:r>
      <w:r w:rsidR="009B0929">
        <w:t xml:space="preserve"> o dodelitvi sredstev za financiranje dela narodnostnih programov v letu 2026</w:t>
      </w:r>
    </w:p>
    <w:p w14:paraId="32E8C0D8" w14:textId="7A307DE0" w:rsidR="009B0929" w:rsidRDefault="00691228" w:rsidP="009B0929">
      <w:pPr>
        <w:rPr>
          <w:bCs/>
        </w:rPr>
      </w:pPr>
      <w:r w:rsidRPr="00114EC2">
        <w:rPr>
          <w:rFonts w:cs="Arial"/>
          <w:szCs w:val="20"/>
        </w:rPr>
        <w:t xml:space="preserve">Vlada Republike Slovenije </w:t>
      </w:r>
      <w:r>
        <w:rPr>
          <w:rFonts w:cs="Arial"/>
          <w:szCs w:val="20"/>
        </w:rPr>
        <w:t>je sprejela o</w:t>
      </w:r>
      <w:r>
        <w:rPr>
          <w:rFonts w:cs="Arial"/>
          <w:szCs w:val="20"/>
        </w:rPr>
        <w:t xml:space="preserve">dločbo </w:t>
      </w:r>
      <w:r w:rsidRPr="004F0882">
        <w:rPr>
          <w:rFonts w:cs="Arial"/>
          <w:bCs/>
          <w:szCs w:val="20"/>
          <w:lang w:eastAsia="sl-SI"/>
        </w:rPr>
        <w:t xml:space="preserve">o </w:t>
      </w:r>
      <w:r w:rsidRPr="00C47FD6">
        <w:rPr>
          <w:bCs/>
        </w:rPr>
        <w:t>dodelitvi sredstev za financiranje dela narodnostnih programov v letu 2026</w:t>
      </w:r>
      <w:r>
        <w:rPr>
          <w:bCs/>
        </w:rPr>
        <w:t xml:space="preserve">. </w:t>
      </w:r>
    </w:p>
    <w:p w14:paraId="30318345" w14:textId="77777777" w:rsidR="00691228" w:rsidRDefault="00691228" w:rsidP="00691228">
      <w:pPr>
        <w:pStyle w:val="Vir"/>
      </w:pPr>
      <w:r>
        <w:t>Vir: Urad za narodnosti</w:t>
      </w:r>
    </w:p>
    <w:p w14:paraId="7250442F" w14:textId="72EA9712" w:rsidR="00871821" w:rsidRDefault="00871821" w:rsidP="00871821">
      <w:pPr>
        <w:pStyle w:val="Naslov2"/>
      </w:pPr>
      <w:r>
        <w:t>Vlada o proračunskih prerazporeditvah</w:t>
      </w:r>
    </w:p>
    <w:p w14:paraId="267AC3BD" w14:textId="77777777" w:rsidR="00871821" w:rsidRDefault="00871821" w:rsidP="00871821">
      <w:r>
        <w:t xml:space="preserve">Vlada je danes potrdila prerazporeditve pravic porabe v letošnjem državnem proračunu. </w:t>
      </w:r>
    </w:p>
    <w:p w14:paraId="4EB3DF02" w14:textId="77777777" w:rsidR="00871821" w:rsidRDefault="00871821" w:rsidP="00871821"/>
    <w:p w14:paraId="657F3627" w14:textId="77777777" w:rsidR="00871821" w:rsidRDefault="00871821" w:rsidP="00871821">
      <w:r>
        <w:t>Med drugim bomo na Urad Vlade Republike Slovenije za oskrbo in integracijo migrantov prerazporedili pravice porabe v višini treh milijonov evrov za stroške, ki so povezani z begunci iz Ukrajine.</w:t>
      </w:r>
    </w:p>
    <w:p w14:paraId="5C4D5B9F" w14:textId="77777777" w:rsidR="00871821" w:rsidRDefault="00871821" w:rsidP="00871821"/>
    <w:p w14:paraId="1EC0BA5B" w14:textId="77777777" w:rsidR="00871821" w:rsidRDefault="00871821" w:rsidP="00871821">
      <w:r>
        <w:t>Ministrstvo za visoko šolstvo, znanost in inovacije bo znotraj svojega finančnega načrta prerazporedilo pravice porabe v skupni višini približno 1,4 milijona evrov za zagotovitev študijske dejavnosti na javnih visokošolskih zavodih in zasebnih visokošolskih zavodih za koncesionirane študijske programe.</w:t>
      </w:r>
    </w:p>
    <w:p w14:paraId="62B9F57F" w14:textId="77777777" w:rsidR="00871821" w:rsidRDefault="00871821" w:rsidP="00871821"/>
    <w:p w14:paraId="130BEB12" w14:textId="77777777" w:rsidR="00871821" w:rsidRDefault="00871821" w:rsidP="00871821">
      <w:r>
        <w:t xml:space="preserve">Ministrstvo za visoko šolstvo bo poleg tega znotraj svojega finančnega načrta prerazporedilo še pravice porabe v višini 576.776 evrov za dokončanje kompetenčnega </w:t>
      </w:r>
      <w:proofErr w:type="gramStart"/>
      <w:r>
        <w:t>centra</w:t>
      </w:r>
      <w:proofErr w:type="gramEnd"/>
      <w:r>
        <w:t xml:space="preserve"> za oljkarstvo.</w:t>
      </w:r>
    </w:p>
    <w:p w14:paraId="263AF23E" w14:textId="4B45D486" w:rsidR="009B0929" w:rsidRDefault="00871821" w:rsidP="00871821">
      <w:pPr>
        <w:pStyle w:val="Vir"/>
      </w:pPr>
      <w:r>
        <w:t>Vir: Ministrstvo za finance</w:t>
      </w:r>
    </w:p>
    <w:p w14:paraId="485CCAE9" w14:textId="5A4C9356" w:rsidR="00FD60CF" w:rsidRDefault="00FD60CF" w:rsidP="00FD60CF">
      <w:pPr>
        <w:pStyle w:val="Naslov2"/>
      </w:pPr>
      <w:r>
        <w:lastRenderedPageBreak/>
        <w:t xml:space="preserve">Vlada soglaša, da lahko </w:t>
      </w:r>
      <w:proofErr w:type="gramStart"/>
      <w:r>
        <w:t>Center</w:t>
      </w:r>
      <w:proofErr w:type="gramEnd"/>
      <w:r>
        <w:t xml:space="preserve"> predelave in ponovne uporabe Pomurja d.</w:t>
      </w:r>
      <w:r w:rsidR="006404BA">
        <w:t xml:space="preserve"> </w:t>
      </w:r>
      <w:r>
        <w:t>o.</w:t>
      </w:r>
      <w:r w:rsidR="006404BA">
        <w:t xml:space="preserve"> </w:t>
      </w:r>
      <w:r>
        <w:t>o., posluje kot invalidsko podjetje</w:t>
      </w:r>
    </w:p>
    <w:p w14:paraId="18C2496A" w14:textId="611EE806" w:rsidR="00FD60CF" w:rsidRDefault="00FD60CF" w:rsidP="00FD60CF">
      <w:r>
        <w:t xml:space="preserve">Gospodarska družba </w:t>
      </w:r>
      <w:proofErr w:type="gramStart"/>
      <w:r>
        <w:t>Center</w:t>
      </w:r>
      <w:proofErr w:type="gramEnd"/>
      <w:r>
        <w:t xml:space="preserve"> predelave in ponovne uporabe Pomurja d. o. o., Slomškova ulica 49, 9000 Murska Sobota je pri Ministrstvu za delo, družino, socialne zadeve in enake možnosti vložila vlogo za pridobitev statusa invalidskega podjetja. Ministrstvo je na podlagi pregleda vloge in opravljenega pregleda v načrtovanem invalidskem podjetju ugotovilo, da so izpolnjeni pogoji iz 53. člena Zakona o zaposlitveni rehabilitaciji in zaposlovanju invalidov ter zato predlaga Vladi Republike Slovenije, da poda predhodno soglasje, da družba </w:t>
      </w:r>
      <w:proofErr w:type="gramStart"/>
      <w:r>
        <w:t>Center</w:t>
      </w:r>
      <w:proofErr w:type="gramEnd"/>
      <w:r>
        <w:t xml:space="preserve"> predelave in ponovne uporabe Pomurja d. o. o., lahko posluje kot invalidsko podjetje.</w:t>
      </w:r>
    </w:p>
    <w:p w14:paraId="79496CB7" w14:textId="708721B9" w:rsidR="009B0929" w:rsidRDefault="00FD60CF" w:rsidP="00FD60CF">
      <w:pPr>
        <w:pStyle w:val="Vir"/>
      </w:pPr>
      <w:r>
        <w:t>Vir: Ministrstvo za delo, družino, socialne zadeve in enake možnosti</w:t>
      </w:r>
    </w:p>
    <w:p w14:paraId="1F295A2E" w14:textId="51CCBA05" w:rsidR="00FD60CF" w:rsidRDefault="00FD60CF" w:rsidP="00FD60CF">
      <w:pPr>
        <w:pStyle w:val="Naslov2"/>
      </w:pPr>
      <w:r>
        <w:t>Vlada soglaša, da lahko VALINA VARNOST, družba za varovanje d.</w:t>
      </w:r>
      <w:r w:rsidR="006404BA">
        <w:t xml:space="preserve"> </w:t>
      </w:r>
      <w:r>
        <w:t>o.</w:t>
      </w:r>
      <w:r w:rsidR="006404BA">
        <w:t xml:space="preserve"> </w:t>
      </w:r>
      <w:r>
        <w:t>o., posluje kot invalidsko podjetje</w:t>
      </w:r>
    </w:p>
    <w:p w14:paraId="02D38C44" w14:textId="55C1B70C" w:rsidR="00FD60CF" w:rsidRDefault="00FD60CF" w:rsidP="00FD60CF">
      <w:r>
        <w:t xml:space="preserve">Gospodarska družba VALINA VARNOST, družba za varovanje d. o </w:t>
      </w:r>
      <w:proofErr w:type="gramStart"/>
      <w:r>
        <w:t>.</w:t>
      </w:r>
      <w:proofErr w:type="gramEnd"/>
      <w:r>
        <w:t>o., Litijska cesta 45, 1000 Ljubljana je pri Ministrstvu za delo, družino, socialne zadeve in enake možnosti vložila vlogo za pridobitev statusa invalidskega podjetja. Ministrstvo je na podlagi pregleda vloge in opravljenega pregleda v načrtovanem invalidskem podjetju ugotovilo, da so izpolnjeni pogoji iz 53. člena Zakona o zaposlitveni rehabilitaciji in zaposlovanju invalidov</w:t>
      </w:r>
      <w:proofErr w:type="gramStart"/>
      <w:r>
        <w:t xml:space="preserve"> ter</w:t>
      </w:r>
      <w:proofErr w:type="gramEnd"/>
      <w:r>
        <w:t xml:space="preserve"> zato predlaga Vladi Republike Slovenije, da poda predhodno soglasje, da družba VALINA VARNOST, družba za varovanje d. o. o., lahko posluje kot invalidsko podjetje.</w:t>
      </w:r>
    </w:p>
    <w:p w14:paraId="7CA4AEDE" w14:textId="08B8C068" w:rsidR="009B0929" w:rsidRDefault="00FD60CF" w:rsidP="00FD60CF">
      <w:pPr>
        <w:pStyle w:val="Vir"/>
      </w:pPr>
      <w:r>
        <w:t>Vir: Ministrstvo za delo, družino, socialne zadeve in enake možnosti</w:t>
      </w:r>
    </w:p>
    <w:p w14:paraId="7FF60C87" w14:textId="31DD0270" w:rsidR="006C37D7" w:rsidRDefault="006C37D7" w:rsidP="006C37D7">
      <w:pPr>
        <w:pStyle w:val="Naslov2"/>
      </w:pPr>
      <w:r>
        <w:t>Vlada sprejela poročilo o delu Inšpektorata za delo za leto 2025</w:t>
      </w:r>
    </w:p>
    <w:p w14:paraId="75443CAB" w14:textId="77777777" w:rsidR="006C37D7" w:rsidRDefault="006C37D7" w:rsidP="006C37D7">
      <w:r>
        <w:t xml:space="preserve">Vlada Republike Slovenije je sprejela Poročilo o delu Inšpektorata Republike Slovenije za delo za leto 2025 in ga pošlje Državnemu zboru, generalnemu direktorju Mednarodnega urada za delo in Ekonomsko-socialnemu svetu.  </w:t>
      </w:r>
    </w:p>
    <w:p w14:paraId="55D86A73" w14:textId="77777777" w:rsidR="006C37D7" w:rsidRDefault="006C37D7" w:rsidP="006C37D7"/>
    <w:p w14:paraId="6A78A134" w14:textId="77777777" w:rsidR="006C37D7" w:rsidRDefault="006C37D7" w:rsidP="006C37D7">
      <w:r>
        <w:t xml:space="preserve">Na dan 31. decembra 2025 je bilo v okviru kadrovskega načrta inšpektorata na inšpektoratu zaposlenih 141 javnih uslužbencev. Med njimi je bilo, poleg glavne inšpektorice, zaposlenih 108 inšpektorjev. V inšpekciji nadzora delovnih razmerij je na ta dan delo opravljalo 62 inšpektorjev, v inšpekciji nadzora varnosti in zdravja pri delu 39 inšpektorjev, v socialni inšpekciji pa 7 inšpektorjev. V Sloveniji se še vedno povečuje število poslovnih subjektov. V primerjavi z letom 2024 se je njihovo število v letu 2025 znova povečalo, tako da so imeli inšpektorji že 248.160 potencialnih subjektov nadzora. </w:t>
      </w:r>
    </w:p>
    <w:p w14:paraId="30CD4985" w14:textId="77777777" w:rsidR="006C37D7" w:rsidRDefault="006C37D7" w:rsidP="006C37D7">
      <w:r>
        <w:t xml:space="preserve">V letu 2025 je inšpektorat opravil 11.247 inšpekcijskih pregledov, ugotovil 18.215 kršitev in izdal 8.015 ukrepov. </w:t>
      </w:r>
    </w:p>
    <w:p w14:paraId="4E8A2FEF" w14:textId="77777777" w:rsidR="006C37D7" w:rsidRDefault="006C37D7" w:rsidP="006C37D7"/>
    <w:p w14:paraId="265DBBA4" w14:textId="77777777" w:rsidR="006C37D7" w:rsidRDefault="006C37D7" w:rsidP="006C37D7">
      <w:r>
        <w:t xml:space="preserve">V poročevalskem obdobju so inšpektorji na področju delovnih razmerij opravili 5.943 inšpekcijskih pregledov ter ugotovili 8.592 kršitev delovnopravne zakonodaje (v letu 2024: 7.733). Na številčnost kršitev pogosto vpliva tudi intenzivnost izvajanja nadzora v posameznih dejavnostih. Na področju varnosti in zdravja pri delu so inšpektorji v okviru 5.091 pregledov ugotovili 9.623 kršitev. V letu 2025 je socialna inšpekcija izvedla 213 nadzorov. Zaradi narave, občutljivosti in širine pooblastil je bilo največ inšpekcijskih nadzorov (186) izvedenih v centrih za socialno delo. Ob upoštevanju usmeritev dela inšpekcije in na podlagi analize prejetih prijav so bili nadzori najpogosteje usmerjeni v obravnavo ogroženih otrok, vključno z rejništvom in posvojitvami (52 %), sledijo urejanje razmerij med starši in otroki po razpadu družinske skupnosti (36 %), obravnava nasilja v družini (21 %), uveljavljanje pravic iz javnih sredstev (17 %), izvajanje skrbniških nalog (15 %) in izvajanje </w:t>
      </w:r>
      <w:proofErr w:type="gramStart"/>
      <w:r>
        <w:t>socialno varstvenih</w:t>
      </w:r>
      <w:proofErr w:type="gramEnd"/>
      <w:r>
        <w:t xml:space="preserve"> storitev, predvsem prve socialne pomoči. </w:t>
      </w:r>
    </w:p>
    <w:p w14:paraId="74F457EB" w14:textId="77777777" w:rsidR="006C37D7" w:rsidRDefault="006C37D7" w:rsidP="006C37D7"/>
    <w:p w14:paraId="5CDDCE4D" w14:textId="77777777" w:rsidR="006C37D7" w:rsidRDefault="006C37D7" w:rsidP="006C37D7">
      <w:r>
        <w:t xml:space="preserve">V 43 nadzorih (23 %) so bile ugotovljene pomanjkljivosti pri izvajanju </w:t>
      </w:r>
      <w:proofErr w:type="gramStart"/>
      <w:r>
        <w:t>socialno varstvene</w:t>
      </w:r>
      <w:proofErr w:type="gramEnd"/>
      <w:r>
        <w:t xml:space="preserve"> dejavnosti, in sicer tako z vidika uporabe veljavne zakonodaje kot tudi z vidika uporabe strokovnih znanj. </w:t>
      </w:r>
    </w:p>
    <w:p w14:paraId="44404A98" w14:textId="77777777" w:rsidR="006C37D7" w:rsidRDefault="006C37D7" w:rsidP="006C37D7"/>
    <w:p w14:paraId="717A9543" w14:textId="77777777" w:rsidR="006C37D7" w:rsidRDefault="006C37D7" w:rsidP="006C37D7">
      <w:r>
        <w:t xml:space="preserve">Poleg izvajanja inšpekcijskih nadzorov in izrekanja ukrepov inšpektorat opravlja tudi drugo strokovno delo, zlasti svetovanje in nudenje strokovne pomoči delavcem in delodajalcem. Hkrati je inšpektorat aktivno sodeloval z drugimi državnimi organi, organizacijami ter sindikalnimi in strokovnimi združenji, tako na področju izmenjave informacij kot tudi z vidika krepitve </w:t>
      </w:r>
      <w:proofErr w:type="gramStart"/>
      <w:r>
        <w:t>preventivnega</w:t>
      </w:r>
      <w:proofErr w:type="gramEnd"/>
      <w:r>
        <w:t xml:space="preserve"> delovanja in učinkovitega izvajanja nadzora. Dejavnosti so potekale tudi na mednarodni ravni, kjer je inšpektorat sodeloval pri izmenjavi dobrih praks in strokovnih izkušenj. </w:t>
      </w:r>
    </w:p>
    <w:p w14:paraId="06BD28B3" w14:textId="77777777" w:rsidR="006C37D7" w:rsidRDefault="006C37D7" w:rsidP="006C37D7"/>
    <w:p w14:paraId="21CF0A29" w14:textId="77777777" w:rsidR="006C37D7" w:rsidRDefault="006C37D7" w:rsidP="006C37D7">
      <w:r>
        <w:t>V skladu s 7. členom ZID je inšpektorat v letnem poročilu podal tudi več predlogov za spremembe zakonodaje. Predlogi temeljijo na ugotovitvah iz nadzorov na terenu in so usmerjeni predvsem v izboljšanje pravne varnosti delavcev, povečanje učinkovitosti inšpekcijskega nadzora in odpravo zaznanih sistemskih pomanjkljivosti v veljavni ureditvi.</w:t>
      </w:r>
    </w:p>
    <w:p w14:paraId="1EC5840A" w14:textId="77777777" w:rsidR="006C37D7" w:rsidRDefault="006C37D7" w:rsidP="006C37D7"/>
    <w:p w14:paraId="1A672F81" w14:textId="77777777" w:rsidR="006C37D7" w:rsidRDefault="006C37D7" w:rsidP="006C37D7">
      <w:r>
        <w:t xml:space="preserve">Ministrstvo za delo, družino, socialne zadeve in enake možnosti ocenjuje besedilo Poročila o delu inšpektorata za leto 2025 pozitivno in meni, da je pripravljeno v skladu z ZID-1. </w:t>
      </w:r>
    </w:p>
    <w:p w14:paraId="380F8734" w14:textId="3164419D" w:rsidR="009B0929" w:rsidRDefault="006C37D7" w:rsidP="006C37D7">
      <w:pPr>
        <w:pStyle w:val="Vir"/>
      </w:pPr>
      <w:r>
        <w:t>Vir: Ministrstvo za delo, družino, socialne zadeve in enake možnosti</w:t>
      </w:r>
    </w:p>
    <w:p w14:paraId="316AF8F2" w14:textId="5D1F1E7E" w:rsidR="00395E65" w:rsidRDefault="00395E65" w:rsidP="00395E65">
      <w:pPr>
        <w:pStyle w:val="Naslov2"/>
      </w:pPr>
      <w:r>
        <w:t xml:space="preserve">Mnenje o pobudi za začetek postopka za oceno ustavnosti Gradbenega zakona </w:t>
      </w:r>
    </w:p>
    <w:p w14:paraId="2C55B9CF" w14:textId="4C6E1FB0" w:rsidR="00395E65" w:rsidRDefault="00395E65" w:rsidP="00395E65">
      <w:r>
        <w:t xml:space="preserve">Vlada je pripravila mnenje z vidika izvršilne oblasti glede pobude za oceno ustavnosti Gradbenega zakona (GZ). Ustavno in sistemsko je edina sprejemljiva razlaga, da obveznost izvršitve inšpekcijskega ukrepa traja </w:t>
      </w:r>
      <w:r w:rsidR="00E51721">
        <w:t xml:space="preserve">tako dolgo, </w:t>
      </w:r>
      <w:r>
        <w:t>dokler traja nezakonito stanje, javni interes za njegovo odpravo pa ne preneha in ne more biti predmet zastaranja. Vlada zato predlaga Državnemu zboru, da v tem postopku ustavnosodne presoje predlaga Ustavnemu sodišču, da ugotovi, da GZ ni v neskladju z Ustavo.</w:t>
      </w:r>
    </w:p>
    <w:p w14:paraId="6FC604FA" w14:textId="77777777" w:rsidR="00395E65" w:rsidRDefault="00395E65" w:rsidP="00395E65"/>
    <w:p w14:paraId="1AB9CF4D" w14:textId="2F636769" w:rsidR="00395E65" w:rsidRDefault="00395E65" w:rsidP="00395E65">
      <w:r>
        <w:t>Pobudnik izpodbija 89. člen GZ</w:t>
      </w:r>
      <w:r w:rsidR="0041276C">
        <w:t xml:space="preserve">, </w:t>
      </w:r>
      <w:r>
        <w:t xml:space="preserve">ker zatrjuje obstoj protiustavne zakonske praznine, </w:t>
      </w:r>
      <w:r w:rsidR="0041276C">
        <w:t xml:space="preserve">zato </w:t>
      </w:r>
      <w:r>
        <w:t xml:space="preserve">je Ustavno sodišče štelo, da izpodbija celotno zakonsko ureditev. Pobudnik trdi, da je zakonska ureditev v neskladju z Ustavo, ker ne ureja zastaranja izvršitve odločbe o inšpekcijskem ukrepu glede nelegalne gradnje. Ker gradbena inšpekcija vodi oziroma </w:t>
      </w:r>
      <w:proofErr w:type="gramStart"/>
      <w:r>
        <w:t>izvršuje</w:t>
      </w:r>
      <w:proofErr w:type="gramEnd"/>
      <w:r>
        <w:t xml:space="preserve"> postopke, ki so začeti na podlagi veljavnega Gradbenega zakon (GZ-1) ter neveljavnega Zakona o graditvi objektov (ZGO-1) in Zakona o urejanju naselij in drugih posegov v prostor (ZUN), se predlaga širitev ustavne presoje tudi na ureditev v teh predpisih, saj se lahko v njihovem okviru odpre enako ustavnopravno vprašanje glede neobstoja zakonske ureditve zastaranja izvršitve inšpekcijskih ukrepov.</w:t>
      </w:r>
    </w:p>
    <w:p w14:paraId="655286C6" w14:textId="77777777" w:rsidR="00395E65" w:rsidRDefault="00395E65" w:rsidP="00395E65"/>
    <w:p w14:paraId="2A0956E9" w14:textId="1382F932" w:rsidR="00395E65" w:rsidRDefault="00395E65" w:rsidP="00395E65">
      <w:r>
        <w:t xml:space="preserve">Institut zastaranja izvršitve inšpekcijskega ukrepa odstranitve nelegalnega objekta ni ustrezna pravna kategorija, saj ne ustreza niti naravi niti namenu tovrstnega ukrepa. Gre namreč za ureditveni upravni ukrep, katerega cilj ni sankcioniranje preteklega ravnanja, temveč odprava trajajočega protipravnega stanja in vzpostavitev zakonitega stanja v prostoru, ki je v neposredni funkciji varstva trajnega javnega interesa. Ta interes obstaja </w:t>
      </w:r>
      <w:r w:rsidR="0041276C">
        <w:t xml:space="preserve">tako dolgo, </w:t>
      </w:r>
      <w:r>
        <w:t xml:space="preserve">dokler obstaja nelegalna gradnja kot pravnomočno ugotovljen nezakonit poseg v prostor, zato ga ni mogoče vezati na potek časa. </w:t>
      </w:r>
    </w:p>
    <w:p w14:paraId="43580196" w14:textId="77777777" w:rsidR="00395E65" w:rsidRDefault="00395E65" w:rsidP="00395E65"/>
    <w:p w14:paraId="2241A246" w14:textId="77777777" w:rsidR="00395E65" w:rsidRDefault="00395E65" w:rsidP="00395E65">
      <w:r>
        <w:t xml:space="preserve">Uvedba zastaranja bi v takšnem primeru pomenila, da bi se nezakonito stanje lahko ohranilo zgolj zaradi pasivnosti ali časovne oddaljenosti izvršitve, kar bi bilo v nasprotju z načelom pravne države, načelom enakosti pred zakonom in temeljnimi cilji urejanja prostora. Takšna razlaga bi nedopustno privilegirala kršitelje in spodkopala učinkovitost pravnega reda, saj bi omogočala izigravanje zakonodaje. Lastninska pravica bi lahko imela prednost, če bi se objekt gradil in uporabljal zakonito; v </w:t>
      </w:r>
      <w:r>
        <w:lastRenderedPageBreak/>
        <w:t xml:space="preserve">nasprotnem primeru je treba dati prednost javnemu interesu, sicer inšpekcijski nadzor ne bi imel smisla.  </w:t>
      </w:r>
    </w:p>
    <w:p w14:paraId="75B0B089" w14:textId="1D766597" w:rsidR="00B4183B" w:rsidRDefault="00395E65" w:rsidP="00395E65">
      <w:pPr>
        <w:pStyle w:val="Vir"/>
      </w:pPr>
      <w:r>
        <w:t>Vir: Ministrstvo za naravne vire in prostor</w:t>
      </w:r>
    </w:p>
    <w:p w14:paraId="43527A10" w14:textId="0A6A743E" w:rsidR="003E52B9" w:rsidRDefault="003E52B9" w:rsidP="003E52B9">
      <w:pPr>
        <w:pStyle w:val="Naslov2"/>
      </w:pPr>
      <w:r>
        <w:t>Odgovor Državnemu svetu v zvezi z zaključki posveta o sotočju Sav</w:t>
      </w:r>
    </w:p>
    <w:p w14:paraId="614531A7" w14:textId="77777777" w:rsidR="003E52B9" w:rsidRDefault="003E52B9" w:rsidP="003E52B9">
      <w:r>
        <w:t xml:space="preserve">Vlada je sprejela odgovor v zvezi z zaključki posveta o Sotočju Sav, ki jih je državni svet sprejel 13. maja 2026. Odgovor bo poslala državnemu svetu. </w:t>
      </w:r>
    </w:p>
    <w:p w14:paraId="368EB7B3" w14:textId="77777777" w:rsidR="003E52B9" w:rsidRDefault="003E52B9" w:rsidP="003E52B9"/>
    <w:p w14:paraId="1C2A1450" w14:textId="77777777" w:rsidR="003E52B9" w:rsidRDefault="003E52B9" w:rsidP="003E52B9">
      <w:r>
        <w:t xml:space="preserve">Vlada v odgovoru med drugim poudarja, da se strinja, </w:t>
      </w:r>
      <w:proofErr w:type="gramStart"/>
      <w:r>
        <w:t xml:space="preserve">da  </w:t>
      </w:r>
      <w:proofErr w:type="gramEnd"/>
      <w:r>
        <w:t xml:space="preserve">območje sotočja Save Bohinjke in Save Dolinke predstavlja izjemno pomemben naravni, vodarski in prostorski sistem, ki ga je treba obravnavati celovito. Direktorat za vode Ministrstva za naravne vire in prostor in Inštitut Republike Slovenije za vode sta že pristopila k pripravi strokovnih podlag v okviru naloge, ki preverja možnosti izboljšanja ekološkega stanja vodotokov, revitalizacijskih ukrepov ter dolgoročno vzdržnega upravljanja prostora. Strokovne podlage se pripravljajo za širši funkcionalni rečni prostor. Namen priprave strokovnih podlag je preveriti, katere rešitve so z vidika voda, narave, poplavne in erozijske varnosti ter obstoječih rab prostora dolgoročno najbolj primerne in izvedljive. </w:t>
      </w:r>
    </w:p>
    <w:p w14:paraId="155A0314" w14:textId="77777777" w:rsidR="003E52B9" w:rsidRDefault="003E52B9" w:rsidP="003E52B9"/>
    <w:p w14:paraId="3934CAB7" w14:textId="77777777" w:rsidR="003E52B9" w:rsidRDefault="003E52B9" w:rsidP="003E52B9">
      <w:r>
        <w:t xml:space="preserve">Vzporedno Direkcija Republike Slovenije za vode, Zavod Republike Slovenije za varstvo narave in Občina Radovljica preverijo možnost prijave projekta na Program </w:t>
      </w:r>
      <w:proofErr w:type="gramStart"/>
      <w:r>
        <w:t>Evropske</w:t>
      </w:r>
      <w:proofErr w:type="gramEnd"/>
      <w:r>
        <w:t xml:space="preserve"> kohezijske politike s področja varstva narave, vključno z možnostmi financiranja iz evropskih virov, ki bi lahko podprl ukrepe dolgoročnega varstva območja, revitalizacije prostora ter morebitnega postopnega odkupa oziroma zamenjave zemljišč.</w:t>
      </w:r>
    </w:p>
    <w:p w14:paraId="3951AE04" w14:textId="77777777" w:rsidR="003E52B9" w:rsidRDefault="003E52B9" w:rsidP="003E52B9"/>
    <w:p w14:paraId="0D8D99A3" w14:textId="77777777" w:rsidR="003E52B9" w:rsidRDefault="003E52B9" w:rsidP="003E52B9">
      <w:r>
        <w:t xml:space="preserve">Vlada se strinja, da je pri odločanju o prihodnjem razvoju območja treba upoštevati sodobne evropske usmeritve na področju obnove narave, izboljšanja rečne povezanosti in varstva biotske raznovrstnosti. Ob tem je treba zagotavljati tudi ustrezno poplavno in erozijsko varnost, kjer se </w:t>
      </w:r>
      <w:proofErr w:type="gramStart"/>
      <w:r>
        <w:t>upošteva</w:t>
      </w:r>
      <w:proofErr w:type="gramEnd"/>
      <w:r>
        <w:t xml:space="preserve"> obstoječe rabe prostora. Zato podpira vključujoč in strokovno utemeljen pristop, ki omogoča usklajevanje varstvenih, razvojnih in varnostnih vidikov ter iskanje dolgoročno vzdržnih rešitev. Vlada tudi podpira usmeritve, ki omogočajo ohranjanje javne dostopnosti območja ob hkratnem spoštovanju varstvenih režimov in omejitev.</w:t>
      </w:r>
    </w:p>
    <w:p w14:paraId="5500ED41" w14:textId="0C4BAEF3" w:rsidR="00B4183B" w:rsidRDefault="003E52B9" w:rsidP="003E52B9">
      <w:pPr>
        <w:pStyle w:val="Vir"/>
      </w:pPr>
      <w:r>
        <w:t>Vir: Ministrstvo za naravne vire in prostor</w:t>
      </w:r>
    </w:p>
    <w:p w14:paraId="76E77565" w14:textId="492151C2" w:rsidR="007924F9" w:rsidRDefault="007924F9" w:rsidP="007924F9">
      <w:pPr>
        <w:pStyle w:val="Naslov2"/>
      </w:pPr>
      <w:r>
        <w:t xml:space="preserve">Vlada razrešila generalnega direktorja Direktorata za predšolsko vzgojo in osnovno šolstvo </w:t>
      </w:r>
    </w:p>
    <w:p w14:paraId="2A66F051" w14:textId="77777777" w:rsidR="007924F9" w:rsidRDefault="007924F9" w:rsidP="007924F9">
      <w:r>
        <w:t xml:space="preserve">Generalni direktor Direktorata za predšolsko vzgojo in osnovno šolstvo na Ministrstvu za vzgojo in izobraževanje Rado Kostrevc je podal predlog za sporazumno prekinitev pogodbe o zaposlitvi za določen čas zaradi upokojitve, in sicer je njegov zadnji dan na položaju generalnega direktorja 1. julij 2026, z 2. julijem 2026 pa se namerava upokojiti. </w:t>
      </w:r>
    </w:p>
    <w:p w14:paraId="4A1E1237" w14:textId="77777777" w:rsidR="007924F9" w:rsidRDefault="007924F9" w:rsidP="007924F9"/>
    <w:p w14:paraId="7EADAA0F" w14:textId="77777777" w:rsidR="007924F9" w:rsidRDefault="007924F9" w:rsidP="007924F9">
      <w:r>
        <w:t xml:space="preserve">Vlada je izdala odločbo o njegovi razrešitvi s položaja generalnega direktorja. Zakon o javnih uslužbencih namreč določa, da se generalni direktor ministrstva z odločbo razreši s položaja, če to sam zahteva ali s tem soglaša. </w:t>
      </w:r>
    </w:p>
    <w:p w14:paraId="2EC23426" w14:textId="6761F8BC" w:rsidR="00356CF6" w:rsidRPr="00356CF6" w:rsidRDefault="007924F9" w:rsidP="007924F9">
      <w:pPr>
        <w:pStyle w:val="Vir"/>
      </w:pPr>
      <w:r>
        <w:t>Vir: Ministrstvo za vzgojo in izobraževanje</w:t>
      </w:r>
    </w:p>
    <w:p w14:paraId="4E0A3D2B" w14:textId="422B7280" w:rsidR="00CC2CC5" w:rsidRDefault="00CC2CC5" w:rsidP="00CC2CC5">
      <w:pPr>
        <w:pStyle w:val="Naslov2"/>
      </w:pPr>
      <w:r>
        <w:t>Vlada Republike Slovenije razrešila glavnega inšpektorja in imenovala vršilko dolžnosti glavnega inšpektorja Inšpektorata RS za informacijsko družbo</w:t>
      </w:r>
    </w:p>
    <w:p w14:paraId="27DC92F4" w14:textId="27D9BE27" w:rsidR="00CC2CC5" w:rsidRDefault="00CC2CC5" w:rsidP="00CC2CC5">
      <w:r>
        <w:t xml:space="preserve">Vlada Republike Slovenije je sprejela sklep o razrešitvi Dragana Petrovića s položaja glavnega inšpektorja Inšpektorata RS za informacijsko družbo ter za vršilko dolžnosti glavnega inšpektorja </w:t>
      </w:r>
      <w:r>
        <w:lastRenderedPageBreak/>
        <w:t xml:space="preserve">imenovala Marijo Sever. Dragan Petrović je bil s položaja razrešen na podlagi podane odstopne izjave. </w:t>
      </w:r>
    </w:p>
    <w:p w14:paraId="00EAFFA8" w14:textId="77777777" w:rsidR="00CC2CC5" w:rsidRDefault="00CC2CC5" w:rsidP="00CC2CC5"/>
    <w:p w14:paraId="53FE5CCD" w14:textId="6760A01A" w:rsidR="00CC2CC5" w:rsidRDefault="00CC2CC5" w:rsidP="00CC2CC5">
      <w:r>
        <w:t>Marija Sever je bila za vršilko dolžnosti glavnega inšpektorja imenovana za obdobje od 1. junija 2026 do imenovanja novega glavnega inšpektorja, vendar največ za šest mesecev, to je najdlje do 30. novembra 2026.</w:t>
      </w:r>
    </w:p>
    <w:p w14:paraId="106072F6" w14:textId="77777777" w:rsidR="00CC2CC5" w:rsidRDefault="00CC2CC5" w:rsidP="00CC2CC5"/>
    <w:p w14:paraId="22C74BE4" w14:textId="525E8D52" w:rsidR="00356CF6" w:rsidRDefault="00CC2CC5" w:rsidP="00CC2CC5">
      <w:r>
        <w:t xml:space="preserve">Inšpektorat RS za informacijsko družbo izvaja nadzor nad področji elektronske identifikacije in storitev zaupanja, dostopnosti spletišč in mobilnih </w:t>
      </w:r>
      <w:proofErr w:type="gramStart"/>
      <w:r>
        <w:t>aplikacij</w:t>
      </w:r>
      <w:proofErr w:type="gramEnd"/>
      <w:r>
        <w:t xml:space="preserve"> ter evropskega upravljanja podatkov. Imenovanje vršilke dolžnosti zagotavlja nemoteno in kontinuirano izvajanje nalog inšpektorata ter varovanje javnega interesa na področju digitalne družbe.</w:t>
      </w:r>
    </w:p>
    <w:p w14:paraId="76AE33E9" w14:textId="52C1B2C4" w:rsidR="00CC2CC5" w:rsidRPr="00356CF6" w:rsidRDefault="00CC2CC5" w:rsidP="00CC2CC5">
      <w:pPr>
        <w:pStyle w:val="Vir"/>
      </w:pPr>
      <w:r w:rsidRPr="00CC2CC5">
        <w:t>Vir: Ministrstvo za digitalno preobrazbo</w:t>
      </w:r>
    </w:p>
    <w:p w14:paraId="55DACBC8" w14:textId="6FDFDDD0" w:rsidR="00356CF6" w:rsidRDefault="003751F2" w:rsidP="00B156F8">
      <w:pPr>
        <w:pStyle w:val="Naslov2"/>
      </w:pPr>
      <w:r>
        <w:t>I</w:t>
      </w:r>
      <w:r w:rsidR="00356CF6" w:rsidRPr="00356CF6">
        <w:t>menovanj</w:t>
      </w:r>
      <w:r>
        <w:t>e</w:t>
      </w:r>
      <w:r w:rsidR="00356CF6" w:rsidRPr="00356CF6">
        <w:t xml:space="preserve"> predstavnice ustanovitelja v Svet javnega </w:t>
      </w:r>
      <w:proofErr w:type="gramStart"/>
      <w:r w:rsidR="00356CF6" w:rsidRPr="00356CF6">
        <w:t>socialno varstvenega</w:t>
      </w:r>
      <w:proofErr w:type="gramEnd"/>
      <w:r w:rsidR="00356CF6" w:rsidRPr="00356CF6">
        <w:t xml:space="preserve"> zavoda Dom na Krasu</w:t>
      </w:r>
    </w:p>
    <w:p w14:paraId="4F2BEB33" w14:textId="21F13EF2" w:rsidR="003751F2" w:rsidRDefault="003751F2" w:rsidP="003751F2">
      <w:r>
        <w:t>Vlada je sprejela sklep o razrešitvi Anje Lazar kot predstavnice ustanovitelja v svetu javnega socialnovarstvenega zavoda Doma na Krasu, potem ko je Anja Lazar podala odstopno izjavo. Za preostanek mandata sveta v zavodu se od 30. maja 2026 do 7. decembra 2026 je vlada kot predstavnico ustanovitelja imenovala Niko Stegovec.</w:t>
      </w:r>
    </w:p>
    <w:p w14:paraId="4668785A" w14:textId="37D7D20F" w:rsidR="003751F2" w:rsidRPr="00356CF6" w:rsidRDefault="003751F2" w:rsidP="003751F2">
      <w:pPr>
        <w:pStyle w:val="Vir"/>
      </w:pPr>
      <w:r w:rsidRPr="003751F2">
        <w:t>Vir: Ministrstvo za solidarno prihodnost</w:t>
      </w:r>
    </w:p>
    <w:p w14:paraId="4E6DBE2F" w14:textId="7D50B2F1" w:rsidR="008009B8" w:rsidRDefault="008009B8" w:rsidP="008009B8">
      <w:pPr>
        <w:pStyle w:val="Naslov2"/>
      </w:pPr>
      <w:r>
        <w:t>Vlada imenovala namestnike izvoljenega sodnika za odločanje v posameznih zadevah na Evropskem sodišču za človekove pravice</w:t>
      </w:r>
    </w:p>
    <w:p w14:paraId="3ED79A05" w14:textId="77777777" w:rsidR="008009B8" w:rsidRDefault="008009B8" w:rsidP="008009B8">
      <w:r>
        <w:t>Vlada Republike Slovenije je imenovala dr. Boštjana Zalarja, prof. dr. Veroniko Fikfak in doc. dr. Mašo Kovič Dine na seznam namestnikov izvoljenega sodnika za odločanje v posameznih zadevah na Evropskem sodišču za človekove pravice v Strasbourgu, in sicer za mandat od 15. junija 2026 dalje, za mandatno dobo štirih let z možnostjo ponovnega imenovanja.</w:t>
      </w:r>
    </w:p>
    <w:p w14:paraId="703C80A3" w14:textId="77777777" w:rsidR="008009B8" w:rsidRDefault="008009B8" w:rsidP="008009B8"/>
    <w:p w14:paraId="5C1FF0B6" w14:textId="77777777" w:rsidR="008009B8" w:rsidRDefault="008009B8" w:rsidP="008009B8">
      <w:r>
        <w:t>Namestniki izvoljenega sodnika oziroma sodniki ad hoc predstavljajo seznam oseb, ki jih določi Vlada Republike Slovenije in ki nadomeščajo slovenskega nacionalnega sodnika pred Evropskim sodiščem za človekove pravice v primerih, ko ta ne more sodelovati pri sojenju v konkretni zadevi ali zadevah zaradi nezmožnosti, umika ali izločitve</w:t>
      </w:r>
      <w:proofErr w:type="gramStart"/>
      <w:r>
        <w:t>,</w:t>
      </w:r>
      <w:proofErr w:type="gramEnd"/>
      <w:r>
        <w:t xml:space="preserve"> kot tudi v primerih, ko se ta upokoji ali odstopi.</w:t>
      </w:r>
    </w:p>
    <w:p w14:paraId="3E25DCE8" w14:textId="50626DED" w:rsidR="00356CF6" w:rsidRDefault="008009B8" w:rsidP="008009B8">
      <w:pPr>
        <w:pStyle w:val="Vir"/>
      </w:pPr>
      <w:r>
        <w:t>Vir: Ministrstvo za pravosodje</w:t>
      </w:r>
    </w:p>
    <w:p w14:paraId="103436E3" w14:textId="69A1379F" w:rsidR="00B423C1" w:rsidRPr="00B423C1" w:rsidRDefault="00B423C1" w:rsidP="00B423C1">
      <w:pPr>
        <w:pStyle w:val="Naslov2"/>
        <w:rPr>
          <w:rStyle w:val="Naslov2Znak"/>
          <w:b/>
          <w:bCs/>
        </w:rPr>
      </w:pPr>
      <w:r w:rsidRPr="00B423C1">
        <w:t xml:space="preserve">Vlada je v Odboru za podelitev nagrade Republike Slovenije na področju ohranjanja narave z </w:t>
      </w:r>
      <w:r w:rsidRPr="00B423C1">
        <w:rPr>
          <w:rStyle w:val="Naslov2Znak"/>
          <w:b/>
          <w:bCs/>
        </w:rPr>
        <w:t>mesta članice razrešila Katarino Bervar Sternad in namesto njega imenovala Tilna Basleta</w:t>
      </w:r>
    </w:p>
    <w:p w14:paraId="20C09385" w14:textId="77777777" w:rsidR="00B423C1" w:rsidRDefault="00B423C1" w:rsidP="00B423C1">
      <w:r>
        <w:t xml:space="preserve">Katarina Bervar Sternad, ki je bila v odboru za podelitev nagrade predstavnica iz vrst nevladnih organizacij, je prenehala opravljati </w:t>
      </w:r>
      <w:proofErr w:type="gramStart"/>
      <w:r>
        <w:t>funkcijo</w:t>
      </w:r>
      <w:proofErr w:type="gramEnd"/>
      <w:r>
        <w:t xml:space="preserve"> v nevladni organizaciji PIC - Pravni center za varstvo človekovih pravic in okolja. Ministrstvo za naravne vire in prostor je zato zaprosilo Center za informiranje, sodelovanje in razvoj nevladnih organizacij, da izpelje postopek za imenovanje novega člana iz vrst nevladnih organizacij. V postopku je bil </w:t>
      </w:r>
      <w:proofErr w:type="gramStart"/>
      <w:r>
        <w:t>izbran</w:t>
      </w:r>
      <w:proofErr w:type="gramEnd"/>
      <w:r>
        <w:t xml:space="preserve"> Tilen Basle, direktor Društva za opazovanje in proučevanje ptic Slovenije (DOPPS).</w:t>
      </w:r>
    </w:p>
    <w:p w14:paraId="16E81EAD" w14:textId="77777777" w:rsidR="00B423C1" w:rsidRDefault="00B423C1" w:rsidP="00B423C1"/>
    <w:p w14:paraId="61ED7FA7" w14:textId="77777777" w:rsidR="00B423C1" w:rsidRDefault="00B423C1" w:rsidP="00B423C1">
      <w:r>
        <w:t xml:space="preserve">Tilen </w:t>
      </w:r>
      <w:proofErr w:type="gramStart"/>
      <w:r>
        <w:t>Basle Tilen Basle</w:t>
      </w:r>
      <w:proofErr w:type="gramEnd"/>
      <w:r>
        <w:t xml:space="preserve"> je po izobrazbi magister biologije in ekologije z naravovarstvom, magistriral je iz področja ornitologije. Od leta 2014 je na DOPPS zaposlen kot varstveni ornitolog.</w:t>
      </w:r>
    </w:p>
    <w:p w14:paraId="2A57BF2B" w14:textId="77777777" w:rsidR="00B423C1" w:rsidRDefault="00B423C1" w:rsidP="00B423C1">
      <w:pPr>
        <w:pStyle w:val="Vir"/>
      </w:pPr>
      <w:r>
        <w:t>Vir: Ministrstvo za naravne vire in prostor</w:t>
      </w:r>
    </w:p>
    <w:p w14:paraId="7E4A2592" w14:textId="7F7CA081" w:rsidR="0057294A" w:rsidRDefault="0057294A" w:rsidP="00B423C1">
      <w:pPr>
        <w:pStyle w:val="Naslov2"/>
      </w:pPr>
      <w:r>
        <w:lastRenderedPageBreak/>
        <w:t>Poročilo o uresničevanju Skupnega kadrovskega načrta organov državne uprave za leto 2025</w:t>
      </w:r>
    </w:p>
    <w:p w14:paraId="214BCD54" w14:textId="77777777" w:rsidR="0057294A" w:rsidRDefault="0057294A" w:rsidP="0057294A">
      <w:r>
        <w:t xml:space="preserve">Vlada Republike Slovenije se je seznanila s Poročilom </w:t>
      </w:r>
      <w:proofErr w:type="gramStart"/>
      <w:r>
        <w:t>o uresničevanju Skupnega kadrovskega načrta (SKN) organov državne uprave za leto 2025</w:t>
      </w:r>
      <w:proofErr w:type="gramEnd"/>
      <w:r>
        <w:t>.</w:t>
      </w:r>
    </w:p>
    <w:p w14:paraId="7410DA84" w14:textId="77777777" w:rsidR="0057294A" w:rsidRDefault="0057294A" w:rsidP="0057294A"/>
    <w:p w14:paraId="4A8EDFEE" w14:textId="77777777" w:rsidR="0057294A" w:rsidRDefault="0057294A" w:rsidP="0057294A">
      <w:pPr>
        <w:spacing w:line="240" w:lineRule="auto"/>
        <w:jc w:val="both"/>
        <w:rPr>
          <w:rFonts w:cs="Arial"/>
          <w:szCs w:val="20"/>
        </w:rPr>
      </w:pPr>
      <w:r>
        <w:t xml:space="preserve">V poročilu je prikazano dovoljeno število zaposlenih po SKN za leto 2025, spremembe tega števila za leto 2025 zaradi začasnih in trajnih prenosov kvot med organi državne uprave in sprejetih povečanj in zmanjšanj, </w:t>
      </w:r>
      <w:proofErr w:type="gramStart"/>
      <w:r>
        <w:t>realizacija</w:t>
      </w:r>
      <w:proofErr w:type="gramEnd"/>
      <w:r>
        <w:t xml:space="preserve"> SKN za leto 2025 in doseganje dovoljenega števila zaposlenih na dan 31. 12. 2025. Poleg navedenega je prikazana tudi primerjava med </w:t>
      </w:r>
      <w:proofErr w:type="gramStart"/>
      <w:r>
        <w:t>realizacijo</w:t>
      </w:r>
      <w:proofErr w:type="gramEnd"/>
      <w:r>
        <w:t xml:space="preserve"> SKN za leti 2024 in 2025 ter doseganjem dovoljenega števila zaposlenih na dan 31. 12. 2024 in na dan 31. 12. 2025. Poročilo potrjuje, da organi državne uprave v letu 2025 niso presegli dovoljenega števila zaposlenih po skupnem kadrovskem načrtu. Glede na navedeno ministrstvo, pristojno za javno upravo, vladi ne predlaga nobenih ukrepov. </w:t>
      </w:r>
      <w:r>
        <w:rPr>
          <w:rFonts w:cs="Arial"/>
          <w:szCs w:val="20"/>
        </w:rPr>
        <w:t xml:space="preserve">Poročilo bo objavljeno na </w:t>
      </w:r>
      <w:hyperlink r:id="rId13" w:history="1">
        <w:r w:rsidRPr="00752EB7">
          <w:rPr>
            <w:rStyle w:val="Hiperpovezava"/>
            <w:rFonts w:cs="Arial"/>
            <w:szCs w:val="20"/>
          </w:rPr>
          <w:t xml:space="preserve">portalu </w:t>
        </w:r>
        <w:proofErr w:type="spellStart"/>
        <w:r w:rsidRPr="00752EB7">
          <w:rPr>
            <w:rStyle w:val="Hiperpovezava"/>
            <w:rFonts w:cs="Arial"/>
            <w:szCs w:val="20"/>
          </w:rPr>
          <w:t>Opsi</w:t>
        </w:r>
        <w:proofErr w:type="spellEnd"/>
      </w:hyperlink>
      <w:r>
        <w:rPr>
          <w:rFonts w:cs="Arial"/>
          <w:szCs w:val="20"/>
        </w:rPr>
        <w:t>.</w:t>
      </w:r>
    </w:p>
    <w:p w14:paraId="663186EC" w14:textId="77777777" w:rsidR="0057294A" w:rsidRDefault="0057294A" w:rsidP="0057294A">
      <w:pPr>
        <w:spacing w:line="240" w:lineRule="auto"/>
        <w:jc w:val="both"/>
        <w:rPr>
          <w:rFonts w:cs="Arial"/>
        </w:rPr>
      </w:pPr>
    </w:p>
    <w:p w14:paraId="1512074B" w14:textId="77777777" w:rsidR="0057294A" w:rsidRDefault="0057294A" w:rsidP="0057294A">
      <w:pPr>
        <w:spacing w:line="240" w:lineRule="auto"/>
        <w:jc w:val="both"/>
        <w:rPr>
          <w:rFonts w:cs="Arial"/>
          <w:szCs w:val="20"/>
        </w:rPr>
      </w:pPr>
      <w:r w:rsidRPr="00F31941">
        <w:rPr>
          <w:rFonts w:cs="Arial"/>
          <w:szCs w:val="20"/>
        </w:rPr>
        <w:t>Poročilo je pripravljeno na podlagi Zakona o javnih uslužbencih</w:t>
      </w:r>
      <w:r>
        <w:rPr>
          <w:rFonts w:cs="Arial"/>
          <w:szCs w:val="20"/>
        </w:rPr>
        <w:t>, ki</w:t>
      </w:r>
      <w:r w:rsidRPr="00F31941">
        <w:rPr>
          <w:rFonts w:cs="Arial"/>
          <w:szCs w:val="20"/>
        </w:rPr>
        <w:t xml:space="preserve"> določa, da organi sklepajo delovna razmerja in upravljajo </w:t>
      </w:r>
      <w:proofErr w:type="gramStart"/>
      <w:r w:rsidRPr="00F31941">
        <w:rPr>
          <w:rFonts w:cs="Arial"/>
          <w:szCs w:val="20"/>
        </w:rPr>
        <w:t>s kadrovskimi viri</w:t>
      </w:r>
      <w:proofErr w:type="gramEnd"/>
      <w:r w:rsidRPr="00F31941">
        <w:rPr>
          <w:rFonts w:cs="Arial"/>
          <w:szCs w:val="20"/>
        </w:rPr>
        <w:t xml:space="preserve"> v skladu s kadrovskimi načrti, v katerih se prikaže dejansko stanje zaposlenosti in načrtovane spremembe v številu javnih uslužbencev</w:t>
      </w:r>
      <w:r>
        <w:rPr>
          <w:rFonts w:cs="Arial"/>
          <w:szCs w:val="20"/>
        </w:rPr>
        <w:t xml:space="preserve">, </w:t>
      </w:r>
      <w:r>
        <w:rPr>
          <w:rFonts w:cs="Arial"/>
          <w:szCs w:val="20"/>
          <w:lang w:eastAsia="sl-SI"/>
        </w:rPr>
        <w:t xml:space="preserve">Uredba o kadrovskih načrtih pa </w:t>
      </w:r>
      <w:r w:rsidRPr="00F31941">
        <w:rPr>
          <w:rFonts w:cs="Arial"/>
          <w:szCs w:val="20"/>
        </w:rPr>
        <w:t>med drugim določ</w:t>
      </w:r>
      <w:r>
        <w:rPr>
          <w:rFonts w:cs="Arial"/>
          <w:szCs w:val="20"/>
        </w:rPr>
        <w:t>a</w:t>
      </w:r>
      <w:r w:rsidRPr="00F31941">
        <w:rPr>
          <w:rFonts w:cs="Arial"/>
          <w:szCs w:val="20"/>
        </w:rPr>
        <w:t>, da ministrstvo, pristojno za javno upravo, spremlja uresničevanje skupnega kadrovskega načrta ter o tem pripravi letno poročilo.</w:t>
      </w:r>
      <w:r>
        <w:rPr>
          <w:rFonts w:cs="Arial"/>
          <w:szCs w:val="20"/>
        </w:rPr>
        <w:t xml:space="preserve"> </w:t>
      </w:r>
    </w:p>
    <w:p w14:paraId="6FAE8FE0" w14:textId="77777777" w:rsidR="0057294A" w:rsidRPr="0057294A" w:rsidRDefault="0057294A" w:rsidP="0057294A">
      <w:pPr>
        <w:pStyle w:val="Vir"/>
        <w:rPr>
          <w:rStyle w:val="VirZnak"/>
        </w:rPr>
      </w:pPr>
      <w:r>
        <w:t>Vir: Ministrstvo za javno upravo</w:t>
      </w:r>
    </w:p>
    <w:p w14:paraId="189AF03C" w14:textId="05BE08FC" w:rsidR="00364468" w:rsidRDefault="00364468" w:rsidP="00364468">
      <w:pPr>
        <w:pStyle w:val="Naslov2"/>
      </w:pPr>
      <w:r>
        <w:t xml:space="preserve">Poročilo o </w:t>
      </w:r>
      <w:proofErr w:type="gramStart"/>
      <w:r>
        <w:t xml:space="preserve">uresničevanju  </w:t>
      </w:r>
      <w:proofErr w:type="gramEnd"/>
      <w:r>
        <w:t>Zbirnega kadrovskega načrta  (ZKN) oseb javnega prava po 21. členu Zakona o javnih uslužbencih za leto 2025</w:t>
      </w:r>
    </w:p>
    <w:p w14:paraId="71203490" w14:textId="77777777" w:rsidR="00364468" w:rsidRDefault="00364468" w:rsidP="00364468">
      <w:r>
        <w:t xml:space="preserve">Vlada Republike Slovenije se je seznanila s Poročilom o uresničevanju Zbirnega kadrovskega </w:t>
      </w:r>
      <w:proofErr w:type="gramStart"/>
      <w:r>
        <w:t xml:space="preserve">načrta  </w:t>
      </w:r>
      <w:proofErr w:type="gramEnd"/>
      <w:r>
        <w:t>(ZKN) oseb javnega prava po 21. členu Zakona o javnih uslužbencih za leto 2025.</w:t>
      </w:r>
    </w:p>
    <w:p w14:paraId="7B8D62EF" w14:textId="77777777" w:rsidR="00364468" w:rsidRDefault="00364468" w:rsidP="00364468"/>
    <w:p w14:paraId="40EE8302" w14:textId="77777777" w:rsidR="00364468" w:rsidRDefault="00364468" w:rsidP="00364468">
      <w:pPr>
        <w:autoSpaceDE w:val="0"/>
        <w:autoSpaceDN w:val="0"/>
        <w:adjustRightInd w:val="0"/>
        <w:spacing w:line="240" w:lineRule="auto"/>
        <w:jc w:val="both"/>
        <w:rPr>
          <w:rFonts w:cs="Arial"/>
          <w:szCs w:val="20"/>
        </w:rPr>
      </w:pPr>
      <w:r>
        <w:t xml:space="preserve">V poročilu je prikazano dovoljeno število zaposlenih po ZKN za leto 2025, spremembe tega števila za leto 2025, </w:t>
      </w:r>
      <w:proofErr w:type="gramStart"/>
      <w:r>
        <w:t>realizacija</w:t>
      </w:r>
      <w:proofErr w:type="gramEnd"/>
      <w:r>
        <w:t xml:space="preserve"> ZKN za leto 2025 in doseganje dovoljenega števila zaposlenih na dan 31. 12. 2025. Poleg navedenega je prikazana tudi primerjava med </w:t>
      </w:r>
      <w:proofErr w:type="gramStart"/>
      <w:r>
        <w:t>realizacijo</w:t>
      </w:r>
      <w:proofErr w:type="gramEnd"/>
      <w:r>
        <w:t xml:space="preserve"> ZKN za leti 2024 in 2025 ter doseganjem dovoljenega števila zaposlenih na dan 31. 12. 2024 in na dan 31. 12. 2025. Poročilo potrjuje, da v letu 2025 ni prišlo do preseganja dovoljenega števila zaposlenih na ravni ZKN, na ravni posamezne osebe javnega prava pa je v Zavodu za pokojninsko in invalidsko zavarovanje Slovenije število zaposlenih nekoliko preseglo dovoljeno kvoto, in sicer za 15 zaposlenih. Skladno s pojasnilom resorno pristojnega ministrstva se je 15 dovoljenih zaposlitev začasno preneslo iz kadrovskega načrta Zavoda Republike Slovenije za zaposlovanje do </w:t>
      </w:r>
      <w:proofErr w:type="gramStart"/>
      <w:r>
        <w:t>15. 2. 2026</w:t>
      </w:r>
      <w:proofErr w:type="gramEnd"/>
      <w:r>
        <w:t>. Glede na navedeno</w:t>
      </w:r>
      <w:proofErr w:type="gramStart"/>
      <w:r>
        <w:t>,</w:t>
      </w:r>
      <w:proofErr w:type="gramEnd"/>
      <w:r>
        <w:t xml:space="preserve"> ministrstvo, pristojno za javno upravo, vladi ne predlaga nobenih ukrepov. </w:t>
      </w:r>
      <w:r>
        <w:rPr>
          <w:rFonts w:cs="Arial"/>
          <w:szCs w:val="20"/>
          <w:lang w:eastAsia="sl-SI"/>
        </w:rPr>
        <w:t xml:space="preserve">Poročilo bo objavljeno na </w:t>
      </w:r>
      <w:hyperlink r:id="rId14" w:history="1">
        <w:r w:rsidRPr="007A1EE8">
          <w:rPr>
            <w:rStyle w:val="Hiperpovezava"/>
            <w:rFonts w:cs="Arial"/>
            <w:szCs w:val="20"/>
            <w:lang w:eastAsia="sl-SI"/>
          </w:rPr>
          <w:t xml:space="preserve">Portalu </w:t>
        </w:r>
        <w:proofErr w:type="spellStart"/>
        <w:r w:rsidRPr="007A1EE8">
          <w:rPr>
            <w:rStyle w:val="Hiperpovezava"/>
            <w:rFonts w:cs="Arial"/>
            <w:szCs w:val="20"/>
            <w:lang w:eastAsia="sl-SI"/>
          </w:rPr>
          <w:t>Opsi</w:t>
        </w:r>
        <w:proofErr w:type="spellEnd"/>
      </w:hyperlink>
      <w:r>
        <w:rPr>
          <w:rFonts w:cs="Arial"/>
          <w:szCs w:val="20"/>
          <w:lang w:eastAsia="sl-SI"/>
        </w:rPr>
        <w:t>.</w:t>
      </w:r>
    </w:p>
    <w:p w14:paraId="1924BFD1" w14:textId="77777777" w:rsidR="00364468" w:rsidRDefault="00364468" w:rsidP="00364468">
      <w:pPr>
        <w:widowControl w:val="0"/>
        <w:spacing w:line="240" w:lineRule="auto"/>
        <w:jc w:val="both"/>
        <w:rPr>
          <w:rFonts w:cs="Arial"/>
          <w:color w:val="000000"/>
        </w:rPr>
      </w:pPr>
    </w:p>
    <w:p w14:paraId="31DF7178" w14:textId="77777777" w:rsidR="00364468" w:rsidRPr="007A1EE8" w:rsidRDefault="00364468" w:rsidP="00364468">
      <w:pPr>
        <w:spacing w:line="240" w:lineRule="auto"/>
        <w:jc w:val="both"/>
        <w:rPr>
          <w:rFonts w:cs="Arial"/>
          <w:szCs w:val="20"/>
        </w:rPr>
      </w:pPr>
      <w:r w:rsidRPr="00F31941">
        <w:rPr>
          <w:rFonts w:cs="Arial"/>
          <w:szCs w:val="20"/>
        </w:rPr>
        <w:t xml:space="preserve">Poročilo je pripravljeno na podlagi Zakona o javnih uslužbencih, </w:t>
      </w:r>
      <w:r>
        <w:rPr>
          <w:rFonts w:cs="Arial"/>
          <w:szCs w:val="20"/>
        </w:rPr>
        <w:t>ki</w:t>
      </w:r>
      <w:r w:rsidRPr="00F31941">
        <w:rPr>
          <w:rFonts w:cs="Arial"/>
          <w:szCs w:val="20"/>
        </w:rPr>
        <w:t xml:space="preserve"> določa, da organi sklepajo delovna razmerja in upravljajo </w:t>
      </w:r>
      <w:proofErr w:type="gramStart"/>
      <w:r w:rsidRPr="00F31941">
        <w:rPr>
          <w:rFonts w:cs="Arial"/>
          <w:szCs w:val="20"/>
        </w:rPr>
        <w:t>s kadrovskimi viri</w:t>
      </w:r>
      <w:proofErr w:type="gramEnd"/>
      <w:r w:rsidRPr="00F31941">
        <w:rPr>
          <w:rFonts w:cs="Arial"/>
          <w:szCs w:val="20"/>
        </w:rPr>
        <w:t xml:space="preserve"> v skladu s kadrovskimi načrti, v katerih se prikaže dejansko stanje zaposlenosti in načrtovane spremembe v številu javnih uslužbencev</w:t>
      </w:r>
      <w:r>
        <w:rPr>
          <w:rFonts w:cs="Arial"/>
          <w:szCs w:val="20"/>
        </w:rPr>
        <w:t>,</w:t>
      </w:r>
      <w:r w:rsidRPr="00F31941">
        <w:rPr>
          <w:rFonts w:cs="Arial"/>
          <w:szCs w:val="20"/>
        </w:rPr>
        <w:t xml:space="preserve"> </w:t>
      </w:r>
      <w:r>
        <w:rPr>
          <w:rFonts w:cs="Arial"/>
          <w:szCs w:val="20"/>
        </w:rPr>
        <w:t xml:space="preserve">Uredba o kadrovskih načrtih pa </w:t>
      </w:r>
      <w:r w:rsidRPr="00F31941">
        <w:rPr>
          <w:rFonts w:cs="Arial"/>
          <w:szCs w:val="20"/>
        </w:rPr>
        <w:t>določ</w:t>
      </w:r>
      <w:r>
        <w:rPr>
          <w:rFonts w:cs="Arial"/>
          <w:szCs w:val="20"/>
        </w:rPr>
        <w:t>a</w:t>
      </w:r>
      <w:r w:rsidRPr="00F31941">
        <w:rPr>
          <w:rFonts w:cs="Arial"/>
          <w:szCs w:val="20"/>
        </w:rPr>
        <w:t xml:space="preserve">, da </w:t>
      </w:r>
      <w:r>
        <w:rPr>
          <w:rFonts w:cs="Arial"/>
          <w:szCs w:val="20"/>
        </w:rPr>
        <w:t xml:space="preserve">pristojna </w:t>
      </w:r>
      <w:r w:rsidRPr="00967177">
        <w:rPr>
          <w:rFonts w:cs="Arial"/>
          <w:szCs w:val="20"/>
        </w:rPr>
        <w:t>ministrstva za osebe javnega prava v njihovi pristojnosti enkrat letno zberejo poročila o uresničevanju kadrovskih načrtov ter podatke o številu zaposlenih posredujejo ministrstvu, pristojnemu za javno upravo.</w:t>
      </w:r>
      <w:r>
        <w:rPr>
          <w:rFonts w:cs="Arial"/>
          <w:szCs w:val="20"/>
        </w:rPr>
        <w:t xml:space="preserve"> To</w:t>
      </w:r>
      <w:r w:rsidRPr="00967177">
        <w:rPr>
          <w:rFonts w:cs="Arial"/>
          <w:szCs w:val="20"/>
        </w:rPr>
        <w:t xml:space="preserve"> izdela skupno poročilo za vse osebe javnega prava ter ga posreduje vladi. Če oseba javnega prava presega dovoljeno število zaposlenih, predlaga vladi ustrezne ukrepe.</w:t>
      </w:r>
    </w:p>
    <w:p w14:paraId="06F2413E" w14:textId="77777777" w:rsidR="00364468" w:rsidRDefault="00364468" w:rsidP="00364468">
      <w:pPr>
        <w:pStyle w:val="Vir"/>
      </w:pPr>
      <w:r>
        <w:t>Vir: Ministrstvo za javno upravo</w:t>
      </w:r>
    </w:p>
    <w:p w14:paraId="3E8F9D9E" w14:textId="6FB92BF1" w:rsidR="00364468" w:rsidRDefault="00364468" w:rsidP="00364468">
      <w:pPr>
        <w:pStyle w:val="Naslov2"/>
      </w:pPr>
      <w:r>
        <w:t>Sprememba Skupnega kadrovskega načrta organov državne uprave za leti 2025 in 2026</w:t>
      </w:r>
    </w:p>
    <w:p w14:paraId="2969E45B" w14:textId="77777777" w:rsidR="00364468" w:rsidRDefault="00364468" w:rsidP="00364468">
      <w:r>
        <w:t xml:space="preserve">Skupni kadrovski načrt (SKN) organov državne uprave za leti 2025 in 2026 se zaradi prenosa kvot spremeni tako, da se za leto 2026: podaljša začasni prenos ene zaposlitve iz Ministrstva za kulturo v Ministrstvo za zunanje in evropske zadeve, zaradi predčasnega prenehanja začasne premestitve se v Ministrstvu za pravosodje poveča za eno kvoto dovoljenega števila zaposlenih, v Ministrstvu za zunanje in evropske zadeve pa za eno kvoto zmanjša, ena kvota trajno prenese iz Ministrstva za </w:t>
      </w:r>
      <w:r>
        <w:lastRenderedPageBreak/>
        <w:t>pravosodje v Upravo RS za izvrševanje kazenskih sankcij, ena kvota pa trajno prenese iz Ministrstva za infrastrukturo na Ministrstvo za javno upravo (v enotni kadrovski načrt upravnih enot).</w:t>
      </w:r>
    </w:p>
    <w:p w14:paraId="5E6A3792" w14:textId="77777777" w:rsidR="00364468" w:rsidRDefault="00364468" w:rsidP="00364468"/>
    <w:p w14:paraId="66F56916" w14:textId="2BE2C4F1" w:rsidR="00356CF6" w:rsidRPr="00356CF6" w:rsidRDefault="00364468" w:rsidP="00364468">
      <w:r>
        <w:t>Spremembe SKN so nujne, saj je bila v Državnem zboru sprejeta novela Zakona o Vladi Republike Slovenije, ki spreminja strukturo ministrstev. Zato je treba še pred uveljavitvijo navedenega zakona veljavni SKN uskladiti z že sprejetimi sporazumi o prenosu kvot, ki so jih sklenili posamezni organi, tako da bo stanje dovoljenega števila zaposlitev po posameznih resorjih jasno razvidno. Skupno število zaposlitev v SKN se ne povečuje, sredstva za prenose kvot pa morajo zagotoviti proračunski uporabniki v okviru sredstev za stroške dela v svojem finančnem načrtu.</w:t>
      </w:r>
    </w:p>
    <w:p w14:paraId="65E6858D" w14:textId="77777777" w:rsidR="00364468" w:rsidRDefault="00364468" w:rsidP="00364468">
      <w:pPr>
        <w:pStyle w:val="Vir"/>
      </w:pPr>
      <w:r>
        <w:t>Vir: Ministrstvo za javno upravo</w:t>
      </w:r>
    </w:p>
    <w:p w14:paraId="50727201" w14:textId="5BA50771" w:rsidR="00D07B1D" w:rsidRDefault="00D07B1D" w:rsidP="00D07B1D">
      <w:pPr>
        <w:pStyle w:val="Naslov2"/>
      </w:pPr>
      <w:r>
        <w:t>Vlada ugodila pritožbi Ministrstva za digitalno preobrazbo</w:t>
      </w:r>
    </w:p>
    <w:p w14:paraId="14B608D7" w14:textId="77777777" w:rsidR="00D07B1D" w:rsidRDefault="00D07B1D" w:rsidP="00D07B1D">
      <w:r>
        <w:t>Vlada je z odločbo ugodila pritožbi Ministrstva za digitalno preobrazbo in odpravila odločbo Urada Republike Slovenije za nadzor proračuna (UNP) v primeru inšpekcijskega nadzora nakupa prenosnih računalnikov ter javnega razpisa za sofinanciranje usposabljanj otrok in mladine za krepitev digitalnih kompetenc.</w:t>
      </w:r>
    </w:p>
    <w:p w14:paraId="267DD156" w14:textId="77777777" w:rsidR="00D07B1D" w:rsidRDefault="00D07B1D" w:rsidP="00D07B1D"/>
    <w:p w14:paraId="43D490AE" w14:textId="77777777" w:rsidR="00D07B1D" w:rsidRDefault="00D07B1D" w:rsidP="00D07B1D">
      <w:r>
        <w:t xml:space="preserve">UNP je v okviru inšpekcijskega nadzora preveril porabo proračunskih sredstev pri nakupu 13.000 prenosnih računalnikov, njihovo razdelitev ter javni razpis za sofinanciranje usposabljanj otrok in mladine za krepitev digitalnih kompetenc ter spodbujanje in promocijo naravoslovnih in tehniških poklicev iz maja 2023. </w:t>
      </w:r>
    </w:p>
    <w:p w14:paraId="4CBF4524" w14:textId="77777777" w:rsidR="00D07B1D" w:rsidRDefault="00D07B1D" w:rsidP="00D07B1D">
      <w:r>
        <w:t xml:space="preserve"> </w:t>
      </w:r>
    </w:p>
    <w:p w14:paraId="60CC5F6D" w14:textId="77777777" w:rsidR="00D07B1D" w:rsidRDefault="00D07B1D" w:rsidP="00D07B1D">
      <w:r>
        <w:t>UNP je ministrstvu med drugim naložil vračilo porabljenih sredstev v državni proračun, ministrstvo pa se je zaradi zmotne uporabe materialnega prava zoper odločbo UNP pritožilo.</w:t>
      </w:r>
    </w:p>
    <w:p w14:paraId="1B75C146" w14:textId="77777777" w:rsidR="00D07B1D" w:rsidRDefault="00D07B1D" w:rsidP="00D07B1D">
      <w:r>
        <w:t xml:space="preserve"> </w:t>
      </w:r>
    </w:p>
    <w:p w14:paraId="0F846AC2" w14:textId="77777777" w:rsidR="00D07B1D" w:rsidRDefault="00D07B1D" w:rsidP="00D07B1D">
      <w:r>
        <w:t>Vlada je naložitev ukrepa UNP o vračilu porabljenih proračunskih sredstev preučila v luči določbe drugega odstavka 55. člena Zakona o javnih financah. Ker v ugotovitvenem postopku ni bilo ugotovljeno, da bi bila proračunska sredstva uporabljena v nasprotju z zakonom ali s postopki, ki jih za prevzemanje in plačevanje obveznosti določajo javnofinančni predpisi, je vlada</w:t>
      </w:r>
      <w:proofErr w:type="gramStart"/>
      <w:r>
        <w:t xml:space="preserve"> kot</w:t>
      </w:r>
      <w:proofErr w:type="gramEnd"/>
      <w:r>
        <w:t xml:space="preserve"> organ druge stopnje odločbo UNP odpravila, s čimer se je konkretni postopek inšpekcijskega nadzora ustavil.</w:t>
      </w:r>
    </w:p>
    <w:p w14:paraId="7F02E975" w14:textId="66003D29" w:rsidR="00D07B1D" w:rsidRDefault="00D07B1D" w:rsidP="00D07B1D">
      <w:pPr>
        <w:pStyle w:val="Vir"/>
      </w:pPr>
      <w:r>
        <w:t>Vir: Ministrstvo za digitalno preobrazbo</w:t>
      </w:r>
    </w:p>
    <w:p w14:paraId="06705724" w14:textId="07C85D3D" w:rsidR="0057294A" w:rsidRDefault="00026CE0" w:rsidP="00026CE0">
      <w:pPr>
        <w:pStyle w:val="Naslov2"/>
      </w:pPr>
      <w:r>
        <w:t xml:space="preserve">Vlada razrešila </w:t>
      </w:r>
      <w:r w:rsidR="0057294A">
        <w:t>državnega sekretarja v Ministrstvu za kohezijo in regionalni razvoj</w:t>
      </w:r>
    </w:p>
    <w:p w14:paraId="43ED7B9C" w14:textId="1E499229" w:rsidR="00026CE0" w:rsidRDefault="00026CE0" w:rsidP="00026CE0">
      <w:pPr>
        <w:spacing w:after="200" w:line="276" w:lineRule="auto"/>
        <w:jc w:val="both"/>
        <w:rPr>
          <w:rFonts w:eastAsia="Calibri" w:cs="Arial"/>
          <w:color w:val="000000"/>
          <w:szCs w:val="20"/>
        </w:rPr>
      </w:pPr>
      <w:r>
        <w:t>Mag. Marko Koprivc je ministru za kohezijo in regionalni razvoj podal odstopno izjavo za razrešitev s funkcije državnega sekretarja</w:t>
      </w:r>
      <w:r>
        <w:t xml:space="preserve"> </w:t>
      </w:r>
      <w:r>
        <w:t>zaradi osebnih razlogov.</w:t>
      </w:r>
      <w:r>
        <w:t xml:space="preserve"> </w:t>
      </w:r>
      <w:r>
        <w:t>Na podlagi navedenega</w:t>
      </w:r>
      <w:r>
        <w:t xml:space="preserve"> je vlada </w:t>
      </w:r>
      <w:r w:rsidRPr="00321923">
        <w:rPr>
          <w:rFonts w:eastAsia="Calibri" w:cs="Arial"/>
          <w:color w:val="000000"/>
          <w:szCs w:val="20"/>
        </w:rPr>
        <w:t xml:space="preserve">mag. </w:t>
      </w:r>
      <w:r>
        <w:rPr>
          <w:rFonts w:eastAsia="Calibri" w:cs="Arial"/>
          <w:color w:val="000000"/>
          <w:szCs w:val="20"/>
        </w:rPr>
        <w:t>Mark</w:t>
      </w:r>
      <w:r>
        <w:rPr>
          <w:rFonts w:eastAsia="Calibri" w:cs="Arial"/>
          <w:color w:val="000000"/>
          <w:szCs w:val="20"/>
        </w:rPr>
        <w:t>a</w:t>
      </w:r>
      <w:r>
        <w:rPr>
          <w:rFonts w:eastAsia="Calibri" w:cs="Arial"/>
          <w:color w:val="000000"/>
          <w:szCs w:val="20"/>
        </w:rPr>
        <w:t xml:space="preserve"> Koprivc</w:t>
      </w:r>
      <w:r>
        <w:rPr>
          <w:rFonts w:eastAsia="Calibri" w:cs="Arial"/>
          <w:color w:val="000000"/>
          <w:szCs w:val="20"/>
        </w:rPr>
        <w:t>a z</w:t>
      </w:r>
      <w:r w:rsidRPr="00321923">
        <w:rPr>
          <w:rFonts w:eastAsia="Calibri" w:cs="Arial"/>
          <w:color w:val="000000"/>
          <w:szCs w:val="20"/>
        </w:rPr>
        <w:t xml:space="preserve"> </w:t>
      </w:r>
      <w:r>
        <w:rPr>
          <w:rFonts w:eastAsia="Calibri" w:cs="Arial"/>
          <w:color w:val="000000"/>
          <w:szCs w:val="20"/>
        </w:rPr>
        <w:t>31</w:t>
      </w:r>
      <w:r w:rsidRPr="00321923">
        <w:rPr>
          <w:rFonts w:eastAsia="Calibri" w:cs="Arial"/>
          <w:color w:val="000000"/>
          <w:szCs w:val="20"/>
        </w:rPr>
        <w:t>. </w:t>
      </w:r>
      <w:r>
        <w:rPr>
          <w:rFonts w:eastAsia="Calibri" w:cs="Arial"/>
          <w:color w:val="000000"/>
          <w:szCs w:val="20"/>
        </w:rPr>
        <w:t xml:space="preserve">majem </w:t>
      </w:r>
      <w:r w:rsidRPr="00321923">
        <w:rPr>
          <w:rFonts w:eastAsia="Calibri" w:cs="Arial"/>
          <w:color w:val="000000"/>
          <w:szCs w:val="20"/>
        </w:rPr>
        <w:t xml:space="preserve">2026 </w:t>
      </w:r>
      <w:r>
        <w:rPr>
          <w:rFonts w:eastAsia="Calibri" w:cs="Arial"/>
          <w:color w:val="000000"/>
          <w:szCs w:val="20"/>
        </w:rPr>
        <w:t xml:space="preserve">razrešila s položaja </w:t>
      </w:r>
      <w:r w:rsidRPr="00321923">
        <w:rPr>
          <w:rFonts w:eastAsia="Calibri" w:cs="Arial"/>
          <w:color w:val="000000"/>
          <w:szCs w:val="20"/>
        </w:rPr>
        <w:t xml:space="preserve">državnega sekretarja v </w:t>
      </w:r>
      <w:r>
        <w:rPr>
          <w:rFonts w:eastAsia="Calibri" w:cs="Arial"/>
          <w:color w:val="000000"/>
          <w:szCs w:val="20"/>
        </w:rPr>
        <w:t xml:space="preserve">Ministrstvu za kohezijo in regionalni razvoj. </w:t>
      </w:r>
    </w:p>
    <w:p w14:paraId="46D2C2AE" w14:textId="3123BA42" w:rsidR="00026CE0" w:rsidRPr="00321923" w:rsidRDefault="00026CE0" w:rsidP="00026CE0">
      <w:pPr>
        <w:spacing w:after="200" w:line="276" w:lineRule="auto"/>
        <w:jc w:val="both"/>
        <w:rPr>
          <w:rFonts w:cs="Arial"/>
        </w:rPr>
      </w:pPr>
      <w:r>
        <w:t>Vir: Ministrstvo za kohezijo in regionalni razvoj</w:t>
      </w:r>
    </w:p>
    <w:p w14:paraId="2F618670" w14:textId="7A456E39" w:rsidR="00301A4B" w:rsidRDefault="00301A4B" w:rsidP="00301A4B">
      <w:pPr>
        <w:pStyle w:val="Naslov2"/>
      </w:pPr>
      <w:r>
        <w:t>Razrešitev državne sekretarke Maše Žagar v Ministrstvu za kmetijstvo, gozdarstvo in prehrano</w:t>
      </w:r>
    </w:p>
    <w:p w14:paraId="127D480D" w14:textId="77777777" w:rsidR="00301A4B" w:rsidRDefault="00301A4B" w:rsidP="00301A4B">
      <w:r>
        <w:t xml:space="preserve">Vlada se je seznanila z odstopom Maše Žagar s funkcije državne sekretarke v Ministrstvu za kmetijstvo, gozdarstvo in prehrano (MKGP). Funkcija ji preneha 28. maja 2026. </w:t>
      </w:r>
    </w:p>
    <w:p w14:paraId="6B41CE45" w14:textId="77777777" w:rsidR="00301A4B" w:rsidRDefault="00301A4B" w:rsidP="00301A4B"/>
    <w:p w14:paraId="56932C12" w14:textId="77777777" w:rsidR="00301A4B" w:rsidRDefault="00301A4B" w:rsidP="00301A4B">
      <w:r>
        <w:t xml:space="preserve">Mandat državne sekretarke je nastopila 1. maja 2025. </w:t>
      </w:r>
    </w:p>
    <w:p w14:paraId="0B740E5B" w14:textId="32E64AAC" w:rsidR="00301A4B" w:rsidRDefault="00301A4B" w:rsidP="00301A4B">
      <w:pPr>
        <w:pStyle w:val="Vir"/>
      </w:pPr>
      <w:r>
        <w:t>Vir: Ministrstvo za kmetijstvo, gozdarstvo in prehrano</w:t>
      </w:r>
    </w:p>
    <w:p w14:paraId="69530772" w14:textId="021B46FC" w:rsidR="00830B54" w:rsidRDefault="00830B54" w:rsidP="00830B54">
      <w:pPr>
        <w:pStyle w:val="Naslov2"/>
      </w:pPr>
      <w:r>
        <w:lastRenderedPageBreak/>
        <w:t>Vlada določila Onkološki inštitut Ljubljana, Zavod Republike Slovenije za transfuzijsko medicino in Splošno bolnišnico Slovenj Gradec za upravljavce določenih nepremičnin v lasti Republike Slovenije</w:t>
      </w:r>
    </w:p>
    <w:p w14:paraId="207242C4" w14:textId="77777777" w:rsidR="00830B54" w:rsidRDefault="00830B54" w:rsidP="00830B54">
      <w:r>
        <w:t>Vlada Republike Slovenije je na današnji seji sprejela sklepe, s katerim je Onkološki inštitut Ljubljana, Zavod Republike Slovenije za transfuzijsko medicino in Splošno bolnišnico Slovenj Gradec določila za dokončne upravljavce več nepremičnin v lasti Republike Slovenije, ki so jih zavodi že uporabljali za izvajanje svoje dejavnosti. Gre za ureditev statusa nepremičnin, pri katerih so bili omenjeni zavodi v katastru nepremičnin doslej vpisani kot začasni upravljavci. S sprejetimi sklepi pa bodo zavodi pridobili status dokončnih upravljavcev za določene stavbe, zemljišča in posamezne dele stavb.</w:t>
      </w:r>
    </w:p>
    <w:p w14:paraId="5A78251B" w14:textId="77777777" w:rsidR="00830B54" w:rsidRDefault="00830B54" w:rsidP="00830B54">
      <w:r>
        <w:t xml:space="preserve"> </w:t>
      </w:r>
    </w:p>
    <w:p w14:paraId="4E3456B9" w14:textId="77777777" w:rsidR="00830B54" w:rsidRDefault="00830B54" w:rsidP="00830B54">
      <w:r>
        <w:t>To bo prispevalo k uskladitvi evidenc in urejanju upravljanja državnega premoženja ter omogoča jasnejše in učinkovitejše upravljanje nepremičnin, ki jih uporabljajo Onkološki inštitut Ljubljana, Zavod Republike Slovenije za transfuzijsko medicino in Splošna bolnišnica Slovenj Gradec.</w:t>
      </w:r>
    </w:p>
    <w:p w14:paraId="60253529" w14:textId="214D6F35" w:rsidR="00830B54" w:rsidRDefault="00830B54" w:rsidP="00830B54">
      <w:pPr>
        <w:pStyle w:val="Vir"/>
      </w:pPr>
      <w:r w:rsidRPr="00830B54">
        <w:t>Vir: Ministrstvo za zdravje</w:t>
      </w:r>
    </w:p>
    <w:p w14:paraId="0EA14F2F" w14:textId="4EFA7933" w:rsidR="00A50A85" w:rsidRDefault="00A50A85" w:rsidP="00A50A85">
      <w:pPr>
        <w:pStyle w:val="Naslov2"/>
      </w:pPr>
      <w:r>
        <w:t>Vlada razrešila državno sekretarko na Ministrstvu za vzgojo in izobraževanje</w:t>
      </w:r>
    </w:p>
    <w:p w14:paraId="644B2217" w14:textId="77777777" w:rsidR="00A50A85" w:rsidRDefault="00A50A85" w:rsidP="00A50A85">
      <w:r>
        <w:t>Vlada je razrešila državno sekretarko na Ministrstvu za vzgojo in izobraževanje Janjo Zupančič, ki je bila na ta položaj imenovana 8. oktobra 2024.</w:t>
      </w:r>
    </w:p>
    <w:p w14:paraId="3167C571" w14:textId="77777777" w:rsidR="00A50A85" w:rsidRDefault="00A50A85" w:rsidP="00A50A85"/>
    <w:p w14:paraId="750E47E7" w14:textId="77777777" w:rsidR="00A50A85" w:rsidRDefault="00A50A85" w:rsidP="00A50A85">
      <w:r>
        <w:t>Zakon o državni upravi določa, da državnega sekretarja imenuje in razrešuje vlada na predlog ministra. V skladu z Zakonom o Vladi Republike Slovenije državnemu sekretarju preneha funkcija z razrešitvijo, odstopom ali s prenehanjem funkcije tistega, ki ga je predlagal v imenovanje.</w:t>
      </w:r>
    </w:p>
    <w:p w14:paraId="3FE9708A" w14:textId="77777777" w:rsidR="00A50A85" w:rsidRDefault="00A50A85" w:rsidP="00A50A85"/>
    <w:p w14:paraId="798F2F47" w14:textId="54B2497C" w:rsidR="00A50A85" w:rsidRDefault="00A50A85" w:rsidP="00A50A85">
      <w:r>
        <w:t>Državna sekretarka je ministru za vzgojo in izobraževanje dala odstopno izjavo za prenehanje opravljanja naloge omenjene funkcije, ki jo je minister tudi sprejel</w:t>
      </w:r>
      <w:proofErr w:type="gramStart"/>
      <w:r>
        <w:t xml:space="preserve"> in</w:t>
      </w:r>
      <w:proofErr w:type="gramEnd"/>
      <w:r>
        <w:t xml:space="preserve"> predlagal vladi njeno razrešitev.</w:t>
      </w:r>
    </w:p>
    <w:p w14:paraId="22D04197" w14:textId="0515AC22" w:rsidR="00B4183B" w:rsidRDefault="00A50A85" w:rsidP="00A50A85">
      <w:pPr>
        <w:pStyle w:val="Vir"/>
      </w:pPr>
      <w:r>
        <w:t>Vir: Ministrstvo za vzgojo in izobraževanje</w:t>
      </w:r>
    </w:p>
    <w:p w14:paraId="11B33FE7" w14:textId="1576C159" w:rsidR="00E5208F" w:rsidRDefault="00E5208F" w:rsidP="00E5208F">
      <w:pPr>
        <w:pStyle w:val="Naslov2"/>
      </w:pPr>
      <w:r w:rsidRPr="00E5208F">
        <w:t xml:space="preserve">Prenehanje opravljanja funkcije državnega sekretarja v Kabinetu predsednika </w:t>
      </w:r>
      <w:r w:rsidR="00026CE0">
        <w:t>v</w:t>
      </w:r>
      <w:r w:rsidRPr="00E5208F">
        <w:t>lade</w:t>
      </w:r>
    </w:p>
    <w:p w14:paraId="0599324C" w14:textId="24A72EA0" w:rsidR="00E5208F" w:rsidRDefault="00E5208F" w:rsidP="00E5208F">
      <w:r w:rsidRPr="00E5208F">
        <w:t xml:space="preserve">Vlada Republike Slovenije je ugotovila, da bo državni sekretar v </w:t>
      </w:r>
      <w:proofErr w:type="gramStart"/>
      <w:r w:rsidRPr="00E5208F">
        <w:t>Kabinetu predsednika Vlade</w:t>
      </w:r>
      <w:proofErr w:type="gramEnd"/>
      <w:r w:rsidRPr="00E5208F">
        <w:t xml:space="preserve"> Republike Slovenije Danijel Levičar prenehal z opravljanjem nalog funkcije 31. 5. 2026. </w:t>
      </w:r>
    </w:p>
    <w:p w14:paraId="65D2D198" w14:textId="5CCB7D77" w:rsidR="00E5208F" w:rsidRDefault="00E5208F" w:rsidP="00E5208F">
      <w:r w:rsidRPr="00E5208F">
        <w:br/>
      </w:r>
      <w:r w:rsidRPr="00E5208F">
        <w:rPr>
          <w:rStyle w:val="VirZnak"/>
        </w:rPr>
        <w:t>Vir: Kabinet predsednika vlade</w:t>
      </w:r>
    </w:p>
    <w:p w14:paraId="0A5479D7" w14:textId="77777777" w:rsidR="00E5208F" w:rsidRPr="00E5208F" w:rsidRDefault="00E5208F" w:rsidP="00E5208F"/>
    <w:sectPr w:rsidR="00E5208F" w:rsidRPr="00E5208F"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E588" w14:textId="77777777" w:rsidR="00F944D8" w:rsidRDefault="00F944D8" w:rsidP="00750D01">
      <w:pPr>
        <w:spacing w:line="240" w:lineRule="auto"/>
      </w:pPr>
      <w:r>
        <w:separator/>
      </w:r>
    </w:p>
  </w:endnote>
  <w:endnote w:type="continuationSeparator" w:id="0">
    <w:p w14:paraId="0FE7AAFE" w14:textId="77777777" w:rsidR="00F944D8" w:rsidRDefault="00F944D8"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A262" w14:textId="77777777" w:rsidR="00F944D8" w:rsidRDefault="00F944D8" w:rsidP="00750D01">
      <w:pPr>
        <w:spacing w:line="240" w:lineRule="auto"/>
      </w:pPr>
      <w:r>
        <w:separator/>
      </w:r>
    </w:p>
  </w:footnote>
  <w:footnote w:type="continuationSeparator" w:id="0">
    <w:p w14:paraId="411EDA09" w14:textId="77777777" w:rsidR="00F944D8" w:rsidRDefault="00F944D8"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2E2A16"/>
    <w:multiLevelType w:val="hybridMultilevel"/>
    <w:tmpl w:val="9C5AB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3C72E7"/>
    <w:multiLevelType w:val="hybridMultilevel"/>
    <w:tmpl w:val="97ECC9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1"/>
  </w:num>
  <w:num w:numId="2" w16cid:durableId="984821814">
    <w:abstractNumId w:val="6"/>
  </w:num>
  <w:num w:numId="3" w16cid:durableId="150218247">
    <w:abstractNumId w:val="0"/>
  </w:num>
  <w:num w:numId="4" w16cid:durableId="1026903286">
    <w:abstractNumId w:val="7"/>
  </w:num>
  <w:num w:numId="5" w16cid:durableId="231817878">
    <w:abstractNumId w:val="2"/>
  </w:num>
  <w:num w:numId="6" w16cid:durableId="2110814889">
    <w:abstractNumId w:val="12"/>
  </w:num>
  <w:num w:numId="7" w16cid:durableId="695153758">
    <w:abstractNumId w:val="3"/>
  </w:num>
  <w:num w:numId="8" w16cid:durableId="853298866">
    <w:abstractNumId w:val="5"/>
  </w:num>
  <w:num w:numId="9" w16cid:durableId="1789348953">
    <w:abstractNumId w:val="1"/>
  </w:num>
  <w:num w:numId="10" w16cid:durableId="1415012333">
    <w:abstractNumId w:val="9"/>
  </w:num>
  <w:num w:numId="11" w16cid:durableId="886650520">
    <w:abstractNumId w:val="4"/>
  </w:num>
  <w:num w:numId="12" w16cid:durableId="1205872064">
    <w:abstractNumId w:val="10"/>
  </w:num>
  <w:num w:numId="13" w16cid:durableId="750467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26CE0"/>
    <w:rsid w:val="000309B2"/>
    <w:rsid w:val="00031880"/>
    <w:rsid w:val="000318E4"/>
    <w:rsid w:val="00050A56"/>
    <w:rsid w:val="000610D5"/>
    <w:rsid w:val="00076DF7"/>
    <w:rsid w:val="00077C5C"/>
    <w:rsid w:val="00082844"/>
    <w:rsid w:val="00085D04"/>
    <w:rsid w:val="00087069"/>
    <w:rsid w:val="00087A14"/>
    <w:rsid w:val="000928C7"/>
    <w:rsid w:val="00093920"/>
    <w:rsid w:val="00097B85"/>
    <w:rsid w:val="000B1D39"/>
    <w:rsid w:val="000B21EC"/>
    <w:rsid w:val="000C4B9F"/>
    <w:rsid w:val="000D5520"/>
    <w:rsid w:val="000E0657"/>
    <w:rsid w:val="000E662C"/>
    <w:rsid w:val="00110932"/>
    <w:rsid w:val="00110B8F"/>
    <w:rsid w:val="00111A16"/>
    <w:rsid w:val="00113F85"/>
    <w:rsid w:val="0012724F"/>
    <w:rsid w:val="0013016C"/>
    <w:rsid w:val="00151CDF"/>
    <w:rsid w:val="001602C9"/>
    <w:rsid w:val="00161638"/>
    <w:rsid w:val="0016530C"/>
    <w:rsid w:val="001673A5"/>
    <w:rsid w:val="00173343"/>
    <w:rsid w:val="001A327A"/>
    <w:rsid w:val="001B01DD"/>
    <w:rsid w:val="001B42F9"/>
    <w:rsid w:val="001C3560"/>
    <w:rsid w:val="001C5F19"/>
    <w:rsid w:val="001D4277"/>
    <w:rsid w:val="001D69D6"/>
    <w:rsid w:val="001F51BC"/>
    <w:rsid w:val="001F7F63"/>
    <w:rsid w:val="00203CAB"/>
    <w:rsid w:val="00203F5F"/>
    <w:rsid w:val="00215140"/>
    <w:rsid w:val="00220CDD"/>
    <w:rsid w:val="0022511A"/>
    <w:rsid w:val="00231021"/>
    <w:rsid w:val="00236C0A"/>
    <w:rsid w:val="002501CE"/>
    <w:rsid w:val="002856E5"/>
    <w:rsid w:val="002C0766"/>
    <w:rsid w:val="002C36A6"/>
    <w:rsid w:val="002D5B5D"/>
    <w:rsid w:val="002E3F96"/>
    <w:rsid w:val="002F3BE7"/>
    <w:rsid w:val="00301A4B"/>
    <w:rsid w:val="00302938"/>
    <w:rsid w:val="0032428F"/>
    <w:rsid w:val="0033519E"/>
    <w:rsid w:val="00346E22"/>
    <w:rsid w:val="00351E1E"/>
    <w:rsid w:val="00356CF6"/>
    <w:rsid w:val="00357DC0"/>
    <w:rsid w:val="00361255"/>
    <w:rsid w:val="00363A41"/>
    <w:rsid w:val="00364468"/>
    <w:rsid w:val="003751F2"/>
    <w:rsid w:val="00381018"/>
    <w:rsid w:val="003847C8"/>
    <w:rsid w:val="003877EB"/>
    <w:rsid w:val="00390DF7"/>
    <w:rsid w:val="0039293A"/>
    <w:rsid w:val="00395E65"/>
    <w:rsid w:val="0039662C"/>
    <w:rsid w:val="003A27B2"/>
    <w:rsid w:val="003A3742"/>
    <w:rsid w:val="003B7E8C"/>
    <w:rsid w:val="003D64D8"/>
    <w:rsid w:val="003E17B6"/>
    <w:rsid w:val="003E1B89"/>
    <w:rsid w:val="003E52B9"/>
    <w:rsid w:val="003E6170"/>
    <w:rsid w:val="003E71AB"/>
    <w:rsid w:val="003F4CC5"/>
    <w:rsid w:val="0041276C"/>
    <w:rsid w:val="00415527"/>
    <w:rsid w:val="00431C65"/>
    <w:rsid w:val="00432937"/>
    <w:rsid w:val="00435CF5"/>
    <w:rsid w:val="004403EC"/>
    <w:rsid w:val="0044693A"/>
    <w:rsid w:val="00447B57"/>
    <w:rsid w:val="00453636"/>
    <w:rsid w:val="0045565C"/>
    <w:rsid w:val="00455B63"/>
    <w:rsid w:val="00460370"/>
    <w:rsid w:val="00465AB5"/>
    <w:rsid w:val="00472762"/>
    <w:rsid w:val="004A00A8"/>
    <w:rsid w:val="004A7BFC"/>
    <w:rsid w:val="004A7CAD"/>
    <w:rsid w:val="004B4753"/>
    <w:rsid w:val="004B7346"/>
    <w:rsid w:val="004C3F67"/>
    <w:rsid w:val="004C721D"/>
    <w:rsid w:val="004F41DC"/>
    <w:rsid w:val="00514121"/>
    <w:rsid w:val="00522637"/>
    <w:rsid w:val="00525FD7"/>
    <w:rsid w:val="0052731E"/>
    <w:rsid w:val="00527867"/>
    <w:rsid w:val="00527AA5"/>
    <w:rsid w:val="005314D7"/>
    <w:rsid w:val="00544398"/>
    <w:rsid w:val="005458D4"/>
    <w:rsid w:val="005515BD"/>
    <w:rsid w:val="0057294A"/>
    <w:rsid w:val="005740C1"/>
    <w:rsid w:val="0059143B"/>
    <w:rsid w:val="005A570D"/>
    <w:rsid w:val="005B5886"/>
    <w:rsid w:val="005C1523"/>
    <w:rsid w:val="005C7596"/>
    <w:rsid w:val="005E1ABB"/>
    <w:rsid w:val="00614FFD"/>
    <w:rsid w:val="00626A98"/>
    <w:rsid w:val="006274BB"/>
    <w:rsid w:val="00634EFA"/>
    <w:rsid w:val="00635D43"/>
    <w:rsid w:val="006367B9"/>
    <w:rsid w:val="006404BA"/>
    <w:rsid w:val="0064180E"/>
    <w:rsid w:val="0066249C"/>
    <w:rsid w:val="0067375D"/>
    <w:rsid w:val="00676F03"/>
    <w:rsid w:val="00685377"/>
    <w:rsid w:val="006906AF"/>
    <w:rsid w:val="00691228"/>
    <w:rsid w:val="00693BA3"/>
    <w:rsid w:val="006B3F12"/>
    <w:rsid w:val="006C0E77"/>
    <w:rsid w:val="006C1B31"/>
    <w:rsid w:val="006C37D7"/>
    <w:rsid w:val="006C692B"/>
    <w:rsid w:val="006F29FA"/>
    <w:rsid w:val="0070324C"/>
    <w:rsid w:val="0071171B"/>
    <w:rsid w:val="007120FD"/>
    <w:rsid w:val="007130E1"/>
    <w:rsid w:val="00716545"/>
    <w:rsid w:val="00717E59"/>
    <w:rsid w:val="007219B5"/>
    <w:rsid w:val="007258EE"/>
    <w:rsid w:val="0073796B"/>
    <w:rsid w:val="00750D01"/>
    <w:rsid w:val="0075264D"/>
    <w:rsid w:val="007578E5"/>
    <w:rsid w:val="007643A0"/>
    <w:rsid w:val="007669A3"/>
    <w:rsid w:val="00767A18"/>
    <w:rsid w:val="00781345"/>
    <w:rsid w:val="00784E57"/>
    <w:rsid w:val="007924F9"/>
    <w:rsid w:val="0079749C"/>
    <w:rsid w:val="007A6460"/>
    <w:rsid w:val="007B0ADD"/>
    <w:rsid w:val="007B4D5C"/>
    <w:rsid w:val="007B515F"/>
    <w:rsid w:val="007C21FB"/>
    <w:rsid w:val="007E198F"/>
    <w:rsid w:val="007F5D6B"/>
    <w:rsid w:val="007F6EE3"/>
    <w:rsid w:val="007F6EF7"/>
    <w:rsid w:val="008009B8"/>
    <w:rsid w:val="00801A29"/>
    <w:rsid w:val="008220A3"/>
    <w:rsid w:val="008244C0"/>
    <w:rsid w:val="00830B54"/>
    <w:rsid w:val="008336E7"/>
    <w:rsid w:val="00836E94"/>
    <w:rsid w:val="00844BB8"/>
    <w:rsid w:val="00845DEC"/>
    <w:rsid w:val="00847AD3"/>
    <w:rsid w:val="00851FE1"/>
    <w:rsid w:val="008522C0"/>
    <w:rsid w:val="008624E8"/>
    <w:rsid w:val="008674FF"/>
    <w:rsid w:val="00871821"/>
    <w:rsid w:val="0088720B"/>
    <w:rsid w:val="008A16D8"/>
    <w:rsid w:val="008B6738"/>
    <w:rsid w:val="008B7AF2"/>
    <w:rsid w:val="008C0D30"/>
    <w:rsid w:val="008C4231"/>
    <w:rsid w:val="008C4BFB"/>
    <w:rsid w:val="008D49BD"/>
    <w:rsid w:val="00905C96"/>
    <w:rsid w:val="009174DA"/>
    <w:rsid w:val="00933061"/>
    <w:rsid w:val="00933087"/>
    <w:rsid w:val="00945B27"/>
    <w:rsid w:val="009461B4"/>
    <w:rsid w:val="009540E4"/>
    <w:rsid w:val="00955926"/>
    <w:rsid w:val="00974186"/>
    <w:rsid w:val="009743AB"/>
    <w:rsid w:val="00983241"/>
    <w:rsid w:val="009900DE"/>
    <w:rsid w:val="009A41AA"/>
    <w:rsid w:val="009B0929"/>
    <w:rsid w:val="009B3707"/>
    <w:rsid w:val="009B4A5A"/>
    <w:rsid w:val="009C2C98"/>
    <w:rsid w:val="009C2D77"/>
    <w:rsid w:val="009C562E"/>
    <w:rsid w:val="009D10D1"/>
    <w:rsid w:val="009D3209"/>
    <w:rsid w:val="009F136D"/>
    <w:rsid w:val="009F37F4"/>
    <w:rsid w:val="009F4DB0"/>
    <w:rsid w:val="00A06971"/>
    <w:rsid w:val="00A30052"/>
    <w:rsid w:val="00A34FC4"/>
    <w:rsid w:val="00A445DF"/>
    <w:rsid w:val="00A50A85"/>
    <w:rsid w:val="00A521C4"/>
    <w:rsid w:val="00A5415F"/>
    <w:rsid w:val="00A60A37"/>
    <w:rsid w:val="00A60FBF"/>
    <w:rsid w:val="00A67305"/>
    <w:rsid w:val="00A726C3"/>
    <w:rsid w:val="00A7406B"/>
    <w:rsid w:val="00A7412B"/>
    <w:rsid w:val="00AB1DC2"/>
    <w:rsid w:val="00AD1AFD"/>
    <w:rsid w:val="00AD5A82"/>
    <w:rsid w:val="00AE6CD6"/>
    <w:rsid w:val="00AF2612"/>
    <w:rsid w:val="00AF5FC8"/>
    <w:rsid w:val="00B022E5"/>
    <w:rsid w:val="00B06EAB"/>
    <w:rsid w:val="00B10433"/>
    <w:rsid w:val="00B156F8"/>
    <w:rsid w:val="00B4183B"/>
    <w:rsid w:val="00B423C1"/>
    <w:rsid w:val="00B43836"/>
    <w:rsid w:val="00B47F61"/>
    <w:rsid w:val="00B53301"/>
    <w:rsid w:val="00B53594"/>
    <w:rsid w:val="00B57043"/>
    <w:rsid w:val="00B602CF"/>
    <w:rsid w:val="00B60F58"/>
    <w:rsid w:val="00B70F5B"/>
    <w:rsid w:val="00B753A8"/>
    <w:rsid w:val="00B84862"/>
    <w:rsid w:val="00B903E5"/>
    <w:rsid w:val="00B94D8D"/>
    <w:rsid w:val="00BA743D"/>
    <w:rsid w:val="00BB1111"/>
    <w:rsid w:val="00BB4431"/>
    <w:rsid w:val="00BB73C0"/>
    <w:rsid w:val="00BE0ABD"/>
    <w:rsid w:val="00BE185E"/>
    <w:rsid w:val="00BE5C43"/>
    <w:rsid w:val="00BF79C4"/>
    <w:rsid w:val="00C13976"/>
    <w:rsid w:val="00C3152B"/>
    <w:rsid w:val="00C354D9"/>
    <w:rsid w:val="00C365A8"/>
    <w:rsid w:val="00C43D34"/>
    <w:rsid w:val="00C458C2"/>
    <w:rsid w:val="00C666AC"/>
    <w:rsid w:val="00C843E1"/>
    <w:rsid w:val="00C97F7B"/>
    <w:rsid w:val="00CA5624"/>
    <w:rsid w:val="00CB7ADA"/>
    <w:rsid w:val="00CC2CC5"/>
    <w:rsid w:val="00CC3123"/>
    <w:rsid w:val="00CC3530"/>
    <w:rsid w:val="00CC37B3"/>
    <w:rsid w:val="00CE21D5"/>
    <w:rsid w:val="00CE45D7"/>
    <w:rsid w:val="00CF099E"/>
    <w:rsid w:val="00D07B1D"/>
    <w:rsid w:val="00D10DC6"/>
    <w:rsid w:val="00D10EB4"/>
    <w:rsid w:val="00D14EEC"/>
    <w:rsid w:val="00D22282"/>
    <w:rsid w:val="00D22302"/>
    <w:rsid w:val="00D245F7"/>
    <w:rsid w:val="00D31915"/>
    <w:rsid w:val="00D42266"/>
    <w:rsid w:val="00D60A92"/>
    <w:rsid w:val="00D64FA4"/>
    <w:rsid w:val="00D650E2"/>
    <w:rsid w:val="00D7373E"/>
    <w:rsid w:val="00D74A82"/>
    <w:rsid w:val="00D85532"/>
    <w:rsid w:val="00D9208E"/>
    <w:rsid w:val="00D95BC6"/>
    <w:rsid w:val="00D966FF"/>
    <w:rsid w:val="00D97B4B"/>
    <w:rsid w:val="00DA094A"/>
    <w:rsid w:val="00DA3B4D"/>
    <w:rsid w:val="00DA3BD5"/>
    <w:rsid w:val="00DA5C0D"/>
    <w:rsid w:val="00DA5D7A"/>
    <w:rsid w:val="00DB55BA"/>
    <w:rsid w:val="00DE199D"/>
    <w:rsid w:val="00DE1B54"/>
    <w:rsid w:val="00DE27BA"/>
    <w:rsid w:val="00E02AB3"/>
    <w:rsid w:val="00E05EEE"/>
    <w:rsid w:val="00E14AAE"/>
    <w:rsid w:val="00E20351"/>
    <w:rsid w:val="00E2036F"/>
    <w:rsid w:val="00E3207D"/>
    <w:rsid w:val="00E3507E"/>
    <w:rsid w:val="00E51721"/>
    <w:rsid w:val="00E5208F"/>
    <w:rsid w:val="00E6065F"/>
    <w:rsid w:val="00E65986"/>
    <w:rsid w:val="00E7132A"/>
    <w:rsid w:val="00E823FB"/>
    <w:rsid w:val="00E83E60"/>
    <w:rsid w:val="00E86C78"/>
    <w:rsid w:val="00E948BD"/>
    <w:rsid w:val="00E96A3F"/>
    <w:rsid w:val="00EA1AF3"/>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92545"/>
    <w:rsid w:val="00F93A56"/>
    <w:rsid w:val="00F944D8"/>
    <w:rsid w:val="00FA792D"/>
    <w:rsid w:val="00FC2D38"/>
    <w:rsid w:val="00FD60CF"/>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rsid w:val="00572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tki.gov.si/dataset/evidenca-sprememb-skupnega-kadrovskega-nacrta-in-letnih-porocil-o-uresnicevanju-skn-organov-drzav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atki.gov.si/dataset/zbirka-letnih-porocil-o-uresnicevanju-zbirnega-kadrovskega-nacrta-oseb-javnega-prava-po-22-clenu-zj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10862</Words>
  <Characters>61914</Characters>
  <Application>Microsoft Office Word</Application>
  <DocSecurity>0</DocSecurity>
  <Lines>515</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2026-05-27T06:46:00Z</dcterms:created>
  <dcterms:modified xsi:type="dcterms:W3CDTF">2026-05-28T11:43:00Z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