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536ACD5A" w:rsidR="0073796B" w:rsidRPr="0039662C" w:rsidRDefault="00D245F7" w:rsidP="0039662C">
      <w:pPr>
        <w:pStyle w:val="Naslov1"/>
      </w:pPr>
      <w:r>
        <w:t>20</w:t>
      </w:r>
      <w:r w:rsidR="00A855A6">
        <w:t>1</w:t>
      </w:r>
      <w:r w:rsidR="0073796B" w:rsidRPr="0039662C">
        <w:t xml:space="preserve">. </w:t>
      </w:r>
      <w:r w:rsidR="00D74A82">
        <w:t>red</w:t>
      </w:r>
      <w:r w:rsidR="00F03257">
        <w:t xml:space="preserve">na </w:t>
      </w:r>
      <w:r w:rsidR="0073796B" w:rsidRPr="0039662C">
        <w:t>seja Vlade Republike Slovenije</w:t>
      </w:r>
    </w:p>
    <w:p w14:paraId="27F30B92" w14:textId="3246578E" w:rsidR="0073796B" w:rsidRDefault="009D7656" w:rsidP="008B7AF2">
      <w:pPr>
        <w:pStyle w:val="DatumSZJ"/>
      </w:pPr>
      <w:r>
        <w:t>14</w:t>
      </w:r>
      <w:r w:rsidR="002856E5">
        <w:t>.</w:t>
      </w:r>
      <w:r w:rsidR="008220A3">
        <w:t xml:space="preserve"> </w:t>
      </w:r>
      <w:r w:rsidR="00D245F7">
        <w:t>maj</w:t>
      </w:r>
      <w:r w:rsidR="00B94D8D">
        <w:t xml:space="preserve"> </w:t>
      </w:r>
      <w:r w:rsidR="0073796B" w:rsidRPr="008B7AF2">
        <w:t>202</w:t>
      </w:r>
      <w:r w:rsidR="00F03257">
        <w:t>6</w:t>
      </w:r>
    </w:p>
    <w:p w14:paraId="66C7E965" w14:textId="77777777" w:rsidR="009D7656" w:rsidRDefault="009D7656" w:rsidP="009D7656"/>
    <w:p w14:paraId="43BF13CB" w14:textId="7488C99B" w:rsidR="003913A7" w:rsidRDefault="003913A7" w:rsidP="003913A7">
      <w:pPr>
        <w:pStyle w:val="Naslov2"/>
      </w:pPr>
      <w:r>
        <w:t>Sprememba uredbe o pravicah ožjih družinskih članov po smrti policista</w:t>
      </w:r>
    </w:p>
    <w:p w14:paraId="53601C99" w14:textId="77777777" w:rsidR="003913A7" w:rsidRDefault="003913A7" w:rsidP="003913A7">
      <w:r>
        <w:t>Vlada Republike Slovenije je izdala Uredbo o spremembah Uredbe o načinu uveljavljanja in dodelitve pravic ožjim družinskim članom po smrti policista in v primeru njegove invalidnosti in jo objavi v Uradnem listu Republike Slovenije.</w:t>
      </w:r>
    </w:p>
    <w:p w14:paraId="2935F1ED" w14:textId="77777777" w:rsidR="003913A7" w:rsidRDefault="003913A7" w:rsidP="003913A7"/>
    <w:p w14:paraId="158ECA7F" w14:textId="77777777" w:rsidR="003913A7" w:rsidRDefault="003913A7" w:rsidP="003913A7">
      <w:r>
        <w:t>Uredba se sprejema zaradi spremembe Zakona o organiziranosti in delu v policiji, ki je določil nove kategorije upravičencev. Zakon je določil pravico družinskih članov policistov, če pride do smrti policista, ki je bil napoten v tujino na območje ali lokacijo, za katero je s sklepom o določitvi ocene stopnje nevarnosti sekretariata Sveta za nacionalno varnost določena stopnja nevarnosti. Ožjim družinskim članom policista se bodo v tem primeru lahko zagotovile pravice, določene z zakonom, tudi če bo smrt nastopila v prostem času oziroma če smrt ne bo povezana z delom policista.</w:t>
      </w:r>
    </w:p>
    <w:p w14:paraId="21FB22DC" w14:textId="77777777" w:rsidR="003913A7" w:rsidRDefault="003913A7" w:rsidP="003913A7"/>
    <w:p w14:paraId="3F7A6FE0" w14:textId="3A7518A8" w:rsidR="009D7656" w:rsidRDefault="003913A7" w:rsidP="003913A7">
      <w:r>
        <w:t>Uredba začne veljati petnajsti dan po objavi v uradnem listu.</w:t>
      </w:r>
    </w:p>
    <w:p w14:paraId="261DA2AF" w14:textId="02965B0F" w:rsidR="003913A7" w:rsidRDefault="003913A7" w:rsidP="003913A7">
      <w:pPr>
        <w:pStyle w:val="Vir"/>
      </w:pPr>
      <w:r w:rsidRPr="003913A7">
        <w:t>Vir: Ministrstvo za notranje zadeve</w:t>
      </w:r>
    </w:p>
    <w:p w14:paraId="6CDEACEB" w14:textId="1EC23B84" w:rsidR="00744D7A" w:rsidRPr="00CF3DFF" w:rsidRDefault="00744D7A" w:rsidP="00CF3DFF">
      <w:pPr>
        <w:pStyle w:val="Naslov2"/>
      </w:pPr>
      <w:r w:rsidRPr="00CF3DFF">
        <w:t>Vlada določila objekte, katerih odstranitev je nujno potrebna in v javno korist, na območju občine Braslovče in občine Šmartno ob Paki</w:t>
      </w:r>
    </w:p>
    <w:p w14:paraId="3049C257" w14:textId="1C71F96B" w:rsidR="00744D7A" w:rsidRDefault="00744D7A" w:rsidP="00744D7A">
      <w:r>
        <w:t xml:space="preserve">Republiko Slovenijo so 4. avgusta 2023 prizadele obsežne poplave in zemeljski plazovi, ki so povzročili veliko materialno škodo ter ogrozili življenje in zdravje ljudi. Po teh dogodkih je Vlada Republike Slovenije na podlagi Zakona o interventnih ukrepih za odpravo posledic poplav in zemeljskih plazov iz avgusta 2023 sprejela več sklepov o nujni odstranitvi najbolj ogroženih objektov. </w:t>
      </w:r>
    </w:p>
    <w:p w14:paraId="18B14A91" w14:textId="77777777" w:rsidR="00744D7A" w:rsidRDefault="00744D7A" w:rsidP="00744D7A">
      <w:r>
        <w:t xml:space="preserve">Posamezni lastniki objektov na levem in desnem bregu naselja Letuš v Občini Braslovče ter v Občini Šmartno ob Paki so zoper sprejete sklepe Vlade Republike Slovenije vložili tožbi na Upravno sodišče Republike Slovenije. Slednje je oktobra in novembra 2025 posamezne dele teh sklepov odpravilo ter Vladi Republike Slovenije naložilo, da ponovno obravnava navedene objekte. </w:t>
      </w:r>
    </w:p>
    <w:p w14:paraId="14E579C4" w14:textId="77777777" w:rsidR="00744D7A" w:rsidRDefault="00744D7A" w:rsidP="00744D7A"/>
    <w:p w14:paraId="648650AD" w14:textId="77777777" w:rsidR="00744D7A" w:rsidRDefault="00744D7A" w:rsidP="00744D7A">
      <w:r>
        <w:t xml:space="preserve">Na podlagi navedenega je Služba Vlade Republike Slovenije za obnovo po poplavah in plazovih angažirala strokovnjake iz Državne tehnične pisarne, ki so ob sodelovanju z Direkcijo Republike Slovenije za vode in Direktoratom za vode pri Ministrstvu za naravne vire in prostor ponovno obravnavali vsak posamezni objekt ter pripravili nova strokovna mnenja. Ta potrjujejo, da vsi obravnavani objekti izpolnjujejo pogoj visoke ogroženosti ter da je njihova odstranitev zaradi varovanja življenja in zdravja ljudi nujna. Strokovna mnenja je obravnaval tudi Svet Vlade Republike Slovenije za obnovo, ki jih je soglasno potrdil. </w:t>
      </w:r>
    </w:p>
    <w:p w14:paraId="504C1F03" w14:textId="77777777" w:rsidR="00744D7A" w:rsidRDefault="00744D7A" w:rsidP="00744D7A"/>
    <w:p w14:paraId="0FD1D8F0" w14:textId="0C47450A" w:rsidR="00744D7A" w:rsidRDefault="00744D7A" w:rsidP="00744D7A">
      <w:r>
        <w:t>Sklepi vlade se nanašajo na skupno 20 stanovanjskih objektov. Predlogi sklepov so bili tudi javno razgrnjeni med 10. in 25. marcem 2026. V tem času so bila podana vprašanja in pripombe, na katere je Služba Vlade Republike Slovenije za obnovo po poplavah in plazovih skupaj z Državno tehnično pisarno, Direkcijo Republike Slovenije za vode ter Direktoratom za vode pri Ministrstvu za naravne vire in prostor pripravila ustrezne odgovore in pojasnila.</w:t>
      </w:r>
    </w:p>
    <w:p w14:paraId="4A6678AD" w14:textId="63A169B2" w:rsidR="00744D7A" w:rsidRPr="00CF3DFF" w:rsidRDefault="00744D7A" w:rsidP="00CF3DFF">
      <w:pPr>
        <w:pStyle w:val="Vir"/>
      </w:pPr>
      <w:r w:rsidRPr="00CF3DFF">
        <w:t>Vir: Služba vlade za obnovo po poplavah in plazovih</w:t>
      </w:r>
    </w:p>
    <w:p w14:paraId="03BC5472" w14:textId="310F364E" w:rsidR="007A4C39" w:rsidRDefault="007A4C39" w:rsidP="007A4C39">
      <w:pPr>
        <w:pStyle w:val="Naslov2"/>
      </w:pPr>
      <w:r>
        <w:lastRenderedPageBreak/>
        <w:t>Vlada je prejela spremembe in dopolnitve Načrta vaj v obrambnem sistemu in sistemu varstva pred naravnimi in drugimi nesrečami v letu 2026</w:t>
      </w:r>
    </w:p>
    <w:p w14:paraId="037350F2" w14:textId="77777777" w:rsidR="007A4C39" w:rsidRDefault="007A4C39" w:rsidP="007A4C39">
      <w:r>
        <w:t xml:space="preserve">Vlada Republike Slovenije je sprejela Načrt vaj v obrambnem sistemu in sistemu varstva pred naravnimi in drugimi nesrečami v letu 2026 z dne 5. februarja 2026. Na podlagi naknadno prejetih vabil in dogovorov ter odpovedanih vaj so se v času od sprejetja načrta pojavile potrebe po spremembi in dopolnitvi načrta vaj. </w:t>
      </w:r>
    </w:p>
    <w:p w14:paraId="79F512A0" w14:textId="77777777" w:rsidR="007A4C39" w:rsidRDefault="007A4C39" w:rsidP="007A4C39"/>
    <w:p w14:paraId="324F9EB1" w14:textId="49D8859A" w:rsidR="009D7656" w:rsidRDefault="007A4C39" w:rsidP="007A4C39">
      <w:r>
        <w:t>Spremembe in dopolnitve Načrta vaj v obrambnem sistemu in sistemu varstva pred naravnimi in drugimi nesrečami v letu 2026 tako vključujejo črtanje štirih mednarodnih vojaških vaj v tujini in dopolnitev z devetimi mednarodnimi vojaškimi vajami v tujini, mednarodno vojaško vajo v Republiki Sloveniji, mednarodno vojaško usposabljanje v tujini ter celovito vajo.</w:t>
      </w:r>
    </w:p>
    <w:p w14:paraId="1144B7A5" w14:textId="77777777" w:rsidR="007A4C39" w:rsidRDefault="007A4C39" w:rsidP="009D7656"/>
    <w:p w14:paraId="69C5E952" w14:textId="6FD3F119" w:rsidR="007A4C39" w:rsidRDefault="007A4C39" w:rsidP="009D7656">
      <w:r w:rsidRPr="007A4C39">
        <w:t>Vir: Ministrstvo za obrambo</w:t>
      </w:r>
    </w:p>
    <w:p w14:paraId="544B82DC" w14:textId="77777777" w:rsidR="00030E26" w:rsidRDefault="00030E26" w:rsidP="009D7656"/>
    <w:p w14:paraId="0597EA74" w14:textId="1BE0DB79" w:rsidR="00481223" w:rsidRDefault="00481223" w:rsidP="00481223">
      <w:pPr>
        <w:pStyle w:val="Naslov2"/>
      </w:pPr>
      <w:r>
        <w:t xml:space="preserve">Vlada v Načrt razvojnih programov 2026-2029 uvrstila projekt Zavoda za gluhe in naglušne Ljubljana </w:t>
      </w:r>
    </w:p>
    <w:p w14:paraId="0D52E46B" w14:textId="77777777" w:rsidR="00481223" w:rsidRDefault="00481223" w:rsidP="00481223">
      <w:r>
        <w:t>Vlada je v Načrt razvojnih programov 2026-2029 uvrstila projekt Zavoda za gluhe in naglušne Ljubljana, in sicer prizidavo za osnovno šolo. Zavod za gluhe in naglušne Ljubljana se sooča z izrazito prostorsko stisko, ki onemogoča izvajanje programov na eni lokaciji ter omejuje kakovost vzgojno-izobraževalnega dela. Namen investicije je zagotoviti ustrezne, varne in sodobne prostorske pogoje za otroke ter mladostnike s posebnimi potrebami.</w:t>
      </w:r>
    </w:p>
    <w:p w14:paraId="31C188A2" w14:textId="77777777" w:rsidR="0080097F" w:rsidRDefault="0080097F" w:rsidP="00481223"/>
    <w:p w14:paraId="4011A6AD" w14:textId="77777777" w:rsidR="00481223" w:rsidRDefault="00481223" w:rsidP="00481223">
      <w:r>
        <w:t>Projekt vključuje prizidavo 1.900,1 m² novih površin z dvajsetimi učilnicami, sedmimi kabineti, knjižnico, avlo, garderobami ter zunanjo ureditvijo. Novogradnja bo skoraj nič-energijska in bo omogočala izvedbo pouka na eni lokaciji. Projekt obravnava izključno izvedbo prve faze, ki predstavlja funkcionalno, gradbeno in finančno zaključeno celoto.</w:t>
      </w:r>
    </w:p>
    <w:p w14:paraId="00341178" w14:textId="77777777" w:rsidR="00481223" w:rsidRDefault="00481223" w:rsidP="00481223"/>
    <w:p w14:paraId="12D9CAFA" w14:textId="688EDB2B" w:rsidR="009D7656" w:rsidRDefault="00481223" w:rsidP="00481223">
      <w:r>
        <w:t>Ocenjena vrednost investicije znaša 6.987.952,02 evra z DDV, projekt pa je v celoti predviden za financiranje iz integralnih sredstev Ministrstva za vzgojo in izobraževanje.</w:t>
      </w:r>
    </w:p>
    <w:p w14:paraId="768B3A2F" w14:textId="4C71483A" w:rsidR="00481223" w:rsidRDefault="00481223" w:rsidP="00481223">
      <w:pPr>
        <w:pStyle w:val="Vir"/>
      </w:pPr>
      <w:r w:rsidRPr="00481223">
        <w:t>Vir: Ministrstvo za vzgojo in izobraževanje</w:t>
      </w:r>
    </w:p>
    <w:p w14:paraId="7F8EB252" w14:textId="06076003" w:rsidR="009D7656" w:rsidRDefault="004B72F3" w:rsidP="004B72F3">
      <w:pPr>
        <w:pStyle w:val="Naslov2"/>
      </w:pPr>
      <w:r>
        <w:t>Vlada uvrstila</w:t>
      </w:r>
      <w:r w:rsidR="009D7656">
        <w:t xml:space="preserve"> projekt Časovne vrste in statistična zaupnost v veljavni Načrt razvojnih programov </w:t>
      </w:r>
    </w:p>
    <w:p w14:paraId="29DE3C75" w14:textId="77777777" w:rsidR="004B72F3" w:rsidRDefault="004B72F3" w:rsidP="004B72F3">
      <w:r>
        <w:t>Vlada Republike Slovenije je n</w:t>
      </w:r>
      <w:r w:rsidRPr="00416B9A">
        <w:t xml:space="preserve">a podlagi petega odstavka 31. člena Zakona o izvrševanju proračunov Republike Slovenije za leti 2026 in 2027 </w:t>
      </w:r>
      <w:r>
        <w:t>sprejela sklep, da se v veljavni Načrt razvojnih programov 2026 - 2029 uvrsti nov projekt 1522-26-0008 »Časovne vrste in statistična zaupnost«.</w:t>
      </w:r>
      <w:r w:rsidRPr="00416B9A">
        <w:t xml:space="preserve"> Projekt se izvaja v okviru Evropskega statističnega sistema (ESS) kot nadaljevanje in nadgradnja predhodnega razvoja na področju metodologije in orodij za uradno statistiko. Namen projekta je zagotoviti usklajen razvoj naprednih metod, programske opreme in strokovnih znanj za analizo časovnih vrst ter zaščito zaupnosti statističnih podatkov. Potreba po projektu izhaja iz naraščajočih zahtev po kakovostnih, pravočasnih in mednarodno primerljivih statističnih podatkih ter potrebe po zagotavljanju visoke ravni zaščite podatkov v pogojih digitalne transformacije. V projekt je vključenih 11 držav članic Evropske unije in Deutsche Bundesbank, ki sodelujejo v treh delovnih sklopih (Work Packages – WP). Projekt koordinira Statistični urad Francije (INSEE). </w:t>
      </w:r>
      <w:r>
        <w:t xml:space="preserve">Projekt </w:t>
      </w:r>
      <w:r w:rsidRPr="00416B9A">
        <w:t>se bo izvajal 48 mesecev, do 31. 10. 2029.</w:t>
      </w:r>
    </w:p>
    <w:p w14:paraId="2AEC1BC2" w14:textId="77777777" w:rsidR="004B72F3" w:rsidRDefault="004B72F3" w:rsidP="004B72F3">
      <w:pPr>
        <w:pStyle w:val="Vir"/>
      </w:pPr>
      <w:bookmarkStart w:id="0" w:name="_Hlk195105296"/>
      <w:r>
        <w:t>Vir: Statistični Urad Republike Slovenije</w:t>
      </w:r>
    </w:p>
    <w:bookmarkEnd w:id="0"/>
    <w:p w14:paraId="256908FE" w14:textId="77777777" w:rsidR="004B72F3" w:rsidRDefault="004B72F3" w:rsidP="009D7656"/>
    <w:p w14:paraId="0285DB94" w14:textId="381C51A4" w:rsidR="003913A7" w:rsidRDefault="003913A7" w:rsidP="003913A7">
      <w:pPr>
        <w:pStyle w:val="Naslov2"/>
        <w:rPr>
          <w:rFonts w:eastAsiaTheme="minorHAnsi"/>
        </w:rPr>
      </w:pPr>
      <w:r>
        <w:rPr>
          <w:rFonts w:eastAsiaTheme="minorHAnsi"/>
        </w:rPr>
        <w:lastRenderedPageBreak/>
        <w:t>Vlada sprejela Poročilo o podaljšanju začasne zaščite razseljenih oseb iz Ukrajine in ga pošlje državnemu zboru.</w:t>
      </w:r>
    </w:p>
    <w:p w14:paraId="55603E2C" w14:textId="77777777" w:rsidR="003913A7" w:rsidRDefault="003913A7" w:rsidP="003913A7">
      <w:pPr>
        <w:autoSpaceDE w:val="0"/>
        <w:autoSpaceDN w:val="0"/>
        <w:adjustRightInd w:val="0"/>
        <w:spacing w:line="240" w:lineRule="auto"/>
        <w:rPr>
          <w:rFonts w:eastAsiaTheme="minorHAnsi" w:cstheme="minorBidi"/>
          <w:szCs w:val="20"/>
        </w:rPr>
      </w:pPr>
      <w:r>
        <w:rPr>
          <w:rFonts w:eastAsiaTheme="minorHAnsi" w:cstheme="minorBidi"/>
          <w:szCs w:val="20"/>
        </w:rPr>
        <w:t>V skladu Zakonom o začasni zaščiti razseljenih oseb se začasna zaščita v Republiki Sloveniji uvede z dnem uveljavitve sklepa Sveta Evropske unije iz 5. člena Direktive 2001/55/ES. Prav tako se začasna zaščita v Republiki Sloveniji podaljšuje z morebitnimi sklepi Sveta Evropske unije o podaljšanju začasne zaščite. Svet Evropske unije je 15. julija 2025 sprejel izvedbeni sklep o podaljšanju začasne zaščite za osebe, razseljene iz Ukrajine, do 4. marca 2027.</w:t>
      </w:r>
      <w:r>
        <w:t xml:space="preserve"> </w:t>
      </w:r>
      <w:r>
        <w:rPr>
          <w:rFonts w:eastAsiaTheme="minorHAnsi" w:cstheme="minorBidi"/>
          <w:szCs w:val="20"/>
        </w:rPr>
        <w:t>To pomeni, da se začasna zaščita za razseljene osebe iz Ukrajine tudi v Republiki Sloveniji podaljša do 4. marca 2027.</w:t>
      </w:r>
    </w:p>
    <w:p w14:paraId="683E0BC1" w14:textId="77777777" w:rsidR="003913A7" w:rsidRDefault="003913A7" w:rsidP="003913A7">
      <w:pPr>
        <w:autoSpaceDE w:val="0"/>
        <w:autoSpaceDN w:val="0"/>
        <w:adjustRightInd w:val="0"/>
        <w:spacing w:line="240" w:lineRule="auto"/>
        <w:rPr>
          <w:rFonts w:eastAsiaTheme="minorHAnsi" w:cstheme="minorBidi"/>
          <w:szCs w:val="20"/>
        </w:rPr>
      </w:pPr>
    </w:p>
    <w:p w14:paraId="2312892E" w14:textId="6ABD4D61" w:rsidR="003913A7" w:rsidRDefault="003913A7" w:rsidP="003913A7">
      <w:r w:rsidRPr="003913A7">
        <w:t>Vir: Ministrstvo za notranje zadeve</w:t>
      </w:r>
    </w:p>
    <w:p w14:paraId="498BCB13" w14:textId="77777777" w:rsidR="003913A7" w:rsidRDefault="003913A7" w:rsidP="003913A7"/>
    <w:p w14:paraId="7DB2C487" w14:textId="35A180AE" w:rsidR="00FC40AF" w:rsidRDefault="00FC40AF" w:rsidP="00CF3DFF">
      <w:pPr>
        <w:pStyle w:val="Naslov2"/>
      </w:pPr>
      <w:r>
        <w:t>Vlada se je seznanila z Revidiranim letnim poročilom Agencije za javni nadzor nad revidiranjem</w:t>
      </w:r>
    </w:p>
    <w:p w14:paraId="4E2A7BC2" w14:textId="643644A5" w:rsidR="00FC40AF" w:rsidRDefault="00FC40AF" w:rsidP="00FC40AF">
      <w:r>
        <w:t>Vlada se je seznanila z Revidiranim letnim poročilom Agencije za javni nadzor nad revidiranjem (AJNR) za leto 2025. Skladno z Zakonom o javnih agencijah je soglasje k poročilu, ki ga je sprejel strokovni svet AJNR podalo Ministrstvo za finance.</w:t>
      </w:r>
    </w:p>
    <w:p w14:paraId="43C50EC5" w14:textId="77777777" w:rsidR="00FC40AF" w:rsidRDefault="00FC40AF" w:rsidP="00FC40AF"/>
    <w:p w14:paraId="4EDAA01C" w14:textId="77777777" w:rsidR="00FC40AF" w:rsidRDefault="00FC40AF" w:rsidP="00FC40AF">
      <w:r>
        <w:t>Revidirano letno poročilo AJNR sestavlja letno poročilo, ki vključuje predstavitev ključnih področij dela AJNR in poudarkov opravljenih aktivnosti v letu 2025, strateške usmeritve Agencije, poslovno poročilo, kadrovsko poročilo, poročilo o realizaciji finančnega načrta 2025, poročilo o nadzoru nad delovanjem Agencije ter računovodsko poročilo z mnenjem neodvisnega revizorja. Letno poročilo Agencije vsebuje tudi poročilo o delovanju, poslovanju in opravljanju nalog iz pristojnosti Agencije za javni nadzor nad revidiranjem za leto 2025.</w:t>
      </w:r>
    </w:p>
    <w:p w14:paraId="08C87A6F" w14:textId="77777777" w:rsidR="00FC40AF" w:rsidRDefault="00FC40AF" w:rsidP="00FC40AF"/>
    <w:p w14:paraId="63108836" w14:textId="343D3BD2" w:rsidR="009D7656" w:rsidRDefault="00FC40AF" w:rsidP="00FC40AF">
      <w:r>
        <w:t>Vlada je dala soglasje k predlogu uporabe presežka prihodkov nad odhodki AJNR, in sicer, da se presežek prihodkov nad odhodki, ki ga na dan 31. 12. 2025 izkazuje v bilanci stanja v višini 36 tisoč evrov, nameni za opravljanje in razvoj dejavnosti.</w:t>
      </w:r>
    </w:p>
    <w:p w14:paraId="244261A8" w14:textId="622EB123" w:rsidR="00FC40AF" w:rsidRDefault="00FC40AF" w:rsidP="00CF3DFF">
      <w:pPr>
        <w:pStyle w:val="Vir"/>
      </w:pPr>
      <w:r>
        <w:t>Vir: Ministrstvo za finance</w:t>
      </w:r>
    </w:p>
    <w:p w14:paraId="4794D04B" w14:textId="5BF8CE61" w:rsidR="0021219F" w:rsidRDefault="00CF3DFF" w:rsidP="00CF3DFF">
      <w:pPr>
        <w:pStyle w:val="Naslov2"/>
      </w:pPr>
      <w:r>
        <w:t>Vlada odgovorila</w:t>
      </w:r>
      <w:r w:rsidR="0021219F">
        <w:t xml:space="preserve"> na opomin Evropske komisije</w:t>
      </w:r>
    </w:p>
    <w:p w14:paraId="3307ACDB" w14:textId="77777777" w:rsidR="0021219F" w:rsidRDefault="0021219F" w:rsidP="0021219F">
      <w:r>
        <w:t>Vlada je na današnji seji potrdila predlog odgovora Republike Slovenije na uradni opomin Evropske komisije zaradi nenotifikacije predpisov za prenos direktiv o spremembi nekaterih direktiv glede vzpostavitve in delovanja evropske enotne točke dostopa v pravni red Republike Slovenije.</w:t>
      </w:r>
    </w:p>
    <w:p w14:paraId="487F1EB5" w14:textId="77777777" w:rsidR="0021219F" w:rsidRDefault="0021219F" w:rsidP="0021219F"/>
    <w:p w14:paraId="4FC9D4BA" w14:textId="77777777" w:rsidR="0021219F" w:rsidRDefault="0021219F" w:rsidP="0021219F">
      <w:r>
        <w:t xml:space="preserve">Evropska komisija v uradnem opominu navaja, da je rok za prenos direktive potekel v začetku januarja letos. Evropska komisija je zato vlado pozvala, naj sporoči manjkajoče ukrepe za prenos direktive in v dveh mesecih od prejema uradnega opomina predloži svoje pripombe v zvezi z ugotovitvami Evropske komisije o neizpolnitvi obveznosti. </w:t>
      </w:r>
    </w:p>
    <w:p w14:paraId="0CF2CEA5" w14:textId="77777777" w:rsidR="0021219F" w:rsidRDefault="0021219F" w:rsidP="0021219F"/>
    <w:p w14:paraId="59EE5912" w14:textId="77777777" w:rsidR="0021219F" w:rsidRDefault="0021219F" w:rsidP="0021219F">
      <w:r>
        <w:t xml:space="preserve">Vlada se zaveda pomena in nujnosti pravočasnega prenosa zakonodaje Unije, tudi na področju evropske enotne točke dostopa, ter potrjuje svojo zavezanost k učinkovitemu prenosu direktive v pravni red Republike Slovenije. Takoj po objavi direktive ter uredbe 13. decembra 2023 o vzpostavitvi evropske enotne točke dostopa, ki zagotavlja centraliziran dostop do javno dostopnih informacij, pomembnih za finančne storitve, kapitalske trge in trajnostnost, je Republika Slovenija pričela s postopki za prenos določb v nacionalni pravni red. Kljub pravočasni aktivaciji pripravljalnih aktivnosti pa do predpisanega roka določbe direktive niso bile v celoti prenesene v nacionalni pravni red. </w:t>
      </w:r>
    </w:p>
    <w:p w14:paraId="27DBEC2B" w14:textId="77777777" w:rsidR="0021219F" w:rsidRDefault="0021219F" w:rsidP="0021219F"/>
    <w:p w14:paraId="3B00054A" w14:textId="77777777" w:rsidR="0021219F" w:rsidRDefault="0021219F" w:rsidP="0021219F">
      <w:r>
        <w:t xml:space="preserve">Določbi 3. in 12. člena sta bili v celoti preneseni z novelo Zakona o trgu finančnih instrumentov, določbi 7. in 13. člena direktive sta preneseni v novelo Zakona o zavarovalništvu, določbi 10. in 11. člena pa sta preneseni v Zakon o bančništvu ter določba 11. člena v novelo Zakona o reševanju in prisilnem prenehanju bank. Določbe 1., 2., 4., 5., 6., 8., 9., 15. in 16. člena pa so bile prenesene v </w:t>
      </w:r>
      <w:r>
        <w:lastRenderedPageBreak/>
        <w:t>Zakon o spremembah in dopolnitvah določenih zakonov glede vzpostavitve in delovanja evropske enotne točke dostopa (ZdZEETD), ki se je začel uporabljati 25. februarja 2026.</w:t>
      </w:r>
    </w:p>
    <w:p w14:paraId="0AD7AF4B" w14:textId="77777777" w:rsidR="0021219F" w:rsidRDefault="0021219F" w:rsidP="0021219F"/>
    <w:p w14:paraId="0F6C87B2" w14:textId="77777777" w:rsidR="0021219F" w:rsidRDefault="0021219F" w:rsidP="0021219F">
      <w:r>
        <w:t>14. člen še ni bil prensen, saj je zakon, s katerim se prenaša ta določba, predviden za sprejetje do konca leta 2026. Pri tem pojasnjujemo, da je bil prenos 14. člena predviden s predlogom ZdZEETD, ki je pripravljen kot t. i. omnibus zakon in je predvideval dopolnitev Zakona o pokojninskem in invalidskem zavarovanju (ZPIZ-2). Ker sta bili v Državnem zboru že vloženi dve noveli ZPIZ-2, s katerima se je urejala pokojninska reforma, je bilo potrebno iz predloga ZdZEETD izločiti prenos 14. člena direktive, saj bi v nasprotnem primeru bila onemogočena obravnava predloga ZdZEETD, kar bi povzročilo zamudo pri prenosu vseh ostalih določb direktive.</w:t>
      </w:r>
    </w:p>
    <w:p w14:paraId="519E7B06" w14:textId="77777777" w:rsidR="0021219F" w:rsidRDefault="0021219F" w:rsidP="0021219F"/>
    <w:p w14:paraId="47E27A55" w14:textId="77777777" w:rsidR="0021219F" w:rsidRDefault="0021219F" w:rsidP="0021219F">
      <w:r>
        <w:t>Trenutno poteka oblikovanje nove vlade. V tej fazi ni mogoče z gotovostjo trditi, ali bi to lahko vplivalo na končni časovni okvir za popolni prenos direktive. Kljub temu vlada poudarja, da je Republika Slovenija polno zavezana k izpolnjevanju obveznosti po pravu EU.</w:t>
      </w:r>
    </w:p>
    <w:p w14:paraId="6BD7DE4A" w14:textId="7845CAFE" w:rsidR="0021219F" w:rsidRDefault="0021219F" w:rsidP="00CF3DFF">
      <w:pPr>
        <w:pStyle w:val="Vir"/>
      </w:pPr>
      <w:r>
        <w:t>Vir: Ministrstvo za finance</w:t>
      </w:r>
    </w:p>
    <w:p w14:paraId="4039AD34" w14:textId="029DCD01" w:rsidR="004F0D73" w:rsidRDefault="004F0D73" w:rsidP="004F0D73">
      <w:pPr>
        <w:pStyle w:val="Naslov2"/>
      </w:pPr>
      <w:r>
        <w:t>Podpora začasni opustitvi uporabe nekaterih določb Uredbe Evropskega parlamenta in Sveta v zvezi z Etiopijo</w:t>
      </w:r>
    </w:p>
    <w:p w14:paraId="191328D0" w14:textId="77777777" w:rsidR="004F0D73" w:rsidRDefault="004F0D73" w:rsidP="004F0D73">
      <w:r>
        <w:t>Vlada je sprejela stališče, da Slovenija podpira predlog izvedbenega sklepa Sveta o razveljavitvi Izvedbenega sklepa (EU) 2024/1341 o začasni opustitvi uporabe nekaterih določb Uredbe (ES) št. 810/2009 Evropskega parlamenta in Sveta v zvezi z Etiopijo.</w:t>
      </w:r>
    </w:p>
    <w:p w14:paraId="0F116FBC" w14:textId="77777777" w:rsidR="004F0D73" w:rsidRDefault="004F0D73" w:rsidP="004F0D73"/>
    <w:p w14:paraId="2AF82D4E" w14:textId="77777777" w:rsidR="004F0D73" w:rsidRDefault="004F0D73" w:rsidP="004F0D73">
      <w:r>
        <w:t>Z Izvedbenim sklepom Sveta (EU) 2024/1341 je bila začasno opuščena uporaba nekaterih določb Uredbe (ES) št. 810/2009 (Vizumski zakonik) v zvezi z državljani Etiopije. Cilj je bil spodbuditi Etiopijo k sprejetju potrebnih ukrepov za izboljšanje sodelovanja na področju ponovnega sprejema.</w:t>
      </w:r>
    </w:p>
    <w:p w14:paraId="0DEED10C" w14:textId="77777777" w:rsidR="004F0D73" w:rsidRDefault="004F0D73" w:rsidP="004F0D73"/>
    <w:p w14:paraId="1DD66652" w14:textId="77777777" w:rsidR="004F0D73" w:rsidRDefault="004F0D73" w:rsidP="004F0D73">
      <w:r>
        <w:t>Ker se je to sodelovanje znatno izboljšalo, bi bilo treba Izvedbeni sklep (EU) 2024/1341 razveljaviti.</w:t>
      </w:r>
    </w:p>
    <w:p w14:paraId="1215970F" w14:textId="79460268" w:rsidR="009D7656" w:rsidRDefault="004F0D73" w:rsidP="004F0D73">
      <w:pPr>
        <w:pStyle w:val="Vir"/>
      </w:pPr>
      <w:r>
        <w:t>Vir: Ministrstvo za zunanje in evropske zadeve Republike Slovenije</w:t>
      </w:r>
    </w:p>
    <w:p w14:paraId="663113E5" w14:textId="101BF105" w:rsidR="00603EC1" w:rsidRDefault="00603EC1" w:rsidP="00CF3DFF">
      <w:pPr>
        <w:pStyle w:val="Naslov2"/>
      </w:pPr>
      <w:r>
        <w:t xml:space="preserve">Vlada se je seznanila z informacijo o podaljšanju zavez za vključitev slovenske enote za iskanje in reševanje v jamah (Cave SAR) in slovenske enote za prečrpavanje večjih količin vode (SI HCP) v evropskem naboru civilne zaščite v okviru mehanizma Unije na področju civilne zaščite </w:t>
      </w:r>
    </w:p>
    <w:p w14:paraId="22E4C5C5" w14:textId="77777777" w:rsidR="00603EC1" w:rsidRDefault="00603EC1" w:rsidP="00603EC1">
      <w:r>
        <w:t>Uprava Republike Slovenije za zaščito in reševanje (URSZR) je v evropski nabor civilne zaščite v okviru mehanizma Unije na področju civilne zaščite leta 2016 uvrstila enoto za iskanje in reševanje v jamah. Zaveza za vključitev enote za iskanje in reševanje v jamah v evropski nabor civilne zaščite je potekla 23. februarja 2026, zato je URSZR pripravila vse potrebno za podaljšanje zaveze oz. registracije za obdobje trajanja certifikacije oziroma ponovne certifikacije in s tem operativne pripravljenosti enote za posredovanje v okviru mehanizma Unije na področju civilne zaščite.</w:t>
      </w:r>
    </w:p>
    <w:p w14:paraId="3D83D68E" w14:textId="77777777" w:rsidR="00603EC1" w:rsidRDefault="00603EC1" w:rsidP="00603EC1"/>
    <w:p w14:paraId="05CAE413" w14:textId="77777777" w:rsidR="00603EC1" w:rsidRDefault="00603EC1" w:rsidP="00603EC1">
      <w:r>
        <w:t xml:space="preserve">Uprava RS za zaščito in reševanje je v evropski nabor civilne zaščite v okviru mehanizma Unije na področju civilne zaščite leta 2019 uvrstila enoto za prečrpavanje večjih količin vode. Zaveza za vključitev oz. registracijo enote za prečrpavanje večjih količin vode v evropski nabor civilne zaščite poteče 13. decembra 2026, zato je URSZR pripravila vse potrebno za podaljšanje zaveze oz. registracije za obdobje trajanja certifikacije oziroma ponovne certifikacije in s tem operativne pripravljenosti enote za posredovanje v okviru mehanizma Unije na področju civilne zaščite. </w:t>
      </w:r>
    </w:p>
    <w:p w14:paraId="539C6240" w14:textId="77777777" w:rsidR="00603EC1" w:rsidRDefault="00603EC1" w:rsidP="00603EC1"/>
    <w:p w14:paraId="21224C36" w14:textId="317217AE" w:rsidR="009D7656" w:rsidRDefault="00603EC1" w:rsidP="00603EC1">
      <w:r>
        <w:t>Finančnih posledic ponovne uvrstitve omenjenih enot v evropski nabor civilne zaščite ni. Stroški bodo nastali ob morebitni napotitvi enot na mednarodne reševalne intervencije, o čemer vsakokrat odloča Vlada Republike Slovenije.</w:t>
      </w:r>
    </w:p>
    <w:p w14:paraId="50D2FF01" w14:textId="1340D6DE" w:rsidR="00603EC1" w:rsidRDefault="00A47102" w:rsidP="00B67FD4">
      <w:pPr>
        <w:pStyle w:val="Vir"/>
      </w:pPr>
      <w:r>
        <w:lastRenderedPageBreak/>
        <w:t xml:space="preserve"> </w:t>
      </w:r>
    </w:p>
    <w:p w14:paraId="33C4A057" w14:textId="1AE53588" w:rsidR="00937B4E" w:rsidRDefault="00937B4E" w:rsidP="00937B4E">
      <w:pPr>
        <w:pStyle w:val="Naslov2"/>
      </w:pPr>
      <w:r>
        <w:t>Potrditev protokola med Slovenijo in Črno goro o sodelovanju na področju boja proti trgovini z ljudmi in zlorabi otrok</w:t>
      </w:r>
    </w:p>
    <w:p w14:paraId="77A84164" w14:textId="16492EC0" w:rsidR="00937B4E" w:rsidRDefault="00937B4E" w:rsidP="00937B4E">
      <w:r>
        <w:t>Vlada Republike Slovenije je sprejela sklep o potrditvi Protokola med Ministrstvom za notranje zadeve Republike Slovenije in Ministrstvom za notranje zadeve Črne gore o sodelovanju na področju boja proti trgovini z ljudmi in zlorabi otrok, podpisanega na Brdu pri Kranju 1. decembra 2021.</w:t>
      </w:r>
    </w:p>
    <w:p w14:paraId="0CE17F3C" w14:textId="77777777" w:rsidR="00937B4E" w:rsidRDefault="00937B4E" w:rsidP="00937B4E"/>
    <w:p w14:paraId="41DAD579" w14:textId="77777777" w:rsidR="00937B4E" w:rsidRDefault="00937B4E" w:rsidP="00937B4E">
      <w:r>
        <w:t>Protokol ureja dvostranska vprašanja, povezana s preprečevanjem trgovine z ljudmi ter odkrivanjem in pregonom storilcev ter identifikacijo, napotitvijo, zaščito in prostovoljnim vračanjem žrtev ali potencialnih žrtev trgovine z ljudmi in vprašanja povezana z identifikacijo, zaščito in pomočjo otrokom, ki so žrtve ali potencialne žrtve vseh oblik zlorab; posebej spolnega izkoriščanja in drugih oblik nasilja in zlorab otrok, če gre za čezmejno delovanje.</w:t>
      </w:r>
    </w:p>
    <w:p w14:paraId="033C5109" w14:textId="77777777" w:rsidR="00937B4E" w:rsidRDefault="00937B4E" w:rsidP="00937B4E">
      <w:r>
        <w:t xml:space="preserve"> </w:t>
      </w:r>
    </w:p>
    <w:p w14:paraId="5DFD49C3" w14:textId="77777777" w:rsidR="00937B4E" w:rsidRDefault="00937B4E" w:rsidP="00937B4E">
      <w:r>
        <w:t>Pristojni organi obeh ministrstev sodelujejo pri preprečevanju vseh oblik trgovine z ljudmi in boju proti njim; preprečevanju, odkrivanju in preiskovanju vseh oblik zlorab otrok; izmenjavi informacij in drugih podatkov v predkazenskih in kazenskih postopkih, ki omogočajo hitro odkrivanje in učinkovit pregon storilcev kaznivih dejanj; izmenjavi vseh potrebnih informacij in podatkov med pristojnimi organi, ki sodelujejo pri identifikaciji in zaščiti zlorabljenih otrok in pri identifikaciji, zaščiti, napotitvi in vračanju žrtev ali potencialnih žrtev trgovine z ljudmi v izvorno državo ter drugih oblik strokovnega sodelovanja vse z namenom lažjega položaja žrtev trgovine z ljudmi ali zlorabe otrok.</w:t>
      </w:r>
    </w:p>
    <w:p w14:paraId="7D4B786F" w14:textId="77777777" w:rsidR="00937B4E" w:rsidRDefault="00937B4E" w:rsidP="00937B4E"/>
    <w:p w14:paraId="7EB5F7D1" w14:textId="5903AE88" w:rsidR="009D7656" w:rsidRDefault="00937B4E" w:rsidP="00937B4E">
      <w:r>
        <w:t>Vir: Ministrstvo za zunanje in evropske zadeve Republike Slovenije</w:t>
      </w:r>
    </w:p>
    <w:p w14:paraId="0DF5CE66" w14:textId="77777777" w:rsidR="00591994" w:rsidRDefault="00591994" w:rsidP="00937B4E"/>
    <w:p w14:paraId="701F796B" w14:textId="77777777" w:rsidR="00E500F4" w:rsidRDefault="00E500F4" w:rsidP="00E500F4">
      <w:pPr>
        <w:pStyle w:val="Naslov2"/>
      </w:pPr>
      <w:r>
        <w:t>Vlada opredelila ukrepe za izboljšanje javnofinančnega salda</w:t>
      </w:r>
    </w:p>
    <w:p w14:paraId="4EFFFC07" w14:textId="4CC9B7B8" w:rsidR="00E500F4" w:rsidRDefault="00E500F4" w:rsidP="00E500F4">
      <w:r>
        <w:t>Vlada se je danes seznanila z informacijo o zagotavljanju ustreznega strukturnega salda javnih financ. Opredelila je nabor ukrepov, s katerimi se bo proračunski saldo za leto 2026, ki predstavlja glavni del javnofinančnega salda, izboljšal za 370 milijonov evrov. Primanjkljaj sektorja država bi tako v</w:t>
      </w:r>
      <w:r w:rsidR="006B0B36">
        <w:t xml:space="preserve"> </w:t>
      </w:r>
      <w:r>
        <w:t>letošnjem letu znašal sprva načrtovanih 2,9 odstotka bruto domačega proizvoda (BDP).</w:t>
      </w:r>
    </w:p>
    <w:p w14:paraId="4D748A49" w14:textId="77777777" w:rsidR="00E500F4" w:rsidRDefault="00E500F4" w:rsidP="00E500F4">
      <w:r>
        <w:t xml:space="preserve"> </w:t>
      </w:r>
    </w:p>
    <w:p w14:paraId="0AE9F906" w14:textId="77777777" w:rsidR="00E500F4" w:rsidRDefault="00E500F4" w:rsidP="00E500F4">
      <w:r>
        <w:t xml:space="preserve">Vlada ocenjuje, da bodo prihodki državnega proračuna letos višji za 120 milijonov evrov, in sicer zaradi večjih prihodkov od davka od dohodkov pravnih oseb v luči dobrega poslovanja gospodarstva v lanskem letu. </w:t>
      </w:r>
    </w:p>
    <w:p w14:paraId="4D03213D" w14:textId="77777777" w:rsidR="00E500F4" w:rsidRDefault="00E500F4" w:rsidP="00E500F4">
      <w:r>
        <w:t xml:space="preserve"> </w:t>
      </w:r>
    </w:p>
    <w:p w14:paraId="0C1EF4A2" w14:textId="77777777" w:rsidR="00E500F4" w:rsidRDefault="00E500F4" w:rsidP="00E500F4">
      <w:r>
        <w:t>Dodatnih 250 milijonov evrov bi pridobili z znižanjem odhodkov ter z ukrepi posameznih ministrstev in Zavoda za zdravstveno zavarovanje Slovenije. Največji del prilagoditev bi po načrtih izvedli na obrambnem, zdravstvenem in infrastrukturnem področju.</w:t>
      </w:r>
    </w:p>
    <w:p w14:paraId="1A9BABAB" w14:textId="77777777" w:rsidR="00E500F4" w:rsidRDefault="00E500F4" w:rsidP="00E500F4">
      <w:r>
        <w:t xml:space="preserve"> </w:t>
      </w:r>
    </w:p>
    <w:p w14:paraId="6115772A" w14:textId="77777777" w:rsidR="00E500F4" w:rsidRDefault="00E500F4" w:rsidP="00E500F4">
      <w:r>
        <w:t>Ministrstva bodo Ministrstvu za finance do 18. maja 2026 posredovala vloge za prerazporeditev sredstev v finančna načrta Ministrstva za delo, družino, socialne zadeve in enake možnosti ter Ministrstva za vzgojo in izobraževanje, ki izkazujeta manko.</w:t>
      </w:r>
    </w:p>
    <w:p w14:paraId="0F89815E" w14:textId="77777777" w:rsidR="00E500F4" w:rsidRDefault="00E500F4" w:rsidP="00E500F4">
      <w:r>
        <w:t xml:space="preserve"> </w:t>
      </w:r>
    </w:p>
    <w:p w14:paraId="205A0556" w14:textId="2934B756" w:rsidR="00E500F4" w:rsidRDefault="00E500F4" w:rsidP="00E500F4">
      <w:r>
        <w:t>S tem bomo načrtovan primanjkljaj sektorja država, ki je bil v Letnem poročilu o napredku 2026 skladno s scenarijem nespremenjenih politik predviden v višini 3,4 odstotka BDP, znižali na sprva predviden primanjkljaj v višini 2,9 odstotka BDP.</w:t>
      </w:r>
    </w:p>
    <w:p w14:paraId="48DE9E99" w14:textId="5A8D5FE6" w:rsidR="00E500F4" w:rsidRDefault="00875998" w:rsidP="00875998">
      <w:pPr>
        <w:pStyle w:val="Vir"/>
      </w:pPr>
      <w:r w:rsidRPr="00875998">
        <w:t>Vir: Ministrstvo za finance</w:t>
      </w:r>
    </w:p>
    <w:p w14:paraId="3D2436BB" w14:textId="77777777" w:rsidR="00E500F4" w:rsidRDefault="00E500F4" w:rsidP="00937B4E"/>
    <w:p w14:paraId="1016B5DD" w14:textId="77777777" w:rsidR="00E500F4" w:rsidRDefault="00E500F4" w:rsidP="00937B4E"/>
    <w:p w14:paraId="2B18FDAB" w14:textId="019A90B8" w:rsidR="002E6856" w:rsidRPr="002E6856" w:rsidRDefault="002E6856" w:rsidP="002E6856">
      <w:pPr>
        <w:pStyle w:val="Naslov2"/>
      </w:pPr>
      <w:r w:rsidRPr="002E6856">
        <w:lastRenderedPageBreak/>
        <w:t>Vlada se je seznanila s Poročilom o stanju na deloviščih na slovenskih avtocestah in hitrih cestah</w:t>
      </w:r>
    </w:p>
    <w:p w14:paraId="1C6179E1" w14:textId="77777777" w:rsidR="002E6856" w:rsidRDefault="002E6856" w:rsidP="002E6856">
      <w:pPr>
        <w:autoSpaceDE w:val="0"/>
        <w:autoSpaceDN w:val="0"/>
        <w:adjustRightInd w:val="0"/>
        <w:spacing w:line="240" w:lineRule="atLeast"/>
        <w:jc w:val="both"/>
        <w:rPr>
          <w:rFonts w:cs="Arial"/>
          <w:iCs/>
          <w:szCs w:val="20"/>
          <w:lang w:eastAsia="sl-SI"/>
        </w:rPr>
      </w:pPr>
      <w:r>
        <w:rPr>
          <w:rFonts w:cs="Arial"/>
          <w:iCs/>
          <w:szCs w:val="20"/>
          <w:lang w:eastAsia="sl-SI"/>
        </w:rPr>
        <w:t>Vlada Republike Slovenije je na seji 7. 5. 2026 sprejela sklep, da Ministrstvo za infrastrukturo v sodelovanju z Ministrstvom za notranje zadeve in Družbo za avtoceste v Republiki Sloveniji, d. d., pripravi poročilo o stanju prometne varnosti na avtocestah in hitrih cestah. Ministrica Bratušek je 8. 5. 2026 sklicala sestanek, ki so se ga udeležili predstavniki Ministrstva za notranje zadeve, Policije, DARS, Javne agencije RS za varnost prometa (AVP) ter predstavniki pripravljavcev elaboratov zapor cest. Ministrica je zahtevala, da Policija in DARS pripravita podrobno poročilo o razmerah na delovišču primorske avtoceste, ki mora vključevati analizo prometne varnosti, že sprejete ukrepe za izboljšanje varnosti in pretočnosti ter nabor konkretnih dodatnih ukrepov za učinkovitejše upravljanje prometa v času del na celotni avtocestni infrastrukturi, poleg tega pa tudi, da se maksimalno okrepi nadzor in aktivnosti za ozaveščanje glede varne in osredotočene vožnje na območju delovišč avtocest in hitrih cest. Obenem je Inšpektorat RS za infrastrukturo opravil inšpekcijske preglede delovišč in pripravil poročilo, prav tako je AVP posredovala predlog kratkoročnih ukrepov, ki bodo upoštevani in dolgoročnih ukrepov, ki jih bodo strokovnjaki Ministrstva za infrastrukturo preučili v sodelovanju z drugimi strokovnjaki prometne stroke.</w:t>
      </w:r>
    </w:p>
    <w:p w14:paraId="628D7830" w14:textId="77777777" w:rsidR="002E6856" w:rsidRDefault="002E6856" w:rsidP="002E6856">
      <w:pPr>
        <w:pStyle w:val="Navadensplet"/>
        <w:jc w:val="both"/>
        <w:rPr>
          <w:rFonts w:ascii="Arial" w:hAnsi="Arial" w:cs="Arial"/>
          <w:iCs/>
          <w:sz w:val="20"/>
          <w:szCs w:val="20"/>
        </w:rPr>
      </w:pPr>
      <w:r w:rsidRPr="00597EC1">
        <w:rPr>
          <w:rFonts w:ascii="Arial" w:hAnsi="Arial" w:cs="Arial"/>
          <w:iCs/>
          <w:sz w:val="20"/>
          <w:szCs w:val="20"/>
        </w:rPr>
        <w:t>Na podlagi ugotovitev Ministrstva za notranje zadeve, Policije, DARS-a, AVP ter izvedenih inšpekcijskih nadzorov je mogoče zaključiti, da trenutna delovišča na slovenskih avtocestah in hitrih cestah predstavljajo pomemben izziv z vidika prometne varnosti in pretočnosti prometa, zlasti na prometno najbolj obremenjenih odsekih primorske avtoceste. Analize kažejo, da je večina začasnih prometnih ureditev izvedena skladno z veljavnimi predpisi in strokovnimi smernicami, pri čemer sistem vodenja prometa C2+2 kljub zoženim prometnim pasovom omogoča bistveno večjo prepustnost prometa kot alternativne rešitve z enim prometnim pasom v vsako smer.</w:t>
      </w:r>
    </w:p>
    <w:p w14:paraId="62FF96D3" w14:textId="2C435E33" w:rsidR="003F18C4" w:rsidRDefault="003F18C4" w:rsidP="002E6856">
      <w:pPr>
        <w:pStyle w:val="Navadensplet"/>
        <w:jc w:val="both"/>
        <w:rPr>
          <w:rFonts w:ascii="Arial" w:hAnsi="Arial" w:cs="Arial"/>
          <w:iCs/>
          <w:sz w:val="20"/>
          <w:szCs w:val="20"/>
        </w:rPr>
      </w:pPr>
      <w:r w:rsidRPr="003F18C4">
        <w:rPr>
          <w:rFonts w:ascii="Arial" w:hAnsi="Arial" w:cs="Arial"/>
          <w:iCs/>
          <w:sz w:val="20"/>
          <w:szCs w:val="20"/>
        </w:rPr>
        <w:t>Ministrica za infrastrukturo mag. Alenka Bratušek, minister za notranje zadeve Branko Zlobko, namestnik generalnega direktorja Policije Beno Meglič in predsednik uprave DARS, d. d. Andrej Ribič bodo podrobnejše ugotovitve poročila predstavili jutri, v petek, 15. maja 2026, ob 10. uri, na lokaciji poslovne zgradbe DARS d. d., Grič 58, Ljubljana (sejna soba v pritličju).</w:t>
      </w:r>
    </w:p>
    <w:p w14:paraId="678706C8" w14:textId="77777777" w:rsidR="002E6856" w:rsidRDefault="002E6856" w:rsidP="002E6856">
      <w:pPr>
        <w:pStyle w:val="Vir"/>
      </w:pPr>
      <w:r>
        <w:t>Vir: Ministrstvo za infrastrukturo</w:t>
      </w:r>
    </w:p>
    <w:p w14:paraId="51A41D9C" w14:textId="7918CE56" w:rsidR="00E00548" w:rsidRPr="004C77BA" w:rsidRDefault="00E00548" w:rsidP="00E00548">
      <w:pPr>
        <w:pStyle w:val="Naslov2"/>
      </w:pPr>
      <w:r w:rsidRPr="004C77BA">
        <w:t>Vlada je izdala Uredbo o rudarski pravici za izkoriščanje tehničnega kamna apnenec in tehničnega kamna dolomit v pridobivalnem prostoru Liboje 2 v občini Žalec</w:t>
      </w:r>
    </w:p>
    <w:p w14:paraId="2010C59C" w14:textId="77777777" w:rsidR="00E00548" w:rsidRPr="004C77BA" w:rsidRDefault="00E00548" w:rsidP="00E00548">
      <w:pPr>
        <w:spacing w:line="288" w:lineRule="auto"/>
        <w:jc w:val="both"/>
        <w:rPr>
          <w:rFonts w:cs="Arial"/>
          <w:szCs w:val="20"/>
        </w:rPr>
      </w:pPr>
      <w:r w:rsidRPr="004C77BA">
        <w:rPr>
          <w:rFonts w:cs="Arial"/>
          <w:szCs w:val="20"/>
        </w:rPr>
        <w:t>Za podelitev rudarske pravice na pridobivalnem prostoru iz te uredbe je bil postopek za izdajo rudarskega koncesijskega akta začet na podlagi vloge družbe VOC Ekologija d.o.o.</w:t>
      </w:r>
    </w:p>
    <w:p w14:paraId="3E79C6A4" w14:textId="77777777" w:rsidR="00E00548" w:rsidRPr="002402BE" w:rsidRDefault="00E00548" w:rsidP="00E00548">
      <w:pPr>
        <w:spacing w:line="288" w:lineRule="auto"/>
        <w:jc w:val="both"/>
        <w:rPr>
          <w:rFonts w:cs="Arial"/>
          <w:b/>
          <w:bCs/>
          <w:sz w:val="22"/>
          <w:szCs w:val="22"/>
        </w:rPr>
      </w:pPr>
    </w:p>
    <w:p w14:paraId="60C65AAB" w14:textId="25DCBEC7" w:rsidR="00E00548" w:rsidRDefault="00E00548" w:rsidP="00E00548">
      <w:pPr>
        <w:autoSpaceDE w:val="0"/>
        <w:autoSpaceDN w:val="0"/>
        <w:spacing w:line="240" w:lineRule="auto"/>
        <w:jc w:val="both"/>
        <w:rPr>
          <w:rFonts w:cs="Arial"/>
        </w:rPr>
      </w:pPr>
      <w:r w:rsidRPr="004C77BA">
        <w:rPr>
          <w:rFonts w:cs="Arial"/>
        </w:rPr>
        <w:t>Ministrstvo, pristojno za rudarstvo</w:t>
      </w:r>
      <w:r w:rsidR="000D042E">
        <w:rPr>
          <w:rFonts w:cs="Arial"/>
        </w:rPr>
        <w:t>,</w:t>
      </w:r>
      <w:r w:rsidRPr="004C77BA">
        <w:rPr>
          <w:rFonts w:cs="Arial"/>
        </w:rPr>
        <w:t xml:space="preserve"> je v ugotovitvenem postopku ugotovilo, da ima vlagatelj že podeljeno rudarsko pravico in koncesijo za izkoriščanje mineralnih surovin v pridobivalnem prostoru Liboje, pridobivalni prostor Liboje 2 pa predstavlja širitev pridobivalnega prostora Liboje v globino in na sosednja zemljišča. Zato se rudarska pravica in koncesija lahko podelita brez javnega razpisa na podlagi</w:t>
      </w:r>
      <w:r>
        <w:rPr>
          <w:rFonts w:cs="Arial"/>
        </w:rPr>
        <w:t xml:space="preserve"> zakona o rudarstvu.</w:t>
      </w:r>
    </w:p>
    <w:p w14:paraId="34912AD6" w14:textId="77777777" w:rsidR="00E00548" w:rsidRDefault="00E00548" w:rsidP="00E00548">
      <w:pPr>
        <w:autoSpaceDE w:val="0"/>
        <w:autoSpaceDN w:val="0"/>
        <w:spacing w:line="240" w:lineRule="auto"/>
        <w:jc w:val="both"/>
        <w:rPr>
          <w:rFonts w:cs="Arial"/>
        </w:rPr>
      </w:pPr>
    </w:p>
    <w:p w14:paraId="40252FFB" w14:textId="2710D348" w:rsidR="00E00548" w:rsidRDefault="00E00548" w:rsidP="00E00548">
      <w:pPr>
        <w:autoSpaceDE w:val="0"/>
        <w:autoSpaceDN w:val="0"/>
        <w:spacing w:line="240" w:lineRule="auto"/>
        <w:jc w:val="both"/>
        <w:rPr>
          <w:rFonts w:cs="Arial"/>
        </w:rPr>
      </w:pPr>
      <w:r w:rsidRPr="004C77BA">
        <w:rPr>
          <w:rFonts w:cs="Arial"/>
        </w:rPr>
        <w:t xml:space="preserve">Iz naslova koncesnine za izkoriščanje tehničnega kamna apnenec in tehničnega kamna dolomit v pridobivalnem prostoru Liboje 2 se pričakuje letni priliv okoli 92.631,69 </w:t>
      </w:r>
      <w:r w:rsidR="000D042E">
        <w:rPr>
          <w:rFonts w:cs="Arial"/>
        </w:rPr>
        <w:t>evra</w:t>
      </w:r>
      <w:r w:rsidRPr="004C77BA">
        <w:rPr>
          <w:rFonts w:cs="Arial"/>
        </w:rPr>
        <w:t xml:space="preserve">, od tega okoli 46.315 </w:t>
      </w:r>
      <w:r w:rsidR="000D042E">
        <w:rPr>
          <w:rFonts w:cs="Arial"/>
        </w:rPr>
        <w:t xml:space="preserve">evrov </w:t>
      </w:r>
      <w:r w:rsidRPr="004C77BA">
        <w:rPr>
          <w:rFonts w:cs="Arial"/>
        </w:rPr>
        <w:t xml:space="preserve">v državni proračun in ravno tako okoli 46.315 </w:t>
      </w:r>
      <w:r w:rsidR="000D042E">
        <w:rPr>
          <w:rFonts w:cs="Arial"/>
        </w:rPr>
        <w:t>evrov</w:t>
      </w:r>
      <w:r w:rsidRPr="004C77BA">
        <w:rPr>
          <w:rFonts w:cs="Arial"/>
        </w:rPr>
        <w:t xml:space="preserve"> v proračun Občine Žalec.</w:t>
      </w:r>
    </w:p>
    <w:p w14:paraId="59A4945D" w14:textId="77777777" w:rsidR="00E00548" w:rsidRPr="004C77BA" w:rsidRDefault="00E00548" w:rsidP="00E00548">
      <w:pPr>
        <w:pStyle w:val="Vir"/>
      </w:pPr>
      <w:r w:rsidRPr="00E00548">
        <w:t>Vir: Ministrstvo za naravne vire in prostor</w:t>
      </w:r>
    </w:p>
    <w:p w14:paraId="52C206FA" w14:textId="48CAF757" w:rsidR="00DE209E" w:rsidRDefault="00DE209E" w:rsidP="00DE209E">
      <w:pPr>
        <w:pStyle w:val="Naslov2"/>
      </w:pPr>
      <w:r>
        <w:t xml:space="preserve">Vlada sprejela spremembe </w:t>
      </w:r>
      <w:r w:rsidR="000D042E">
        <w:t>p</w:t>
      </w:r>
      <w:r>
        <w:t xml:space="preserve">rograma porabe sredstev Podnebnega sklada za leta 2025–2028 in s tem zagotovila podjetjem dodatnih 10 milijonov </w:t>
      </w:r>
      <w:r w:rsidR="003E6CF5">
        <w:t>evrov</w:t>
      </w:r>
      <w:r>
        <w:t xml:space="preserve"> sredstev za vgradnjo baterijskih hranilnikov električne energije </w:t>
      </w:r>
    </w:p>
    <w:p w14:paraId="5A2A0859" w14:textId="02B64822" w:rsidR="00DE209E" w:rsidRPr="00DE209E" w:rsidRDefault="00DE209E" w:rsidP="00DE209E">
      <w:pPr>
        <w:tabs>
          <w:tab w:val="left" w:pos="1815"/>
        </w:tabs>
        <w:rPr>
          <w:b/>
          <w:bCs/>
        </w:rPr>
      </w:pPr>
      <w:r w:rsidRPr="005F51DE">
        <w:lastRenderedPageBreak/>
        <w:t>Vlada je sprejela Odlok o spremembah Odloka o Programu porabe sredstev Podnebnega sklada za leta 2025–2028, s katerim se prilagajajo načrtovana sredstva za leto 2026.</w:t>
      </w:r>
      <w:r>
        <w:t xml:space="preserve"> </w:t>
      </w:r>
    </w:p>
    <w:p w14:paraId="198F2895" w14:textId="77777777" w:rsidR="00DE209E" w:rsidRDefault="00DE209E" w:rsidP="00DE209E">
      <w:pPr>
        <w:tabs>
          <w:tab w:val="left" w:pos="1815"/>
        </w:tabs>
        <w:jc w:val="both"/>
      </w:pPr>
    </w:p>
    <w:p w14:paraId="2414A556" w14:textId="77777777" w:rsidR="00DE209E" w:rsidRDefault="00DE209E" w:rsidP="00DE209E">
      <w:pPr>
        <w:tabs>
          <w:tab w:val="left" w:pos="1815"/>
        </w:tabs>
        <w:jc w:val="both"/>
      </w:pPr>
      <w:r>
        <w:t xml:space="preserve">Za spremembo odloka se je Ministrstvo za okolje, podnebje in energijo odločilo, ker je zaradi izjemnega zanimanja na razpisu za baterijske hranilnike električne energije, ki je na voljo pravnim osebam preko Borzena iz vira »REPowerEU«, zmanjkalo sredstev. </w:t>
      </w:r>
    </w:p>
    <w:p w14:paraId="4717997A" w14:textId="77777777" w:rsidR="00DE209E" w:rsidRDefault="00DE209E" w:rsidP="00DE209E">
      <w:pPr>
        <w:tabs>
          <w:tab w:val="left" w:pos="1815"/>
        </w:tabs>
        <w:jc w:val="both"/>
      </w:pPr>
    </w:p>
    <w:p w14:paraId="6F67B0DD" w14:textId="276F575E" w:rsidR="00DE209E" w:rsidRDefault="00DE209E" w:rsidP="00DE209E">
      <w:pPr>
        <w:tabs>
          <w:tab w:val="left" w:pos="1815"/>
        </w:tabs>
        <w:jc w:val="both"/>
      </w:pPr>
      <w:r>
        <w:t>Z dodatnimi sredstvi iz Podnebnega sklada omogočamo podjetjem, ki so še v fazi izvajanja investicij, da pridobijo subvencijo tudi po zaprtju</w:t>
      </w:r>
      <w:r w:rsidRPr="00AE7CA8">
        <w:t xml:space="preserve"> javn</w:t>
      </w:r>
      <w:r>
        <w:t>ega</w:t>
      </w:r>
      <w:r w:rsidRPr="00AE7CA8">
        <w:t xml:space="preserve"> poziv</w:t>
      </w:r>
      <w:r>
        <w:t>a</w:t>
      </w:r>
      <w:r w:rsidRPr="00AE7CA8">
        <w:t xml:space="preserve"> JP REPWR SUB-HEE-PO25</w:t>
      </w:r>
      <w:r>
        <w:t xml:space="preserve">, saj bo s temi sredstvi ob javljen nov poziv z nespremenjenimi pogoji. </w:t>
      </w:r>
    </w:p>
    <w:p w14:paraId="77F8FC6D" w14:textId="77777777" w:rsidR="00DE209E" w:rsidRDefault="00DE209E" w:rsidP="00DE209E">
      <w:pPr>
        <w:tabs>
          <w:tab w:val="left" w:pos="1815"/>
        </w:tabs>
        <w:jc w:val="both"/>
      </w:pPr>
    </w:p>
    <w:p w14:paraId="25F8E267" w14:textId="43174D37" w:rsidR="00DE209E" w:rsidRDefault="00DE209E" w:rsidP="00DE209E">
      <w:pPr>
        <w:tabs>
          <w:tab w:val="left" w:pos="1815"/>
        </w:tabs>
        <w:jc w:val="both"/>
      </w:pPr>
      <w:r>
        <w:t xml:space="preserve">Z dodatnimi 10 milijoni </w:t>
      </w:r>
      <w:r w:rsidR="000D042E">
        <w:t>evrov</w:t>
      </w:r>
      <w:r>
        <w:t xml:space="preserve"> iz Podnebnega sklada bomo podjetjem omogočili realizacijo približno 200 projektov. </w:t>
      </w:r>
    </w:p>
    <w:p w14:paraId="6B766923" w14:textId="77777777" w:rsidR="003F013B" w:rsidRDefault="003F013B" w:rsidP="003F013B">
      <w:pPr>
        <w:pStyle w:val="Vir"/>
      </w:pPr>
      <w:r>
        <w:t>Vir: Ministrstvo za okolje, podnebje in energijo</w:t>
      </w:r>
    </w:p>
    <w:p w14:paraId="6D92676E" w14:textId="560652D9" w:rsidR="00C93019" w:rsidRDefault="00C93019" w:rsidP="00C93019">
      <w:pPr>
        <w:pStyle w:val="Naslov2"/>
      </w:pPr>
      <w:r w:rsidRPr="009D1A02">
        <w:t>Vlada določila sredstva za spodbude elektrointenzivnim podjetjem</w:t>
      </w:r>
    </w:p>
    <w:p w14:paraId="4EEAE19D" w14:textId="77777777" w:rsidR="00C93019" w:rsidRDefault="00C93019" w:rsidP="00C93019">
      <w:pPr>
        <w:tabs>
          <w:tab w:val="left" w:pos="1815"/>
        </w:tabs>
        <w:jc w:val="both"/>
      </w:pPr>
      <w:r w:rsidRPr="009D1A02">
        <w:t>Vlada je sprejela sklep o določitvi razpoložljivega zneska za dodelitev spodbud elektrointenzivnim podjetjem za pokritje dela stroškov električne energije. Skupni obseg sredstev znaša 30 milijonov evrov</w:t>
      </w:r>
      <w:r>
        <w:t xml:space="preserve"> za leto 2026</w:t>
      </w:r>
      <w:r w:rsidRPr="009D1A02">
        <w:t>, najvišja spodbuda za električno energijo pa 30 evrov na MWh.</w:t>
      </w:r>
    </w:p>
    <w:p w14:paraId="23DE1CAD" w14:textId="77777777" w:rsidR="00C93019" w:rsidRPr="009D1A02" w:rsidRDefault="00C93019" w:rsidP="00C93019">
      <w:pPr>
        <w:tabs>
          <w:tab w:val="left" w:pos="1815"/>
        </w:tabs>
        <w:jc w:val="both"/>
      </w:pPr>
    </w:p>
    <w:p w14:paraId="1AFEEE1E" w14:textId="684611AB" w:rsidR="00C93019" w:rsidRDefault="00C93019" w:rsidP="00C93019">
      <w:pPr>
        <w:tabs>
          <w:tab w:val="left" w:pos="1815"/>
        </w:tabs>
        <w:jc w:val="both"/>
      </w:pPr>
      <w:r w:rsidRPr="009D1A02">
        <w:t>Ukrep je namenjen podpori slovenski elektrointenzivni industriji, ki je pomemben del izvoza, tehnološkega razvoja in zaposlovanja, hkrati pa med najbolj izpostavljenimi visokim cenam energije in globalni konkurenci. Namen ukrepa je podjetjem olajšati obvladovanje stroškov električne energije ter podpreti razogljičenje, elektrifikacijo procesov in vlaganja v čiste tehnologije.</w:t>
      </w:r>
      <w:r>
        <w:t xml:space="preserve"> Za vsa tri leta, kolikor naj bi trajal ta ukrep, bo energetsko intenzivni industriji skupaj namenjeno predvidoma 90 mio </w:t>
      </w:r>
      <w:r w:rsidR="00B851D3">
        <w:t>evrov</w:t>
      </w:r>
      <w:r>
        <w:t xml:space="preserve"> sredstev.</w:t>
      </w:r>
    </w:p>
    <w:p w14:paraId="4101C380" w14:textId="77777777" w:rsidR="00C93019" w:rsidRPr="009D1A02" w:rsidRDefault="00C93019" w:rsidP="00C93019">
      <w:pPr>
        <w:tabs>
          <w:tab w:val="left" w:pos="1815"/>
        </w:tabs>
        <w:jc w:val="both"/>
      </w:pPr>
    </w:p>
    <w:p w14:paraId="7BB5CDBA" w14:textId="77777777" w:rsidR="00C93019" w:rsidRDefault="00C93019" w:rsidP="00C93019">
      <w:pPr>
        <w:tabs>
          <w:tab w:val="left" w:pos="1815"/>
        </w:tabs>
        <w:jc w:val="both"/>
      </w:pPr>
      <w:r w:rsidRPr="009D1A02">
        <w:t xml:space="preserve">Vlada poudarja, da ukrep ni klasična subvencija industriji, temveč del prizadevanj za ohranitev industrijskih kapacitet in izvedbo zelenega prehoda v Sloveniji. Evropska komisija je Sloveniji </w:t>
      </w:r>
      <w:r>
        <w:t>v drugi polovici</w:t>
      </w:r>
      <w:r w:rsidRPr="009D1A02">
        <w:t xml:space="preserve"> aprila 2026 odobrila shemo državne pomoči, Slovenija pa je med prvimi državami članicami EU, ki je vzpostavila takšen mehanizem podpore.</w:t>
      </w:r>
    </w:p>
    <w:p w14:paraId="08A25CAC" w14:textId="77777777" w:rsidR="00C93019" w:rsidRPr="009D1A02" w:rsidRDefault="00C93019" w:rsidP="00C93019">
      <w:pPr>
        <w:tabs>
          <w:tab w:val="left" w:pos="1815"/>
        </w:tabs>
        <w:jc w:val="both"/>
      </w:pPr>
    </w:p>
    <w:p w14:paraId="57C9EEF3" w14:textId="77777777" w:rsidR="00C93019" w:rsidRPr="009D1A02" w:rsidRDefault="00C93019" w:rsidP="00C93019">
      <w:pPr>
        <w:tabs>
          <w:tab w:val="left" w:pos="1815"/>
        </w:tabs>
        <w:jc w:val="both"/>
      </w:pPr>
      <w:r w:rsidRPr="009D1A02">
        <w:t xml:space="preserve">Sprejeti sklep omogoča Borzenu, da v naslednjih </w:t>
      </w:r>
      <w:r>
        <w:t>dnevih</w:t>
      </w:r>
      <w:r w:rsidRPr="009D1A02">
        <w:t xml:space="preserve"> objavi javni poziv in začne postopke za dodelitev spodbud podjetjem</w:t>
      </w:r>
      <w:r>
        <w:t>, pogodbe pa naj bi bile sklenjene v 30 dneh</w:t>
      </w:r>
      <w:r w:rsidRPr="009D1A02">
        <w:t>. Pričakuje se</w:t>
      </w:r>
      <w:r>
        <w:t xml:space="preserve"> torej</w:t>
      </w:r>
      <w:r w:rsidRPr="009D1A02">
        <w:t xml:space="preserve">, da bodo podjetja sredstva začela koristiti </w:t>
      </w:r>
      <w:r>
        <w:t>ž</w:t>
      </w:r>
      <w:r w:rsidRPr="009D1A02">
        <w:t xml:space="preserve">e </w:t>
      </w:r>
      <w:r>
        <w:t xml:space="preserve"> junija</w:t>
      </w:r>
      <w:r w:rsidRPr="009D1A02">
        <w:t xml:space="preserve"> 2026.</w:t>
      </w:r>
    </w:p>
    <w:p w14:paraId="74A46024" w14:textId="77777777" w:rsidR="00C93019" w:rsidRPr="00C93019" w:rsidRDefault="00C93019" w:rsidP="00C93019">
      <w:pPr>
        <w:pStyle w:val="Vir"/>
      </w:pPr>
      <w:r w:rsidRPr="00C93019">
        <w:t>Vir: Ministrstvo za okolje, podnebje in energijo</w:t>
      </w:r>
    </w:p>
    <w:p w14:paraId="287FC0BD" w14:textId="446EDE00" w:rsidR="004968E7" w:rsidRDefault="004968E7" w:rsidP="004968E7">
      <w:pPr>
        <w:pStyle w:val="Naslov2"/>
      </w:pPr>
      <w:r>
        <w:t>Vlada podaljša</w:t>
      </w:r>
      <w:r w:rsidR="00EB20A0">
        <w:t>la</w:t>
      </w:r>
      <w:r>
        <w:t xml:space="preserve"> roka za pripravo odgovora oziroma izjasnitve v postopku za oceno ustavnosti in zakonitosti Odloka o občinskem podrobnem prostorskem načrtu »Ob Belokriški«.</w:t>
      </w:r>
    </w:p>
    <w:p w14:paraId="72713EC1" w14:textId="77777777" w:rsidR="004968E7" w:rsidRDefault="004968E7" w:rsidP="004968E7">
      <w:r>
        <w:t>Ministrstvo za naravne vire in prostor je 30. aprila 2026 prejelo dopis Generalnega sekretariata vlade, s katerim mu je bila posredovana zahteva Ustavnega sodišča Republike Slovenije, da se Vlada Republike Slovenije v 15 dneh izjavi o zahtevi nasprotne udeleženke.</w:t>
      </w:r>
    </w:p>
    <w:p w14:paraId="590A8D25" w14:textId="77777777" w:rsidR="00F858D5" w:rsidRDefault="00F858D5" w:rsidP="004968E7"/>
    <w:p w14:paraId="7D81778F" w14:textId="77777777" w:rsidR="004968E7" w:rsidRDefault="004968E7" w:rsidP="004968E7">
      <w:r>
        <w:t>Ministrstvo je istega dne Ustavnemu sodišču posredovalo prošnjo za podaljšanje roka, saj mora biti izjava vlade pripravljena skladno s Poslovnikom Vlade Republike Slovenije, kar zahteva izvedbo    ustreznih postopkov priprave in usklajevanja vladnega gradiva. Ministrstvo je predlagalo podaljšanje roka do 30. junija 2026.</w:t>
      </w:r>
    </w:p>
    <w:p w14:paraId="6AD4961E" w14:textId="77777777" w:rsidR="004968E7" w:rsidRDefault="004968E7" w:rsidP="004968E7"/>
    <w:p w14:paraId="788FEFC3" w14:textId="77777777" w:rsidR="004968E7" w:rsidRDefault="004968E7" w:rsidP="004968E7">
      <w:r>
        <w:lastRenderedPageBreak/>
        <w:t>Ustavno sodišče je z dopisom z dne 7. maja 2026 pojasnilo, da ima prošnja za podaljšanje roka lahko pravne učinke le, če jo vloži organ, ki mu je rok določen, torej Vlada Republike Slovenije. Zato Ustavno sodišče o vlogi ministrstva ni moglo odločiti.</w:t>
      </w:r>
    </w:p>
    <w:p w14:paraId="44EDF736" w14:textId="77777777" w:rsidR="004968E7" w:rsidRDefault="004968E7" w:rsidP="004968E7"/>
    <w:p w14:paraId="7831B7B1" w14:textId="77777777" w:rsidR="004968E7" w:rsidRDefault="004968E7" w:rsidP="004968E7">
      <w:r>
        <w:t>Vlada zato Ustavnemu sodišču predlaga, da rok za pripravo odgovora oziroma izjasnitve podaljša do 30. junija 2026. S tem bodo omogočeni ustrezni postopki priprave in usklajevanja vladnega gradiva skladno s Poslovnikom Vlade Republike Slovenije.</w:t>
      </w:r>
    </w:p>
    <w:p w14:paraId="266102C7" w14:textId="77777777" w:rsidR="004968E7" w:rsidRDefault="004968E7" w:rsidP="004968E7"/>
    <w:p w14:paraId="268047F4" w14:textId="72B46155" w:rsidR="004968E7" w:rsidRDefault="004968E7" w:rsidP="004968E7">
      <w:r>
        <w:t>Gradivo, s katerim bo Vlada Ustavnemu sodišču podala izjasnitev na navedbe nasprotne udeleženke in se opredelila, ali pri zahtevi še vztraja, je v zaključni fazi priprave. Ministrstvo za naravne vire in prostor je že pridobilo mnenje Ministrstva za finance, pričakuje pa še mnenje Službe Vlade Republike Slovenije za zakonodajo.</w:t>
      </w:r>
    </w:p>
    <w:p w14:paraId="6622A558" w14:textId="04D597B1" w:rsidR="00432091" w:rsidRDefault="004968E7" w:rsidP="00F858D5">
      <w:pPr>
        <w:pStyle w:val="Vir"/>
      </w:pPr>
      <w:r>
        <w:t xml:space="preserve">Vir: </w:t>
      </w:r>
      <w:r>
        <w:t>Ministrstvo za naravne vire in prostor</w:t>
      </w:r>
    </w:p>
    <w:p w14:paraId="3F1C8A6E" w14:textId="6CA003CC" w:rsidR="00E00548" w:rsidRPr="00E00548" w:rsidRDefault="00E00548" w:rsidP="00E00548">
      <w:pPr>
        <w:pStyle w:val="Naslov2"/>
      </w:pPr>
      <w:r w:rsidRPr="00E00548">
        <w:t>Vlada sprejela letna programa odprave posledic škode, nastale v naravnih nesrečah v letu 2024, ter škode, nastale v potresu v Posočju julija 2004</w:t>
      </w:r>
    </w:p>
    <w:p w14:paraId="63A211D1" w14:textId="77777777" w:rsidR="00E00548" w:rsidRPr="00E00548" w:rsidRDefault="00E00548" w:rsidP="00E00548">
      <w:r w:rsidRPr="00E00548">
        <w:t>Vlada je na današnji seji sprejela dva programa odprave posledic škode na stvareh za letošnje leto – letni program odprave posledic škode zaradi naravnih nesreč v letu 2024 in letni program odprave posledic škode zaradi potresa v Posočju 12. julija 2004.</w:t>
      </w:r>
    </w:p>
    <w:p w14:paraId="5B926C8B" w14:textId="77777777" w:rsidR="00E00548" w:rsidRPr="00E00548" w:rsidRDefault="00E00548" w:rsidP="00E00548"/>
    <w:p w14:paraId="1B5B06BC" w14:textId="77777777" w:rsidR="00E00548" w:rsidRDefault="00E00548" w:rsidP="00E00548">
      <w:r w:rsidRPr="00E00548">
        <w:t>Prvi program obsega sredstva v višini 11 milijonov evrov, njegov namen je realizacija ukrepov, ki so potrebni za normalizacijo stanja na prizadetih območjih.</w:t>
      </w:r>
    </w:p>
    <w:p w14:paraId="6EEC9506" w14:textId="77777777" w:rsidR="00F858D5" w:rsidRPr="00E00548" w:rsidRDefault="00F858D5" w:rsidP="00E00548"/>
    <w:p w14:paraId="68D3970C" w14:textId="0E1E25E7" w:rsidR="00E00548" w:rsidRPr="00E00548" w:rsidRDefault="00E00548" w:rsidP="00E00548">
      <w:r w:rsidRPr="00E00548">
        <w:t>Drugi program pa obsega sredstva v višini 2 milijona evrov, njegov namen je realizacija ukrepov, ki so potrebni za normalizacijo stanja na prizadetih območjih in nadaljevanje odpravljanja posledic potresa.</w:t>
      </w:r>
    </w:p>
    <w:p w14:paraId="58A196E7" w14:textId="77777777" w:rsidR="00E00548" w:rsidRDefault="00E00548" w:rsidP="00E00548">
      <w:pPr>
        <w:pStyle w:val="Vir"/>
      </w:pPr>
      <w:r>
        <w:t>Vir: Ministrstvo za naravne vire in prostor</w:t>
      </w:r>
    </w:p>
    <w:p w14:paraId="7B59EE2B" w14:textId="229EDC4E" w:rsidR="00432091" w:rsidRDefault="00432091" w:rsidP="00432091">
      <w:pPr>
        <w:pStyle w:val="Naslov2"/>
      </w:pPr>
      <w:r>
        <w:t>Vlada se je seznanila z informacijo o izidu javnega, projektnega, enostopenjskega natečaja za izbiro strokovno najprimernejše rešitve za spomenik slovenske osamosvojitve v Ljubljani</w:t>
      </w:r>
    </w:p>
    <w:p w14:paraId="2320C92A" w14:textId="77777777" w:rsidR="00432091" w:rsidRDefault="00432091" w:rsidP="00432091">
      <w:r>
        <w:t>Vlada Republike Slovenije se je na 132. redni seji 12. decembra 2024 seznanila z vsebino Natečajne naloge za postavitev spomenika slovenske osamosvojitve na Trgu republike, jo potrdila in naložila Ministrstvu za obrambo, da v sodelovanju z Zbornico za arhitekturo in prostor Slovenije razpiše in izvede mednarodno odprt, anonimen, javni, interdisciplinarni natečaj za postavitev spomenika slovenske osamosvojitve na Trgu republike v Ljubljani ter da za pripravo in izvedbo natečaja zagotovi finančna sredstva.</w:t>
      </w:r>
    </w:p>
    <w:p w14:paraId="3BD2163E" w14:textId="77777777" w:rsidR="00432091" w:rsidRDefault="00432091" w:rsidP="00432091"/>
    <w:p w14:paraId="05AC1507" w14:textId="77777777" w:rsidR="00432091" w:rsidRDefault="00432091" w:rsidP="00432091">
      <w:r>
        <w:t xml:space="preserve">Ministrstvo je pripravilo vse potrebne investicijske dokumente in projekt uvrstilo med nacionalne razvojne projekte državnega proračuna. Sledil je podpis pogodbe z Zbornico za arhitekturo in prostor Slovenije o skupni izvedbi natečaja, katerega namen je bil pridobiti strokovno, interdisciplinarno zasnovano in oblikovno najprimernejšo rešitev za postavitev spomenika slovenske osamosvojitve na Trgu republike v Ljubljani. </w:t>
      </w:r>
    </w:p>
    <w:p w14:paraId="35AF727A" w14:textId="77777777" w:rsidR="00432091" w:rsidRDefault="00432091" w:rsidP="00432091"/>
    <w:p w14:paraId="26C7905B" w14:textId="77777777" w:rsidR="00432091" w:rsidRDefault="00432091" w:rsidP="00432091">
      <w:r>
        <w:t xml:space="preserve">Javno naročilo je bilo 6. junija 2025 objavljeno na portalu javnih naročil. Do roka je bilo v okviru predhodnega preizkusa, ki ga je opravila ocenjevalna komisija, pravočasno prejetih 36 elaboratov. </w:t>
      </w:r>
    </w:p>
    <w:p w14:paraId="50F9CB53" w14:textId="77777777" w:rsidR="00432091" w:rsidRDefault="00432091" w:rsidP="00432091"/>
    <w:p w14:paraId="19FA07F2" w14:textId="77777777" w:rsidR="00432091" w:rsidRDefault="00432091" w:rsidP="00432091">
      <w:r>
        <w:t>Ocenjevalna komisija za izbiro strokovno najprimernejše odločitve, ki jo je imenoval minister za obrambo, je 5. marca 2026 na podlagi izvedenega natečaja izbrala strokovno najprimernejšo rešitev in izdala obvestilo o izidu javnega natečaja. Prvo nagrado je komisija podelila natečajnemu elaboratu z delovno številko 31//31D (šifra natečajnika TR256).</w:t>
      </w:r>
    </w:p>
    <w:p w14:paraId="280F8BC2" w14:textId="77777777" w:rsidR="00432091" w:rsidRDefault="00432091" w:rsidP="00432091"/>
    <w:p w14:paraId="777157D5" w14:textId="77777777" w:rsidR="00432091" w:rsidRDefault="00432091" w:rsidP="00432091">
      <w:r>
        <w:t xml:space="preserve">Izhodiščna vrednost projekta je 2.097.593 evrov z DDV. Leta 2026 so v proračunu ministrstva zagotovljena finančna sredstva v višini 1.747.593 evrov. </w:t>
      </w:r>
    </w:p>
    <w:p w14:paraId="0028CEEE" w14:textId="0108110E" w:rsidR="00432091" w:rsidRDefault="00432091" w:rsidP="00432091">
      <w:pPr>
        <w:pStyle w:val="Vir"/>
      </w:pPr>
      <w:r>
        <w:t>Vir: Ministrstvo za obrambo</w:t>
      </w:r>
    </w:p>
    <w:p w14:paraId="57D89F53" w14:textId="544CBDB9" w:rsidR="006C2873" w:rsidRPr="006C2873" w:rsidRDefault="006C2873" w:rsidP="006C2873">
      <w:pPr>
        <w:pStyle w:val="Naslov2"/>
      </w:pPr>
      <w:r w:rsidRPr="006C2873">
        <w:t>Vlada prerazporeja sredstva državnega proračuna</w:t>
      </w:r>
    </w:p>
    <w:p w14:paraId="3ECF59FE" w14:textId="77777777" w:rsidR="006C2873" w:rsidRPr="006C2873" w:rsidRDefault="006C2873" w:rsidP="006C2873">
      <w:r w:rsidRPr="006C2873">
        <w:t>Vlada je na današnji seji odločila o prerazporeditvah pravic porabe v državnem proračunu za letošnje leto.</w:t>
      </w:r>
    </w:p>
    <w:p w14:paraId="33BC43E9" w14:textId="77777777" w:rsidR="006C2873" w:rsidRPr="006C2873" w:rsidRDefault="006C2873" w:rsidP="006C2873"/>
    <w:p w14:paraId="0C8DDACB" w14:textId="588604EE" w:rsidR="00432091" w:rsidRPr="006C2873" w:rsidRDefault="006C2873" w:rsidP="006C2873">
      <w:r w:rsidRPr="006C2873">
        <w:t>Na podlagi ocene prostih pravic porabe Ministrstvo za notranje zadeve/Policija prerazporeja pravice porabe na Ministrstvo za kohezijo in regionalni razvoj v višini 4,5 milijona evrov. Pravice porabe se prerazporejajo v okviru namenskih sredstev EU in se zagotavljajo za izvedbo projektov kohezijske politike v letu 2026.</w:t>
      </w:r>
    </w:p>
    <w:p w14:paraId="0138E33E" w14:textId="00497C9D" w:rsidR="006C2873" w:rsidRDefault="006C2873" w:rsidP="006C2873">
      <w:pPr>
        <w:pStyle w:val="Vir"/>
      </w:pPr>
      <w:r w:rsidRPr="006C2873">
        <w:t>Vir: Ministrstvo za finance</w:t>
      </w:r>
    </w:p>
    <w:p w14:paraId="4064D8B9" w14:textId="059DC7B9" w:rsidR="00DE209E" w:rsidRDefault="00DE209E" w:rsidP="00DE209E">
      <w:pPr>
        <w:pStyle w:val="Naslov2"/>
      </w:pPr>
      <w:r>
        <w:t>Informacija o financiranju dela narodnostnih programov RTV Slovenija</w:t>
      </w:r>
    </w:p>
    <w:p w14:paraId="53C66060" w14:textId="31255DE5" w:rsidR="00DE209E" w:rsidRDefault="00DE209E" w:rsidP="00DE209E">
      <w:pPr>
        <w:pBdr>
          <w:top w:val="nil"/>
          <w:left w:val="nil"/>
          <w:bottom w:val="nil"/>
          <w:right w:val="nil"/>
          <w:between w:val="nil"/>
        </w:pBdr>
        <w:spacing w:line="260" w:lineRule="auto"/>
        <w:rPr>
          <w:color w:val="000000"/>
        </w:rPr>
      </w:pPr>
      <w:r>
        <w:rPr>
          <w:color w:val="000000"/>
        </w:rPr>
        <w:t xml:space="preserve">Vlada se je na današnji seji seznanila z </w:t>
      </w:r>
      <w:r w:rsidR="00F858D5">
        <w:rPr>
          <w:color w:val="000000"/>
        </w:rPr>
        <w:t>i</w:t>
      </w:r>
      <w:r>
        <w:rPr>
          <w:color w:val="000000"/>
        </w:rPr>
        <w:t>nformacijo</w:t>
      </w:r>
      <w:r>
        <w:rPr>
          <w:b/>
          <w:bCs/>
          <w:color w:val="000000"/>
        </w:rPr>
        <w:t xml:space="preserve"> </w:t>
      </w:r>
      <w:r>
        <w:rPr>
          <w:color w:val="000000"/>
        </w:rPr>
        <w:t xml:space="preserve">o financiranju dela narodnostnih programov RTV Slovenija za leto 2026. </w:t>
      </w:r>
    </w:p>
    <w:p w14:paraId="7C6C2F4B" w14:textId="7195E547" w:rsidR="00DE209E" w:rsidRDefault="00DE209E" w:rsidP="00DE209E">
      <w:pPr>
        <w:pBdr>
          <w:top w:val="nil"/>
          <w:left w:val="nil"/>
          <w:bottom w:val="nil"/>
          <w:right w:val="nil"/>
          <w:between w:val="nil"/>
        </w:pBdr>
        <w:spacing w:line="260" w:lineRule="auto"/>
        <w:rPr>
          <w:color w:val="000000"/>
        </w:rPr>
      </w:pPr>
      <w:r>
        <w:rPr>
          <w:color w:val="000000"/>
        </w:rPr>
        <w:t xml:space="preserve">Za zagotovitev kontinuitete financiranja je </w:t>
      </w:r>
      <w:r w:rsidR="00F858D5">
        <w:rPr>
          <w:color w:val="000000"/>
        </w:rPr>
        <w:t>v</w:t>
      </w:r>
      <w:r>
        <w:rPr>
          <w:color w:val="000000"/>
        </w:rPr>
        <w:t xml:space="preserve">lada Uradu Vlade Republike Slovenije za narodnosti za leto 2027 naložila, da po pridobitvi uradnega podatka o višini zbranega RTV prispevka za leto 2026 izda odločbo za financiranje narodnostnih programov RTV Slovenija za leto 2027. </w:t>
      </w:r>
    </w:p>
    <w:p w14:paraId="6E3B7645" w14:textId="2B447442" w:rsidR="00DE209E" w:rsidRDefault="00DE209E" w:rsidP="00DE209E">
      <w:pPr>
        <w:pStyle w:val="Vir"/>
      </w:pPr>
      <w:r w:rsidRPr="00DE209E">
        <w:t>Vir: Generalni sekretariat vlade</w:t>
      </w:r>
    </w:p>
    <w:p w14:paraId="736A7AB6" w14:textId="492E7840" w:rsidR="00E36750" w:rsidRDefault="00E36750" w:rsidP="00E36750">
      <w:pPr>
        <w:pStyle w:val="Naslov2"/>
      </w:pPr>
      <w:r w:rsidRPr="00E601E5">
        <w:t>Vlada sprejela stališče do predloga EU glede poenostavitve nekaterih zahtev in zmanjšanja upravnega bremena</w:t>
      </w:r>
    </w:p>
    <w:p w14:paraId="32A800AC" w14:textId="1E89BFE8" w:rsidR="00E36750" w:rsidRDefault="00E36750" w:rsidP="00E36750">
      <w:pPr>
        <w:tabs>
          <w:tab w:val="left" w:pos="1815"/>
        </w:tabs>
        <w:jc w:val="both"/>
      </w:pPr>
      <w:r w:rsidRPr="00E601E5">
        <w:t>Vlada je sprejela stališče Republike Slovenije do predloga direktive Evropskega parlamenta in Sveta o spremembi direktiv 2008/98/ES, 2010/75/EU, (EU) 2015/2193 in (EU) 2024/1785 glede poenostavitve nekaterih zahtev in zmanjšanja upravnega bremena. S tem sklepom se nadomešča sklep vlade z dne 7. 5. 2026.</w:t>
      </w:r>
    </w:p>
    <w:p w14:paraId="722EA80A" w14:textId="77777777" w:rsidR="00E36750" w:rsidRPr="00E601E5" w:rsidRDefault="00E36750" w:rsidP="00E36750">
      <w:pPr>
        <w:tabs>
          <w:tab w:val="left" w:pos="1815"/>
        </w:tabs>
        <w:jc w:val="both"/>
      </w:pPr>
    </w:p>
    <w:p w14:paraId="02F17482" w14:textId="77777777" w:rsidR="00E36750" w:rsidRDefault="00E36750" w:rsidP="00E36750">
      <w:pPr>
        <w:tabs>
          <w:tab w:val="left" w:pos="1815"/>
        </w:tabs>
        <w:jc w:val="both"/>
      </w:pPr>
      <w:r w:rsidRPr="00E601E5">
        <w:t>Slovenija podpira prizadevanja za zmanjševanje administrativnih bremen in s tem povezanih stroškov za proizvajalce in industrijo, vendar poudarja, da to ne sme povzročiti nesorazmernega povečanja administrativnih ali finančnih bremen za pristojne organe ali zmanjšanja ravni varstva okolja.</w:t>
      </w:r>
    </w:p>
    <w:p w14:paraId="040F4FDC" w14:textId="77777777" w:rsidR="00E36750" w:rsidRPr="00E601E5" w:rsidRDefault="00E36750" w:rsidP="00E36750">
      <w:pPr>
        <w:tabs>
          <w:tab w:val="left" w:pos="1815"/>
        </w:tabs>
        <w:jc w:val="both"/>
      </w:pPr>
    </w:p>
    <w:p w14:paraId="5A7759FA" w14:textId="77777777" w:rsidR="00E36750" w:rsidRDefault="00E36750" w:rsidP="00E36750">
      <w:pPr>
        <w:tabs>
          <w:tab w:val="left" w:pos="1815"/>
        </w:tabs>
        <w:jc w:val="both"/>
      </w:pPr>
      <w:r w:rsidRPr="00E601E5">
        <w:t>Slovenija podpira tudi večjo prožnost pri izdaji dovoljenj za naprave v procesu razogljičenja industrije, vključno z napravami, ki uporabljajo vodik ali delujejo v s kisikom obogateni atmosferi. Ob tem poudarja pomen jasnih in nedvoumnih rešitev, ki zagotavljajo ustrezno pravno varnost zavezancev.</w:t>
      </w:r>
    </w:p>
    <w:p w14:paraId="2FC3BF5A" w14:textId="77777777" w:rsidR="00E36750" w:rsidRPr="00E601E5" w:rsidRDefault="00E36750" w:rsidP="00E36750">
      <w:pPr>
        <w:tabs>
          <w:tab w:val="left" w:pos="1815"/>
        </w:tabs>
        <w:jc w:val="both"/>
      </w:pPr>
    </w:p>
    <w:p w14:paraId="0390ADB3" w14:textId="77777777" w:rsidR="00E36750" w:rsidRPr="00E601E5" w:rsidRDefault="00E36750" w:rsidP="00E36750">
      <w:pPr>
        <w:tabs>
          <w:tab w:val="left" w:pos="1815"/>
        </w:tabs>
        <w:jc w:val="both"/>
      </w:pPr>
      <w:r w:rsidRPr="00E601E5">
        <w:t>V pogajanjih si bo Slovenija prizadevala za rešitve, ki bodo ohranjale cilje varstva okolja ter hkrati zmanjšale nepotrebna administrativna bremena.</w:t>
      </w:r>
    </w:p>
    <w:p w14:paraId="07B282FB" w14:textId="77777777" w:rsidR="00E36750" w:rsidRDefault="00E36750" w:rsidP="00E36750">
      <w:pPr>
        <w:pStyle w:val="Vir"/>
      </w:pPr>
      <w:r>
        <w:t>Vir: Ministrstvo za okolje, podnebje in energijo</w:t>
      </w:r>
    </w:p>
    <w:p w14:paraId="500B2318" w14:textId="655A4E62" w:rsidR="00950452" w:rsidRDefault="00950452" w:rsidP="00950452">
      <w:pPr>
        <w:pStyle w:val="Naslov2"/>
      </w:pPr>
      <w:r>
        <w:t>Vlada dala soglasje k imenovanju vodstev treh javnih zdravstvenih zavodov</w:t>
      </w:r>
    </w:p>
    <w:p w14:paraId="564E3459" w14:textId="77777777" w:rsidR="00950452" w:rsidRDefault="00950452" w:rsidP="00950452">
      <w:pPr>
        <w:jc w:val="both"/>
      </w:pPr>
      <w:r>
        <w:lastRenderedPageBreak/>
        <w:t xml:space="preserve">Vlada Republike Slovenije je na današnji seji dala soglasje k imenovanju Tanje Smrekar za direktorico javnega zdravstvenega zavoda Bolnišnica za otroke Šentvid pri Stični za mandatno dobo štirih let, in sicer od 1. junija 2026 do 31. maja 2030, z možnostjo ponovnega imenovanja. </w:t>
      </w:r>
    </w:p>
    <w:p w14:paraId="113B1200" w14:textId="77777777" w:rsidR="00950452" w:rsidRDefault="00950452" w:rsidP="00950452">
      <w:pPr>
        <w:jc w:val="both"/>
      </w:pPr>
    </w:p>
    <w:p w14:paraId="222E5169" w14:textId="33F51E86" w:rsidR="00950452" w:rsidRDefault="00950452" w:rsidP="00950452">
      <w:pPr>
        <w:jc w:val="both"/>
      </w:pPr>
      <w:r>
        <w:t>Soglasje je vlada dala tudi k imenovanju mag. Klavdije Širaj Mažgon za direktorico javnega zdravstvenega zavoda Psihiatrična bolnišnica Idrija. Njen mandat bo trajal od 1. junija 2026 do 31. maja 2030, z možnostjo ponovnega imenovanja.</w:t>
      </w:r>
    </w:p>
    <w:p w14:paraId="65F5E097" w14:textId="77777777" w:rsidR="00950452" w:rsidRDefault="00950452" w:rsidP="00950452">
      <w:pPr>
        <w:jc w:val="both"/>
      </w:pPr>
    </w:p>
    <w:p w14:paraId="24B5EA95" w14:textId="7F5B9C67" w:rsidR="00950452" w:rsidRDefault="00950452" w:rsidP="00950452">
      <w:pPr>
        <w:jc w:val="both"/>
      </w:pPr>
      <w:r>
        <w:t>Prav tako je vlada dala soglasje k imenovanju Vada Keranovića za direktorja javnega zdravstvenega zavoda Ortopedska bolnišnica Valdoltra – Ospedale Ortopedico Valdoltra za mandatno dobo štirih let, in sicer od 26. avgusta 2026 do 25. avgusta 2030, z možnostjo ponovnega imenovanja.</w:t>
      </w:r>
    </w:p>
    <w:p w14:paraId="4A3B3B64" w14:textId="71F514EB" w:rsidR="009D7656" w:rsidRDefault="00950452" w:rsidP="00950452">
      <w:pPr>
        <w:pStyle w:val="Vir"/>
      </w:pPr>
      <w:r>
        <w:t>Vir: Ministrstvo za zdravje</w:t>
      </w:r>
    </w:p>
    <w:p w14:paraId="4198AA7B" w14:textId="6387D683" w:rsidR="0033346B" w:rsidRDefault="0033346B" w:rsidP="0033346B">
      <w:pPr>
        <w:pStyle w:val="Naslov2"/>
      </w:pPr>
      <w:r>
        <w:t xml:space="preserve">Vlada imenovala predstavnico ustanovitelja v svet javnega zavoda Zavod Republike Slovenije za šolstvo </w:t>
      </w:r>
    </w:p>
    <w:p w14:paraId="20D8B3B4" w14:textId="275C7F0B" w:rsidR="009D7656" w:rsidRDefault="0033346B" w:rsidP="0033346B">
      <w:r>
        <w:t>Vlada je v svet javnega zavoda Zavod Republike Slovenije za šolstvo za preostanek mandata sveta, in sicer od 15. maja 2026 do 9. februarja 2030, kot predstavnico ustanovitelja imenovala Jožico iskra.</w:t>
      </w:r>
    </w:p>
    <w:p w14:paraId="73387314" w14:textId="3915B19A" w:rsidR="0033346B" w:rsidRDefault="0033346B" w:rsidP="0033346B">
      <w:pPr>
        <w:pStyle w:val="Vir"/>
      </w:pPr>
      <w:r w:rsidRPr="0033346B">
        <w:t>Vir: Ministrstvo za vzgojo in izobraževanje</w:t>
      </w:r>
    </w:p>
    <w:p w14:paraId="2AFCDB55" w14:textId="4708B4DB" w:rsidR="00326DBE" w:rsidRPr="00B716BC" w:rsidRDefault="00326DBE" w:rsidP="00326DBE">
      <w:pPr>
        <w:pStyle w:val="Naslov2"/>
      </w:pPr>
      <w:r>
        <w:t>Sprememba Skupnega kadrovskega načrta (SKN) organov državne uprave za leti 2025 in 2026</w:t>
      </w:r>
    </w:p>
    <w:p w14:paraId="0EEE13A0" w14:textId="77777777" w:rsidR="00326DBE" w:rsidRDefault="00326DBE" w:rsidP="00326DBE">
      <w:pPr>
        <w:spacing w:line="240" w:lineRule="auto"/>
        <w:jc w:val="both"/>
        <w:rPr>
          <w:rFonts w:cs="Arial"/>
          <w:szCs w:val="20"/>
        </w:rPr>
      </w:pPr>
      <w:r w:rsidRPr="00E216B2">
        <w:t>Skupni kadrovski načrt (SKN) organov državne uprave za leti 2025 in 2026</w:t>
      </w:r>
      <w:r>
        <w:t xml:space="preserve"> </w:t>
      </w:r>
      <w:r w:rsidRPr="00A42AD6">
        <w:t>se zaradi prenosa kvot</w:t>
      </w:r>
      <w:r>
        <w:t xml:space="preserve"> </w:t>
      </w:r>
      <w:r w:rsidRPr="00A42AD6">
        <w:t>spremeni tako, da se</w:t>
      </w:r>
      <w:r w:rsidRPr="00A42AD6">
        <w:rPr>
          <w:lang w:eastAsia="sl-SI"/>
        </w:rPr>
        <w:t xml:space="preserve"> za leto 2026</w:t>
      </w:r>
      <w:r>
        <w:rPr>
          <w:lang w:eastAsia="sl-SI"/>
        </w:rPr>
        <w:t xml:space="preserve">: ena kvota prenese iz </w:t>
      </w:r>
      <w:r w:rsidRPr="001D127F">
        <w:rPr>
          <w:rFonts w:cs="Arial"/>
          <w:szCs w:val="20"/>
        </w:rPr>
        <w:t>Ministrstva za kmetijstvo, gozdarstvo in prehrano</w:t>
      </w:r>
      <w:r>
        <w:rPr>
          <w:rFonts w:cs="Arial"/>
          <w:szCs w:val="20"/>
        </w:rPr>
        <w:t xml:space="preserve"> na </w:t>
      </w:r>
      <w:r w:rsidRPr="001D127F">
        <w:rPr>
          <w:rFonts w:cs="Arial"/>
          <w:szCs w:val="20"/>
        </w:rPr>
        <w:t>Ministrstv</w:t>
      </w:r>
      <w:r>
        <w:rPr>
          <w:rFonts w:cs="Arial"/>
          <w:szCs w:val="20"/>
        </w:rPr>
        <w:t>o</w:t>
      </w:r>
      <w:r w:rsidRPr="001D127F">
        <w:rPr>
          <w:rFonts w:cs="Arial"/>
          <w:szCs w:val="20"/>
        </w:rPr>
        <w:t xml:space="preserve"> za naravne vire in prostor</w:t>
      </w:r>
      <w:r>
        <w:rPr>
          <w:rFonts w:cs="Arial"/>
          <w:szCs w:val="20"/>
        </w:rPr>
        <w:t xml:space="preserve">; trideset kvot začasno prenese iz Policije na Ministrstvo za notranje zadeve; ena kvota začasno prenese iz </w:t>
      </w:r>
      <w:r w:rsidRPr="001D127F">
        <w:rPr>
          <w:rFonts w:cs="Arial"/>
          <w:szCs w:val="20"/>
        </w:rPr>
        <w:t>Ministrstva za kmetijstvo, gozdarstvo in prehrano</w:t>
      </w:r>
      <w:r>
        <w:rPr>
          <w:rFonts w:cs="Arial"/>
          <w:szCs w:val="20"/>
        </w:rPr>
        <w:t xml:space="preserve"> na </w:t>
      </w:r>
      <w:r w:rsidRPr="001D127F">
        <w:rPr>
          <w:rFonts w:cs="Arial"/>
          <w:szCs w:val="20"/>
        </w:rPr>
        <w:t>Ministrstv</w:t>
      </w:r>
      <w:r>
        <w:rPr>
          <w:rFonts w:cs="Arial"/>
          <w:szCs w:val="20"/>
        </w:rPr>
        <w:t>o</w:t>
      </w:r>
      <w:r w:rsidRPr="001D127F">
        <w:rPr>
          <w:rFonts w:cs="Arial"/>
          <w:szCs w:val="20"/>
        </w:rPr>
        <w:t xml:space="preserve"> za zunanje in evropske zadeve</w:t>
      </w:r>
      <w:r>
        <w:rPr>
          <w:rFonts w:cs="Arial"/>
          <w:szCs w:val="20"/>
        </w:rPr>
        <w:t xml:space="preserve">; iz postavke nerazporejeno se dve kvoti preneseta na Službo vlade za zakonodajo; na Generalni sekretariat vlade se v Klicni center 114 prenesejo po ena kvota iz </w:t>
      </w:r>
      <w:r w:rsidRPr="009C6A0D">
        <w:rPr>
          <w:rFonts w:cs="Arial"/>
          <w:szCs w:val="20"/>
        </w:rPr>
        <w:t>Ministrstva za kmetijstvo, gozdarstvo in prehrano</w:t>
      </w:r>
      <w:r>
        <w:rPr>
          <w:rFonts w:cs="Arial"/>
          <w:szCs w:val="20"/>
        </w:rPr>
        <w:t xml:space="preserve">, ena kvota iz Ministrstva za notranje zadeve, tri kvote (od tega ena začasno) iz Policije in ena iz </w:t>
      </w:r>
      <w:r w:rsidRPr="009C6A0D">
        <w:rPr>
          <w:rFonts w:cs="Arial"/>
          <w:szCs w:val="20"/>
        </w:rPr>
        <w:t>Uprav</w:t>
      </w:r>
      <w:r>
        <w:rPr>
          <w:rFonts w:cs="Arial"/>
          <w:szCs w:val="20"/>
        </w:rPr>
        <w:t>e</w:t>
      </w:r>
      <w:r w:rsidRPr="009C6A0D">
        <w:rPr>
          <w:rFonts w:cs="Arial"/>
          <w:szCs w:val="20"/>
        </w:rPr>
        <w:t xml:space="preserve"> za zaščito in reševanje</w:t>
      </w:r>
      <w:r>
        <w:rPr>
          <w:rFonts w:cs="Arial"/>
          <w:szCs w:val="20"/>
        </w:rPr>
        <w:t xml:space="preserve">. </w:t>
      </w:r>
    </w:p>
    <w:p w14:paraId="5E738C48" w14:textId="77777777" w:rsidR="00326DBE" w:rsidRDefault="00326DBE" w:rsidP="00326DBE">
      <w:pPr>
        <w:spacing w:line="240" w:lineRule="auto"/>
        <w:jc w:val="both"/>
        <w:rPr>
          <w:rFonts w:cs="Arial"/>
          <w:szCs w:val="20"/>
        </w:rPr>
      </w:pPr>
    </w:p>
    <w:p w14:paraId="11D997FA" w14:textId="77777777" w:rsidR="00326DBE" w:rsidRPr="003312A7" w:rsidRDefault="00326DBE" w:rsidP="00326DBE">
      <w:pPr>
        <w:spacing w:line="240" w:lineRule="auto"/>
        <w:jc w:val="both"/>
        <w:rPr>
          <w:rFonts w:cs="Arial"/>
          <w:szCs w:val="20"/>
        </w:rPr>
      </w:pPr>
      <w:r>
        <w:rPr>
          <w:rFonts w:cs="Arial"/>
          <w:szCs w:val="20"/>
        </w:rPr>
        <w:t>S</w:t>
      </w:r>
      <w:r w:rsidRPr="00D44C13">
        <w:rPr>
          <w:rFonts w:cs="Arial"/>
          <w:szCs w:val="20"/>
        </w:rPr>
        <w:t>premembe</w:t>
      </w:r>
      <w:r>
        <w:rPr>
          <w:rFonts w:cs="Arial"/>
          <w:szCs w:val="20"/>
        </w:rPr>
        <w:t xml:space="preserve"> SKN</w:t>
      </w:r>
      <w:r w:rsidRPr="00D44C13">
        <w:rPr>
          <w:rFonts w:cs="Arial"/>
          <w:szCs w:val="20"/>
        </w:rPr>
        <w:t xml:space="preserve"> so nujn</w:t>
      </w:r>
      <w:r>
        <w:rPr>
          <w:rFonts w:cs="Arial"/>
          <w:szCs w:val="20"/>
        </w:rPr>
        <w:t>e, saj</w:t>
      </w:r>
      <w:r w:rsidRPr="00D44C13">
        <w:rPr>
          <w:rFonts w:cs="Arial"/>
          <w:szCs w:val="20"/>
        </w:rPr>
        <w:t xml:space="preserve"> je bil</w:t>
      </w:r>
      <w:r>
        <w:rPr>
          <w:rFonts w:cs="Arial"/>
          <w:szCs w:val="20"/>
        </w:rPr>
        <w:t>a</w:t>
      </w:r>
      <w:r w:rsidRPr="00D44C13">
        <w:rPr>
          <w:rFonts w:cs="Arial"/>
          <w:szCs w:val="20"/>
        </w:rPr>
        <w:t xml:space="preserve"> v Državnem zboru sprejet</w:t>
      </w:r>
      <w:r>
        <w:rPr>
          <w:rFonts w:cs="Arial"/>
          <w:szCs w:val="20"/>
        </w:rPr>
        <w:t>a novela</w:t>
      </w:r>
      <w:r w:rsidRPr="00D44C13">
        <w:rPr>
          <w:rFonts w:cs="Arial"/>
          <w:szCs w:val="20"/>
        </w:rPr>
        <w:t xml:space="preserve"> Zakona o Vladi Republike Slovenije, ki spreminja strukturo ministrstev</w:t>
      </w:r>
      <w:r>
        <w:rPr>
          <w:rFonts w:cs="Arial"/>
          <w:szCs w:val="20"/>
        </w:rPr>
        <w:t>. Z</w:t>
      </w:r>
      <w:r w:rsidRPr="00D44C13">
        <w:rPr>
          <w:rFonts w:cs="Arial"/>
          <w:szCs w:val="20"/>
        </w:rPr>
        <w:t>ato je treba še pred uveljavitvijo navedenega zakona veljavni SKN uskladiti z že sprejetimi sporazumi</w:t>
      </w:r>
      <w:r>
        <w:rPr>
          <w:rFonts w:cs="Arial"/>
          <w:szCs w:val="20"/>
        </w:rPr>
        <w:t xml:space="preserve"> o prenosu kvot, ki so jih sklenili posamezni organi</w:t>
      </w:r>
      <w:r w:rsidRPr="00D44C13">
        <w:rPr>
          <w:rFonts w:cs="Arial"/>
          <w:szCs w:val="20"/>
        </w:rPr>
        <w:t>, tako da bo stanje dovoljenega števila zaposlitev po posameznih resorjih jasno razvidno</w:t>
      </w:r>
      <w:r>
        <w:rPr>
          <w:rFonts w:cs="Arial"/>
          <w:szCs w:val="20"/>
        </w:rPr>
        <w:t>. S</w:t>
      </w:r>
      <w:r w:rsidRPr="00D44C13">
        <w:rPr>
          <w:rFonts w:cs="Arial"/>
          <w:szCs w:val="20"/>
        </w:rPr>
        <w:t xml:space="preserve">kupno število zaposlitev v SKN </w:t>
      </w:r>
      <w:r>
        <w:rPr>
          <w:rFonts w:cs="Arial"/>
          <w:szCs w:val="20"/>
        </w:rPr>
        <w:t xml:space="preserve">se </w:t>
      </w:r>
      <w:r w:rsidRPr="00D44C13">
        <w:rPr>
          <w:rFonts w:cs="Arial"/>
          <w:szCs w:val="20"/>
        </w:rPr>
        <w:t>ne povečuje</w:t>
      </w:r>
      <w:r>
        <w:rPr>
          <w:rFonts w:cs="Arial"/>
          <w:szCs w:val="20"/>
        </w:rPr>
        <w:t>, s</w:t>
      </w:r>
      <w:r w:rsidRPr="00D44C13">
        <w:rPr>
          <w:rFonts w:cs="Arial"/>
          <w:szCs w:val="20"/>
        </w:rPr>
        <w:t xml:space="preserve">redstva za prenose kvot </w:t>
      </w:r>
      <w:r>
        <w:rPr>
          <w:rFonts w:cs="Arial"/>
          <w:szCs w:val="20"/>
        </w:rPr>
        <w:t xml:space="preserve">pa morajo </w:t>
      </w:r>
      <w:r w:rsidRPr="00D44C13">
        <w:rPr>
          <w:rFonts w:cs="Arial"/>
          <w:szCs w:val="20"/>
        </w:rPr>
        <w:t>zagotovi</w:t>
      </w:r>
      <w:r>
        <w:rPr>
          <w:rFonts w:cs="Arial"/>
          <w:szCs w:val="20"/>
        </w:rPr>
        <w:t>ti</w:t>
      </w:r>
      <w:r w:rsidRPr="00D44C13">
        <w:rPr>
          <w:rFonts w:cs="Arial"/>
          <w:szCs w:val="20"/>
        </w:rPr>
        <w:t xml:space="preserve"> proračunski uporabniki v okviru sredstev za stroške dela v svojem finančnem načrtu.</w:t>
      </w:r>
    </w:p>
    <w:p w14:paraId="04298D4F" w14:textId="77777777" w:rsidR="00430406" w:rsidRDefault="00326DBE" w:rsidP="00430406">
      <w:pPr>
        <w:pStyle w:val="Vir"/>
      </w:pPr>
      <w:r>
        <w:t>Vir: Ministrstvo za javno upravo</w:t>
      </w:r>
    </w:p>
    <w:p w14:paraId="052AE7FC" w14:textId="1F43B954" w:rsidR="007A0BDB" w:rsidRPr="00430406" w:rsidRDefault="007A0BDB" w:rsidP="00430406">
      <w:pPr>
        <w:pStyle w:val="Vir"/>
      </w:pPr>
      <w:r w:rsidRPr="007A0BDB">
        <w:rPr>
          <w:rFonts w:cs="Arial"/>
          <w:b/>
          <w:bCs/>
          <w:color w:val="000000"/>
          <w:szCs w:val="20"/>
          <w:lang w:eastAsia="sl-SI"/>
        </w:rPr>
        <w:t>Razrešitev in imenovanje generalne sekretarke na MDDSZ</w:t>
      </w:r>
    </w:p>
    <w:p w14:paraId="6AAAD794" w14:textId="16C80053" w:rsidR="00432091" w:rsidRDefault="007A0BDB" w:rsidP="007A0BDB">
      <w:r>
        <w:t>Vlada RS je na današnji seji sprejela sklep o razrešitvi Natalije Pogorevc s položaja generalne sekretarke v Ministrstvu za delo, družino, socialne zadeve in enake možnosti, in sicer z 21. 5. 2026. Vlada Republike Slovenije je izdala odločbo o imenovanju Anke Valentinčič za vršilko dolžnosti generalnega sekretarja v Ministrstvu za delo, družino, socialne zadeve in enake možnosti, in sicer od 22. 5. 2026 do imenovanja novega generalnega sekretarja v Ministrstvu za delo, družino, socialne zadeve in enake možnosti, vendar največ za 6 mesecev, to je najdlje do 21. 11. 2026.</w:t>
      </w:r>
    </w:p>
    <w:p w14:paraId="42F9E5B9" w14:textId="643CBAD5" w:rsidR="007A0BDB" w:rsidRDefault="007A0BDB" w:rsidP="007A0BDB">
      <w:pPr>
        <w:pStyle w:val="Vir"/>
      </w:pPr>
      <w:r>
        <w:t>Vir: Ministrstvo za delo, družino, socialne zadeve in enake možnosti</w:t>
      </w:r>
    </w:p>
    <w:p w14:paraId="52E3D9D9" w14:textId="77777777" w:rsidR="00837FB0" w:rsidRDefault="00837FB0" w:rsidP="00837FB0"/>
    <w:p w14:paraId="6D08B89D" w14:textId="009978E5" w:rsidR="00837FB0" w:rsidRPr="004968E7" w:rsidRDefault="00837FB0" w:rsidP="004968E7">
      <w:pPr>
        <w:pStyle w:val="Naslov2"/>
        <w:rPr>
          <w:rStyle w:val="Naslov2Znak"/>
          <w:b/>
          <w:bCs/>
        </w:rPr>
      </w:pPr>
      <w:r w:rsidRPr="004968E7">
        <w:rPr>
          <w:rStyle w:val="Naslov2Znak"/>
          <w:b/>
          <w:bCs/>
        </w:rPr>
        <w:lastRenderedPageBreak/>
        <w:t>Razrešitev in imenovanje</w:t>
      </w:r>
      <w:r w:rsidRPr="004968E7">
        <w:rPr>
          <w:rStyle w:val="Naslov2Znak"/>
          <w:b/>
          <w:bCs/>
        </w:rPr>
        <w:t xml:space="preserve"> </w:t>
      </w:r>
      <w:r w:rsidRPr="004968E7">
        <w:rPr>
          <w:rStyle w:val="Naslov2Znak"/>
          <w:b/>
          <w:bCs/>
        </w:rPr>
        <w:t>generalne sekretarke v Ministrstvu za solidarno prihodnost</w:t>
      </w:r>
    </w:p>
    <w:p w14:paraId="2C54191A" w14:textId="77777777" w:rsidR="00837FB0" w:rsidRPr="00DE209E" w:rsidRDefault="00837FB0" w:rsidP="00837FB0">
      <w:pPr>
        <w:rPr>
          <w:rFonts w:ascii="Aptos" w:hAnsi="Aptos"/>
          <w:szCs w:val="20"/>
        </w:rPr>
      </w:pPr>
      <w:r w:rsidRPr="00DE209E">
        <w:rPr>
          <w:szCs w:val="20"/>
        </w:rPr>
        <w:t xml:space="preserve">Vlada Republike Slovenije je izdala odločbo o razrešitvi Ane Černe s položaja generalne sekretarke Ministrstva za solidarno prihodnost. Ana Černe je odstopno izjavo s položaja generalne sekretarke podala 23. aprila 2026. </w:t>
      </w:r>
    </w:p>
    <w:p w14:paraId="3153CE84" w14:textId="77777777" w:rsidR="00837FB0" w:rsidRPr="00DE209E" w:rsidRDefault="00837FB0" w:rsidP="00837FB0">
      <w:pPr>
        <w:rPr>
          <w:szCs w:val="20"/>
        </w:rPr>
      </w:pPr>
    </w:p>
    <w:p w14:paraId="18A9459D" w14:textId="77777777" w:rsidR="00837FB0" w:rsidRPr="00DE209E" w:rsidRDefault="00837FB0" w:rsidP="00837FB0">
      <w:pPr>
        <w:rPr>
          <w:szCs w:val="20"/>
        </w:rPr>
      </w:pPr>
      <w:r w:rsidRPr="00DE209E">
        <w:rPr>
          <w:szCs w:val="20"/>
        </w:rPr>
        <w:t>Vlada Republike Slovenije je izdala odločbo o imenovanju dr. Katje Simončič za vršilko dolžnosti generalnega sekretarja na Ministrstvu za solidarno prihodnost. Dr. Simončič bo dolžnosti generalne sekretarke opravljala od 22. maja 2026 do imenovanja novega generalnega sekretarja na ministrstvu, vendar največ za 6 mesecev, to je najdlje do 21. 11. 2026.</w:t>
      </w:r>
    </w:p>
    <w:p w14:paraId="05B03AF3" w14:textId="77777777" w:rsidR="00837FB0" w:rsidRDefault="00837FB0" w:rsidP="004968E7">
      <w:pPr>
        <w:pStyle w:val="Vir"/>
      </w:pPr>
      <w:r>
        <w:t>Vir: Ministrstvo za solidarno prihodnost</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88"/>
      </w:tblGrid>
      <w:tr w:rsidR="008F39BA" w:rsidRPr="0097743F" w14:paraId="19313035" w14:textId="77777777" w:rsidTr="008C2BD7">
        <w:tc>
          <w:tcPr>
            <w:tcW w:w="567" w:type="dxa"/>
            <w:tcBorders>
              <w:top w:val="nil"/>
              <w:left w:val="nil"/>
              <w:bottom w:val="nil"/>
              <w:right w:val="nil"/>
            </w:tcBorders>
          </w:tcPr>
          <w:p w14:paraId="52711A6A" w14:textId="5F6E7598" w:rsidR="008F39BA" w:rsidRPr="0097743F" w:rsidRDefault="008F39BA" w:rsidP="008C2BD7">
            <w:pPr>
              <w:jc w:val="both"/>
              <w:rPr>
                <w:rFonts w:cs="Arial"/>
                <w:szCs w:val="20"/>
              </w:rPr>
            </w:pPr>
          </w:p>
        </w:tc>
        <w:tc>
          <w:tcPr>
            <w:tcW w:w="7888" w:type="dxa"/>
            <w:tcBorders>
              <w:top w:val="nil"/>
              <w:left w:val="nil"/>
              <w:bottom w:val="nil"/>
              <w:right w:val="nil"/>
            </w:tcBorders>
          </w:tcPr>
          <w:p w14:paraId="56F89321" w14:textId="53758B51" w:rsidR="008F39BA" w:rsidRPr="0097743F" w:rsidRDefault="008F39BA" w:rsidP="008C2BD7">
            <w:pPr>
              <w:jc w:val="both"/>
              <w:rPr>
                <w:rFonts w:cs="Arial"/>
                <w:szCs w:val="20"/>
              </w:rPr>
            </w:pPr>
          </w:p>
        </w:tc>
      </w:tr>
      <w:tr w:rsidR="008F39BA" w:rsidRPr="0097743F" w14:paraId="4B5B6D6A" w14:textId="77777777" w:rsidTr="008C2BD7">
        <w:tc>
          <w:tcPr>
            <w:tcW w:w="567" w:type="dxa"/>
            <w:tcBorders>
              <w:top w:val="nil"/>
              <w:left w:val="nil"/>
              <w:bottom w:val="nil"/>
              <w:right w:val="nil"/>
            </w:tcBorders>
          </w:tcPr>
          <w:p w14:paraId="0F132538" w14:textId="47DA17F8" w:rsidR="008F39BA" w:rsidRPr="0097743F" w:rsidRDefault="008F39BA" w:rsidP="008C2BD7">
            <w:pPr>
              <w:jc w:val="both"/>
              <w:rPr>
                <w:rFonts w:cs="Arial"/>
                <w:szCs w:val="20"/>
              </w:rPr>
            </w:pPr>
          </w:p>
        </w:tc>
        <w:tc>
          <w:tcPr>
            <w:tcW w:w="7888" w:type="dxa"/>
            <w:tcBorders>
              <w:top w:val="nil"/>
              <w:left w:val="nil"/>
              <w:bottom w:val="nil"/>
              <w:right w:val="nil"/>
            </w:tcBorders>
          </w:tcPr>
          <w:p w14:paraId="3974A7F0" w14:textId="0A2BA809" w:rsidR="008F39BA" w:rsidRPr="0097743F" w:rsidRDefault="008F39BA" w:rsidP="008C2BD7">
            <w:pPr>
              <w:jc w:val="both"/>
              <w:rPr>
                <w:rFonts w:cs="Arial"/>
                <w:szCs w:val="20"/>
              </w:rPr>
            </w:pPr>
          </w:p>
        </w:tc>
      </w:tr>
      <w:tr w:rsidR="008F39BA" w:rsidRPr="0097743F" w14:paraId="3DFFF4BB" w14:textId="77777777" w:rsidTr="008C2BD7">
        <w:tc>
          <w:tcPr>
            <w:tcW w:w="567" w:type="dxa"/>
            <w:tcBorders>
              <w:top w:val="nil"/>
              <w:left w:val="nil"/>
              <w:bottom w:val="nil"/>
              <w:right w:val="nil"/>
            </w:tcBorders>
          </w:tcPr>
          <w:p w14:paraId="0D816370" w14:textId="7CB4A322" w:rsidR="008F39BA" w:rsidRPr="0097743F" w:rsidRDefault="008F39BA" w:rsidP="008C2BD7">
            <w:pPr>
              <w:jc w:val="both"/>
              <w:rPr>
                <w:rFonts w:cs="Arial"/>
                <w:szCs w:val="20"/>
              </w:rPr>
            </w:pPr>
          </w:p>
        </w:tc>
        <w:tc>
          <w:tcPr>
            <w:tcW w:w="7888" w:type="dxa"/>
            <w:tcBorders>
              <w:top w:val="nil"/>
              <w:left w:val="nil"/>
              <w:bottom w:val="nil"/>
              <w:right w:val="nil"/>
            </w:tcBorders>
          </w:tcPr>
          <w:p w14:paraId="14C75476" w14:textId="14D64F80" w:rsidR="008F39BA" w:rsidRPr="0097743F" w:rsidRDefault="008F39BA" w:rsidP="008C2BD7">
            <w:pPr>
              <w:jc w:val="both"/>
              <w:rPr>
                <w:rFonts w:cs="Arial"/>
                <w:szCs w:val="20"/>
              </w:rPr>
            </w:pPr>
          </w:p>
        </w:tc>
      </w:tr>
    </w:tbl>
    <w:p w14:paraId="69AF470E" w14:textId="77777777" w:rsidR="00837FB0" w:rsidRDefault="00837FB0" w:rsidP="00837FB0">
      <w:pPr>
        <w:rPr>
          <w:sz w:val="22"/>
          <w:szCs w:val="22"/>
        </w:rPr>
      </w:pPr>
    </w:p>
    <w:p w14:paraId="06D93107" w14:textId="77777777" w:rsidR="00837FB0" w:rsidRPr="003E1275" w:rsidRDefault="00837FB0" w:rsidP="00591994">
      <w:pPr>
        <w:jc w:val="both"/>
        <w:rPr>
          <w:rFonts w:cs="Arial"/>
          <w:szCs w:val="20"/>
        </w:rPr>
      </w:pPr>
    </w:p>
    <w:p w14:paraId="7F1211CC" w14:textId="07EEBBE2" w:rsidR="007A0BDB" w:rsidRDefault="007A0BDB" w:rsidP="007A0BDB"/>
    <w:p w14:paraId="31C146CF" w14:textId="77777777" w:rsidR="00591994" w:rsidRDefault="00591994" w:rsidP="007A0BDB"/>
    <w:p w14:paraId="755BAEC6" w14:textId="77777777" w:rsidR="00591994" w:rsidRDefault="00591994" w:rsidP="007A0BDB"/>
    <w:p w14:paraId="716A33B0" w14:textId="77777777" w:rsidR="00591994" w:rsidRPr="009D7656" w:rsidRDefault="00591994" w:rsidP="007A0BDB"/>
    <w:sectPr w:rsidR="00591994" w:rsidRPr="009D7656"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06C1" w14:textId="77777777" w:rsidR="00163457" w:rsidRDefault="00163457" w:rsidP="00750D01">
      <w:pPr>
        <w:spacing w:line="240" w:lineRule="auto"/>
      </w:pPr>
      <w:r>
        <w:separator/>
      </w:r>
    </w:p>
  </w:endnote>
  <w:endnote w:type="continuationSeparator" w:id="0">
    <w:p w14:paraId="2516EFE5" w14:textId="77777777" w:rsidR="00163457" w:rsidRDefault="00163457"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AE77" w14:textId="77777777" w:rsidR="00163457" w:rsidRDefault="00163457" w:rsidP="00750D01">
      <w:pPr>
        <w:spacing w:line="240" w:lineRule="auto"/>
      </w:pPr>
      <w:r>
        <w:separator/>
      </w:r>
    </w:p>
  </w:footnote>
  <w:footnote w:type="continuationSeparator" w:id="0">
    <w:p w14:paraId="0EFE0701" w14:textId="77777777" w:rsidR="00163457" w:rsidRDefault="00163457"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A816D5"/>
    <w:multiLevelType w:val="multilevel"/>
    <w:tmpl w:val="5F441ABA"/>
    <w:lvl w:ilvl="0">
      <w:start w:val="1"/>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7745AF"/>
    <w:multiLevelType w:val="hybridMultilevel"/>
    <w:tmpl w:val="6BB0A36A"/>
    <w:lvl w:ilvl="0" w:tplc="5D8E7852">
      <w:start w:val="1"/>
      <w:numFmt w:val="decimal"/>
      <w:lvlText w:val="%1."/>
      <w:lvlJc w:val="left"/>
      <w:pPr>
        <w:ind w:left="72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2"/>
  </w:num>
  <w:num w:numId="2" w16cid:durableId="984821814">
    <w:abstractNumId w:val="8"/>
  </w:num>
  <w:num w:numId="3" w16cid:durableId="150218247">
    <w:abstractNumId w:val="0"/>
  </w:num>
  <w:num w:numId="4" w16cid:durableId="1026903286">
    <w:abstractNumId w:val="9"/>
  </w:num>
  <w:num w:numId="5" w16cid:durableId="231817878">
    <w:abstractNumId w:val="2"/>
  </w:num>
  <w:num w:numId="6" w16cid:durableId="2110814889">
    <w:abstractNumId w:val="13"/>
  </w:num>
  <w:num w:numId="7" w16cid:durableId="695153758">
    <w:abstractNumId w:val="3"/>
  </w:num>
  <w:num w:numId="8" w16cid:durableId="853298866">
    <w:abstractNumId w:val="7"/>
  </w:num>
  <w:num w:numId="9" w16cid:durableId="1789348953">
    <w:abstractNumId w:val="1"/>
  </w:num>
  <w:num w:numId="10" w16cid:durableId="1415012333">
    <w:abstractNumId w:val="11"/>
  </w:num>
  <w:num w:numId="11" w16cid:durableId="886650520">
    <w:abstractNumId w:val="5"/>
  </w:num>
  <w:num w:numId="12" w16cid:durableId="2081907946">
    <w:abstractNumId w:val="10"/>
  </w:num>
  <w:num w:numId="13" w16cid:durableId="1784227356">
    <w:abstractNumId w:val="4"/>
  </w:num>
  <w:num w:numId="14" w16cid:durableId="1414160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0E26"/>
    <w:rsid w:val="000318E4"/>
    <w:rsid w:val="00050A56"/>
    <w:rsid w:val="000610D5"/>
    <w:rsid w:val="00076DF7"/>
    <w:rsid w:val="00084C4A"/>
    <w:rsid w:val="00085D04"/>
    <w:rsid w:val="00087069"/>
    <w:rsid w:val="00087A14"/>
    <w:rsid w:val="000928C7"/>
    <w:rsid w:val="00097B85"/>
    <w:rsid w:val="000B1D39"/>
    <w:rsid w:val="000D042E"/>
    <w:rsid w:val="000D5520"/>
    <w:rsid w:val="000E0657"/>
    <w:rsid w:val="00110932"/>
    <w:rsid w:val="00110B8F"/>
    <w:rsid w:val="00111A16"/>
    <w:rsid w:val="00113F85"/>
    <w:rsid w:val="0012724F"/>
    <w:rsid w:val="0013016C"/>
    <w:rsid w:val="001602C9"/>
    <w:rsid w:val="00161638"/>
    <w:rsid w:val="00163457"/>
    <w:rsid w:val="0016530C"/>
    <w:rsid w:val="001673A5"/>
    <w:rsid w:val="00173343"/>
    <w:rsid w:val="001A4A78"/>
    <w:rsid w:val="001A55F2"/>
    <w:rsid w:val="001B01DD"/>
    <w:rsid w:val="001B42F9"/>
    <w:rsid w:val="001C3560"/>
    <w:rsid w:val="001C5F19"/>
    <w:rsid w:val="001D4277"/>
    <w:rsid w:val="001D69D6"/>
    <w:rsid w:val="001F51BC"/>
    <w:rsid w:val="001F7F63"/>
    <w:rsid w:val="00203CAB"/>
    <w:rsid w:val="00203F5F"/>
    <w:rsid w:val="0021219F"/>
    <w:rsid w:val="00215140"/>
    <w:rsid w:val="00220CDD"/>
    <w:rsid w:val="0022511A"/>
    <w:rsid w:val="00231021"/>
    <w:rsid w:val="00236C0A"/>
    <w:rsid w:val="002501CE"/>
    <w:rsid w:val="002856E5"/>
    <w:rsid w:val="002C0766"/>
    <w:rsid w:val="002C36A6"/>
    <w:rsid w:val="002D5B5D"/>
    <w:rsid w:val="002E3F96"/>
    <w:rsid w:val="002E6856"/>
    <w:rsid w:val="002F3BE7"/>
    <w:rsid w:val="00302938"/>
    <w:rsid w:val="0032428F"/>
    <w:rsid w:val="00326DBE"/>
    <w:rsid w:val="0033346B"/>
    <w:rsid w:val="0033519E"/>
    <w:rsid w:val="00346E22"/>
    <w:rsid w:val="00351E1E"/>
    <w:rsid w:val="00357DC0"/>
    <w:rsid w:val="00361255"/>
    <w:rsid w:val="00363A41"/>
    <w:rsid w:val="00381018"/>
    <w:rsid w:val="003847C8"/>
    <w:rsid w:val="003877EB"/>
    <w:rsid w:val="00390DF7"/>
    <w:rsid w:val="003913A7"/>
    <w:rsid w:val="0039662C"/>
    <w:rsid w:val="003A0503"/>
    <w:rsid w:val="003A3742"/>
    <w:rsid w:val="003D64D8"/>
    <w:rsid w:val="003E17B6"/>
    <w:rsid w:val="003E1B89"/>
    <w:rsid w:val="003E6170"/>
    <w:rsid w:val="003E6CF5"/>
    <w:rsid w:val="003F013B"/>
    <w:rsid w:val="003F18C4"/>
    <w:rsid w:val="003F4CC5"/>
    <w:rsid w:val="00415527"/>
    <w:rsid w:val="00430406"/>
    <w:rsid w:val="00431C65"/>
    <w:rsid w:val="00432091"/>
    <w:rsid w:val="00432937"/>
    <w:rsid w:val="00435CF5"/>
    <w:rsid w:val="004403EC"/>
    <w:rsid w:val="00447B57"/>
    <w:rsid w:val="0045565C"/>
    <w:rsid w:val="00455B63"/>
    <w:rsid w:val="00460370"/>
    <w:rsid w:val="00465AB5"/>
    <w:rsid w:val="00472762"/>
    <w:rsid w:val="00481223"/>
    <w:rsid w:val="004968E7"/>
    <w:rsid w:val="004A00A8"/>
    <w:rsid w:val="004A7BFC"/>
    <w:rsid w:val="004A7CAD"/>
    <w:rsid w:val="004B4753"/>
    <w:rsid w:val="004B72F3"/>
    <w:rsid w:val="004B7346"/>
    <w:rsid w:val="004C3F67"/>
    <w:rsid w:val="004C721D"/>
    <w:rsid w:val="004F0D73"/>
    <w:rsid w:val="00514121"/>
    <w:rsid w:val="00522637"/>
    <w:rsid w:val="00527867"/>
    <w:rsid w:val="00527AA5"/>
    <w:rsid w:val="005314D7"/>
    <w:rsid w:val="00544398"/>
    <w:rsid w:val="005458D4"/>
    <w:rsid w:val="005515BD"/>
    <w:rsid w:val="005740C1"/>
    <w:rsid w:val="0059143B"/>
    <w:rsid w:val="00591994"/>
    <w:rsid w:val="005A570D"/>
    <w:rsid w:val="005B5886"/>
    <w:rsid w:val="005C1523"/>
    <w:rsid w:val="005C7596"/>
    <w:rsid w:val="005E1ABB"/>
    <w:rsid w:val="00603EC1"/>
    <w:rsid w:val="00614FFD"/>
    <w:rsid w:val="00626A98"/>
    <w:rsid w:val="006274BB"/>
    <w:rsid w:val="00634EFA"/>
    <w:rsid w:val="00635D43"/>
    <w:rsid w:val="006367B9"/>
    <w:rsid w:val="0064180E"/>
    <w:rsid w:val="0066249C"/>
    <w:rsid w:val="0067375D"/>
    <w:rsid w:val="00676F03"/>
    <w:rsid w:val="006906AF"/>
    <w:rsid w:val="00693BA3"/>
    <w:rsid w:val="006A5AC1"/>
    <w:rsid w:val="006B0B36"/>
    <w:rsid w:val="006B3F12"/>
    <w:rsid w:val="006C1B31"/>
    <w:rsid w:val="006C2873"/>
    <w:rsid w:val="006E4933"/>
    <w:rsid w:val="006F29FA"/>
    <w:rsid w:val="0070324C"/>
    <w:rsid w:val="00705480"/>
    <w:rsid w:val="0071171B"/>
    <w:rsid w:val="007120FD"/>
    <w:rsid w:val="007130E1"/>
    <w:rsid w:val="00716545"/>
    <w:rsid w:val="00717E59"/>
    <w:rsid w:val="007219B5"/>
    <w:rsid w:val="0073796B"/>
    <w:rsid w:val="00744D7A"/>
    <w:rsid w:val="00750D01"/>
    <w:rsid w:val="0075264D"/>
    <w:rsid w:val="007643A0"/>
    <w:rsid w:val="007669A3"/>
    <w:rsid w:val="00767A18"/>
    <w:rsid w:val="00781345"/>
    <w:rsid w:val="00784E57"/>
    <w:rsid w:val="0079749C"/>
    <w:rsid w:val="007A0BDB"/>
    <w:rsid w:val="007A4C39"/>
    <w:rsid w:val="007A6460"/>
    <w:rsid w:val="007B0ADD"/>
    <w:rsid w:val="007B515F"/>
    <w:rsid w:val="007C21FB"/>
    <w:rsid w:val="007E198F"/>
    <w:rsid w:val="007E65A4"/>
    <w:rsid w:val="007F30FA"/>
    <w:rsid w:val="007F5D6B"/>
    <w:rsid w:val="007F6EE3"/>
    <w:rsid w:val="007F6EF7"/>
    <w:rsid w:val="0080097F"/>
    <w:rsid w:val="00801A29"/>
    <w:rsid w:val="008054B9"/>
    <w:rsid w:val="008220A3"/>
    <w:rsid w:val="008244C0"/>
    <w:rsid w:val="00831431"/>
    <w:rsid w:val="008336E7"/>
    <w:rsid w:val="00836E94"/>
    <w:rsid w:val="00837FB0"/>
    <w:rsid w:val="00844BB8"/>
    <w:rsid w:val="00847AD3"/>
    <w:rsid w:val="00851FE1"/>
    <w:rsid w:val="008522C0"/>
    <w:rsid w:val="008624E8"/>
    <w:rsid w:val="00873025"/>
    <w:rsid w:val="00875998"/>
    <w:rsid w:val="0088720B"/>
    <w:rsid w:val="008A16D8"/>
    <w:rsid w:val="008B1D80"/>
    <w:rsid w:val="008B6738"/>
    <w:rsid w:val="008B7AF2"/>
    <w:rsid w:val="008C0251"/>
    <w:rsid w:val="008C0D30"/>
    <w:rsid w:val="008C4231"/>
    <w:rsid w:val="008C4BFB"/>
    <w:rsid w:val="008C556B"/>
    <w:rsid w:val="008D49BD"/>
    <w:rsid w:val="008F39BA"/>
    <w:rsid w:val="00905C96"/>
    <w:rsid w:val="009174DA"/>
    <w:rsid w:val="00933061"/>
    <w:rsid w:val="00933087"/>
    <w:rsid w:val="00937B4E"/>
    <w:rsid w:val="00945B27"/>
    <w:rsid w:val="00950452"/>
    <w:rsid w:val="009540E4"/>
    <w:rsid w:val="00955926"/>
    <w:rsid w:val="00974186"/>
    <w:rsid w:val="00983241"/>
    <w:rsid w:val="009900DE"/>
    <w:rsid w:val="009A41AA"/>
    <w:rsid w:val="009B3707"/>
    <w:rsid w:val="009C2C98"/>
    <w:rsid w:val="009C2D77"/>
    <w:rsid w:val="009C562E"/>
    <w:rsid w:val="009D10D1"/>
    <w:rsid w:val="009D7656"/>
    <w:rsid w:val="009F37F4"/>
    <w:rsid w:val="009F4DB0"/>
    <w:rsid w:val="00A06971"/>
    <w:rsid w:val="00A30052"/>
    <w:rsid w:val="00A34FC4"/>
    <w:rsid w:val="00A445DF"/>
    <w:rsid w:val="00A47102"/>
    <w:rsid w:val="00A521C4"/>
    <w:rsid w:val="00A5415F"/>
    <w:rsid w:val="00A60A37"/>
    <w:rsid w:val="00A60FBF"/>
    <w:rsid w:val="00A67305"/>
    <w:rsid w:val="00A726C3"/>
    <w:rsid w:val="00A7406B"/>
    <w:rsid w:val="00A7412B"/>
    <w:rsid w:val="00A855A6"/>
    <w:rsid w:val="00AB1DC2"/>
    <w:rsid w:val="00AD1AFD"/>
    <w:rsid w:val="00AE6CD6"/>
    <w:rsid w:val="00AF2612"/>
    <w:rsid w:val="00AF5FC8"/>
    <w:rsid w:val="00B022E5"/>
    <w:rsid w:val="00B06EAB"/>
    <w:rsid w:val="00B229A9"/>
    <w:rsid w:val="00B37A91"/>
    <w:rsid w:val="00B43836"/>
    <w:rsid w:val="00B47F61"/>
    <w:rsid w:val="00B53301"/>
    <w:rsid w:val="00B53594"/>
    <w:rsid w:val="00B602CF"/>
    <w:rsid w:val="00B60F58"/>
    <w:rsid w:val="00B67FD4"/>
    <w:rsid w:val="00B70F5B"/>
    <w:rsid w:val="00B753A8"/>
    <w:rsid w:val="00B84862"/>
    <w:rsid w:val="00B851D3"/>
    <w:rsid w:val="00B903E5"/>
    <w:rsid w:val="00B94D8D"/>
    <w:rsid w:val="00BA743D"/>
    <w:rsid w:val="00BB1111"/>
    <w:rsid w:val="00BB4431"/>
    <w:rsid w:val="00BB73C0"/>
    <w:rsid w:val="00BE5C43"/>
    <w:rsid w:val="00C3152B"/>
    <w:rsid w:val="00C354D9"/>
    <w:rsid w:val="00C365A8"/>
    <w:rsid w:val="00C43D34"/>
    <w:rsid w:val="00C458C2"/>
    <w:rsid w:val="00C666AC"/>
    <w:rsid w:val="00C93019"/>
    <w:rsid w:val="00C97F7B"/>
    <w:rsid w:val="00CA5624"/>
    <w:rsid w:val="00CB7A93"/>
    <w:rsid w:val="00CB7ADA"/>
    <w:rsid w:val="00CC3123"/>
    <w:rsid w:val="00CC3530"/>
    <w:rsid w:val="00CC37B3"/>
    <w:rsid w:val="00CE21D5"/>
    <w:rsid w:val="00CE45D7"/>
    <w:rsid w:val="00CE7846"/>
    <w:rsid w:val="00CF099E"/>
    <w:rsid w:val="00CF3DFF"/>
    <w:rsid w:val="00D10EB4"/>
    <w:rsid w:val="00D14EEC"/>
    <w:rsid w:val="00D20C33"/>
    <w:rsid w:val="00D22282"/>
    <w:rsid w:val="00D245F7"/>
    <w:rsid w:val="00D42266"/>
    <w:rsid w:val="00D60A92"/>
    <w:rsid w:val="00D634E9"/>
    <w:rsid w:val="00D64FA4"/>
    <w:rsid w:val="00D650E2"/>
    <w:rsid w:val="00D7373E"/>
    <w:rsid w:val="00D74A82"/>
    <w:rsid w:val="00D85532"/>
    <w:rsid w:val="00D9208E"/>
    <w:rsid w:val="00D95BC6"/>
    <w:rsid w:val="00D966FF"/>
    <w:rsid w:val="00D97B4B"/>
    <w:rsid w:val="00D97B77"/>
    <w:rsid w:val="00DA3B4D"/>
    <w:rsid w:val="00DA3BD5"/>
    <w:rsid w:val="00DA5C0D"/>
    <w:rsid w:val="00DA5D7A"/>
    <w:rsid w:val="00DB55BA"/>
    <w:rsid w:val="00DE199D"/>
    <w:rsid w:val="00DE1B54"/>
    <w:rsid w:val="00DE209E"/>
    <w:rsid w:val="00DE27BA"/>
    <w:rsid w:val="00E00548"/>
    <w:rsid w:val="00E02AB3"/>
    <w:rsid w:val="00E05EEE"/>
    <w:rsid w:val="00E14227"/>
    <w:rsid w:val="00E14AAE"/>
    <w:rsid w:val="00E20351"/>
    <w:rsid w:val="00E2036F"/>
    <w:rsid w:val="00E3207D"/>
    <w:rsid w:val="00E3507E"/>
    <w:rsid w:val="00E36750"/>
    <w:rsid w:val="00E500F4"/>
    <w:rsid w:val="00E6065F"/>
    <w:rsid w:val="00E65986"/>
    <w:rsid w:val="00E7132A"/>
    <w:rsid w:val="00E83E60"/>
    <w:rsid w:val="00E86C78"/>
    <w:rsid w:val="00E948BD"/>
    <w:rsid w:val="00EA1AF3"/>
    <w:rsid w:val="00EB20A0"/>
    <w:rsid w:val="00EC012E"/>
    <w:rsid w:val="00ED2EC7"/>
    <w:rsid w:val="00EE35F8"/>
    <w:rsid w:val="00EF1263"/>
    <w:rsid w:val="00F01966"/>
    <w:rsid w:val="00F03257"/>
    <w:rsid w:val="00F20884"/>
    <w:rsid w:val="00F21123"/>
    <w:rsid w:val="00F21419"/>
    <w:rsid w:val="00F21BAD"/>
    <w:rsid w:val="00F23144"/>
    <w:rsid w:val="00F240E9"/>
    <w:rsid w:val="00F30E33"/>
    <w:rsid w:val="00F31222"/>
    <w:rsid w:val="00F462C7"/>
    <w:rsid w:val="00F74614"/>
    <w:rsid w:val="00F858D5"/>
    <w:rsid w:val="00F92545"/>
    <w:rsid w:val="00F93A56"/>
    <w:rsid w:val="00FA792D"/>
    <w:rsid w:val="00FC2D38"/>
    <w:rsid w:val="00FC40AF"/>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15:docId w15:val="{25937BA4-6D54-4C7C-91CD-3C03F3F0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Oddelek">
    <w:name w:val="Oddelek"/>
    <w:basedOn w:val="Navaden"/>
    <w:link w:val="OddelekZnak1"/>
    <w:qFormat/>
    <w:rsid w:val="002E6856"/>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2E6856"/>
    <w:rPr>
      <w:rFonts w:ascii="Arial" w:eastAsia="Times New Roman" w:hAnsi="Arial" w:cs="Arial"/>
      <w:b/>
      <w:lang w:eastAsia="sl-SI"/>
    </w:rPr>
  </w:style>
  <w:style w:type="paragraph" w:styleId="Navadensplet">
    <w:name w:val="Normal (Web)"/>
    <w:basedOn w:val="Navaden"/>
    <w:uiPriority w:val="99"/>
    <w:unhideWhenUsed/>
    <w:rsid w:val="002E6856"/>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2C695D88-41D0-4D94-8F20-06CCAE564D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Pages>
  <Words>4987</Words>
  <Characters>28432</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Štorman</dc:creator>
  <cp:keywords/>
  <dc:description/>
  <cp:lastModifiedBy>Urška Štorman</cp:lastModifiedBy>
  <cp:revision>60</cp:revision>
  <dcterms:created xsi:type="dcterms:W3CDTF">2026-05-13T06:57:00Z</dcterms:created>
  <dcterms:modified xsi:type="dcterms:W3CDTF">2026-05-14T12:25:00Z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