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27693B1C" w:rsidR="0073796B" w:rsidRPr="0039662C" w:rsidRDefault="00D74A82" w:rsidP="0039662C">
      <w:pPr>
        <w:pStyle w:val="Naslov1"/>
      </w:pPr>
      <w:r>
        <w:t>1</w:t>
      </w:r>
      <w:r w:rsidR="00CC3530">
        <w:t>9</w:t>
      </w:r>
      <w:r w:rsidR="00955926">
        <w:t>9</w:t>
      </w:r>
      <w:r w:rsidR="0073796B" w:rsidRPr="0039662C">
        <w:t xml:space="preserve">. </w:t>
      </w:r>
      <w:r>
        <w:t>red</w:t>
      </w:r>
      <w:r w:rsidR="00F03257">
        <w:t xml:space="preserve">na </w:t>
      </w:r>
      <w:r w:rsidR="0073796B" w:rsidRPr="0039662C">
        <w:t>seja Vlade Republike Slovenije</w:t>
      </w:r>
    </w:p>
    <w:p w14:paraId="27F30B92" w14:textId="1CBA3414" w:rsidR="0073796B" w:rsidRDefault="00955926" w:rsidP="008B7AF2">
      <w:pPr>
        <w:pStyle w:val="DatumSZJ"/>
      </w:pPr>
      <w:r>
        <w:t>23</w:t>
      </w:r>
      <w:r w:rsidR="002856E5">
        <w:t>.</w:t>
      </w:r>
      <w:r w:rsidR="008220A3">
        <w:t xml:space="preserve"> </w:t>
      </w:r>
      <w:r w:rsidR="00B94D8D">
        <w:t xml:space="preserve">april </w:t>
      </w:r>
      <w:r w:rsidR="0073796B" w:rsidRPr="008B7AF2">
        <w:t>202</w:t>
      </w:r>
      <w:r w:rsidR="00F03257">
        <w:t>6</w:t>
      </w:r>
    </w:p>
    <w:p w14:paraId="09FE7D90" w14:textId="2CE380D6" w:rsidR="000C2AB4" w:rsidRDefault="000C2AB4" w:rsidP="000C2AB4">
      <w:pPr>
        <w:pStyle w:val="Naslov2"/>
      </w:pPr>
      <w:r>
        <w:t xml:space="preserve">Vlada je izdala Uredbo o rudarski pravici za izkoriščanje tehničnega kamna dolomit v pridobivalnem prostoru </w:t>
      </w:r>
      <w:proofErr w:type="spellStart"/>
      <w:r>
        <w:t>Skrbinjek</w:t>
      </w:r>
      <w:proofErr w:type="spellEnd"/>
      <w:r>
        <w:t xml:space="preserve"> v občini Poljčane</w:t>
      </w:r>
    </w:p>
    <w:p w14:paraId="1DE42052" w14:textId="77777777" w:rsidR="000C2AB4" w:rsidRDefault="000C2AB4" w:rsidP="000C2AB4">
      <w:r>
        <w:t xml:space="preserve">Vlada je izdala koncesijski akt za izkoriščanje mineralne surovine tehnični kamen dolomit v pridobivalnem prostoru </w:t>
      </w:r>
      <w:proofErr w:type="spellStart"/>
      <w:r>
        <w:t>Skrbinjek</w:t>
      </w:r>
      <w:proofErr w:type="spellEnd"/>
      <w:r>
        <w:t xml:space="preserve"> v občini Poljčane, in sicer v količini do 817.153 kubičnih metrov bilančnih zalog v raščenem stanju za največ 30 let.</w:t>
      </w:r>
    </w:p>
    <w:p w14:paraId="53B8AFEC" w14:textId="77777777" w:rsidR="000C2AB4" w:rsidRDefault="000C2AB4" w:rsidP="000C2AB4">
      <w:r>
        <w:t xml:space="preserve"> </w:t>
      </w:r>
    </w:p>
    <w:p w14:paraId="6F41CB2C" w14:textId="77777777" w:rsidR="000C2AB4" w:rsidRDefault="000C2AB4" w:rsidP="000C2AB4">
      <w:r>
        <w:t xml:space="preserve">Pridobivalni prostor </w:t>
      </w:r>
      <w:proofErr w:type="spellStart"/>
      <w:r>
        <w:t>Skrbinjek</w:t>
      </w:r>
      <w:proofErr w:type="spellEnd"/>
      <w:r>
        <w:t xml:space="preserve"> bo nov pridobivalni prostor s površinskim izkoriščanjem mineralne surovine v etažah določene višine in širine od zgoraj navzdol, pretežno z vrtanjem minskih vrtin in razstreljevanjem ter bagrskim odkopom in nakladanjem.</w:t>
      </w:r>
    </w:p>
    <w:p w14:paraId="5C117F22" w14:textId="4A1C3A0A" w:rsidR="00302E1C" w:rsidRDefault="000C2AB4" w:rsidP="000C2AB4">
      <w:pPr>
        <w:pStyle w:val="Vir"/>
      </w:pPr>
      <w:r>
        <w:t>Vir: Ministrstvo za naravne vire in prostor</w:t>
      </w:r>
    </w:p>
    <w:p w14:paraId="2DB3266C" w14:textId="5B4A83C6" w:rsidR="0000020D" w:rsidRDefault="0000020D" w:rsidP="0000020D">
      <w:pPr>
        <w:pStyle w:val="Naslov2"/>
      </w:pPr>
      <w:r>
        <w:t>Vlada sprejela Uredbo o koncesijah za graditev novih žičniških naprav na Kaninu, ki bo prispevala k nadaljnjem razvoju turizma na tem območju</w:t>
      </w:r>
    </w:p>
    <w:p w14:paraId="3E6196D9" w14:textId="32B74293" w:rsidR="0000020D" w:rsidRDefault="0000020D" w:rsidP="0000020D">
      <w:r>
        <w:t>Vlada Republike Slovenije je sprejela sklep o izdaji Uredbe o koncesijah za graditev novih žičniških naprav na Kaninu, ki bo prispevala k nadaljnjem razvoju turistične dejavnosti na območju smučišča Kanin. Uredba je sprejeta na pobudo Občine Bovec, ki je na Ministrstvo za infrastrukturo naslovila predlog za sprejem koncesijskega akta za graditev novih žičniških naprav: dveh krožno kabinskih žičnic in sedežnice Veliki graben. Nove žičniške naprave bodo povezane z obstoječo žičniško infrastrukturo.</w:t>
      </w:r>
    </w:p>
    <w:p w14:paraId="00C75F8F" w14:textId="77777777" w:rsidR="0000020D" w:rsidRDefault="0000020D" w:rsidP="0000020D"/>
    <w:p w14:paraId="40E4D973" w14:textId="6881125D" w:rsidR="0000020D" w:rsidRDefault="0000020D" w:rsidP="0000020D">
      <w:r>
        <w:t>Zakon o žičniških napravah za prevoz oseb določa, da je pred pridobitvijo gradbenega dovoljenja za žičniško napravo potrebno pridobiti koncesijo, pred tem pa je potrebno, da vlada sprejme koncesijski akt (Uredbo).</w:t>
      </w:r>
    </w:p>
    <w:p w14:paraId="33AA4F0C" w14:textId="77777777" w:rsidR="0000020D" w:rsidRDefault="0000020D" w:rsidP="0000020D"/>
    <w:p w14:paraId="2676E9B8" w14:textId="77777777" w:rsidR="0000020D" w:rsidRDefault="0000020D" w:rsidP="0000020D">
      <w:r>
        <w:t xml:space="preserve">Koncesija se za vse žičniške naprave, ki so predmet tega koncesijskega akta, podeli za 40 let. Koncesijske pogodbe bo po pooblastilu vlade sklenil minister, pristojen za infrastrukturo. Koncesionar bo lahko na podlagi koncesij pridobil gradbeno dovoljenje za nove žičniške naprave. </w:t>
      </w:r>
    </w:p>
    <w:p w14:paraId="126ECEAC" w14:textId="3AF1029F" w:rsidR="00302E1C" w:rsidRDefault="0000020D" w:rsidP="0000020D">
      <w:pPr>
        <w:pStyle w:val="Vir"/>
      </w:pPr>
      <w:r>
        <w:t>Vir: Ministrstvo za infrastrukturo</w:t>
      </w:r>
    </w:p>
    <w:p w14:paraId="3FEAB417" w14:textId="6112D233" w:rsidR="002201CC" w:rsidRDefault="002201CC" w:rsidP="002201CC">
      <w:pPr>
        <w:pStyle w:val="Naslov2"/>
      </w:pPr>
      <w:r>
        <w:t>Vlada izdala novelo Uredbe o neposrednih plačilih iz strateškega načrta skupne kmetijske politike 2023–2027</w:t>
      </w:r>
    </w:p>
    <w:p w14:paraId="1EF74E61" w14:textId="77777777" w:rsidR="002201CC" w:rsidRDefault="002201CC" w:rsidP="002201CC">
      <w:r>
        <w:t xml:space="preserve">Vlada je izdala novelo Uredbe o neposrednih plačilih iz strateškega načrta skupne kmetijske politike 2023–2027 in jo objavi v Uradnem listu Republike Slovenije. </w:t>
      </w:r>
    </w:p>
    <w:p w14:paraId="1086A560" w14:textId="77777777" w:rsidR="002201CC" w:rsidRDefault="002201CC" w:rsidP="002201CC"/>
    <w:p w14:paraId="188307F4" w14:textId="77777777" w:rsidR="002201CC" w:rsidRDefault="002201CC" w:rsidP="002201CC">
      <w:r>
        <w:t xml:space="preserve">Uredba o neposrednih plačilih iz Strateškega načrta skupne kmetijske politike 2023–2027 določa izvajanje intervencij v obliki neposrednih plačil iz Strateškega načrta skupne kmetijske politike 2023–2027. </w:t>
      </w:r>
    </w:p>
    <w:p w14:paraId="75D4D854" w14:textId="77777777" w:rsidR="002201CC" w:rsidRDefault="002201CC" w:rsidP="002201CC"/>
    <w:p w14:paraId="017C13AB" w14:textId="77777777" w:rsidR="002201CC" w:rsidRDefault="002201CC" w:rsidP="002201CC">
      <w:r>
        <w:t xml:space="preserve">Predlog novele uvaja nujne prilagoditve, ki izhajajo iz dosedanjih izvedbenih izkušenj in so namenjene učinkovitejšemu izvajanju intervencij v praksi že za zahtevke iz leta 2026. Novela uredbe prinaša: </w:t>
      </w:r>
    </w:p>
    <w:p w14:paraId="100B320F" w14:textId="5596040A" w:rsidR="002201CC" w:rsidRDefault="002201CC" w:rsidP="0050312A">
      <w:pPr>
        <w:pStyle w:val="Odstavekseznama"/>
        <w:numPr>
          <w:ilvl w:val="0"/>
          <w:numId w:val="20"/>
        </w:numPr>
      </w:pPr>
      <w:r>
        <w:lastRenderedPageBreak/>
        <w:t xml:space="preserve">spremembo načina izračuna proizvodnje zelenjave pri vezani dohodkovni podpori – upoštevala se bo le zelenjava, vključena v zahtevek – hkrati pa se znižuje tudi zahtevan delež prodaje preko z uredbo določenih tržnih poti, z dodatnim znižanjem za ekološko pridelavo, </w:t>
      </w:r>
    </w:p>
    <w:p w14:paraId="188C2000" w14:textId="0FC5EE6F" w:rsidR="002201CC" w:rsidRDefault="002201CC" w:rsidP="0050312A">
      <w:pPr>
        <w:pStyle w:val="Odstavekseznama"/>
        <w:numPr>
          <w:ilvl w:val="0"/>
          <w:numId w:val="20"/>
        </w:numPr>
      </w:pPr>
      <w:r>
        <w:t xml:space="preserve">znižanje zahtevanega deleža prodaje zelenjave preko določenih tržnih poti, </w:t>
      </w:r>
    </w:p>
    <w:p w14:paraId="52B467F8" w14:textId="2EA4DD12" w:rsidR="002201CC" w:rsidRDefault="002201CC" w:rsidP="0050312A">
      <w:pPr>
        <w:pStyle w:val="Odstavekseznama"/>
        <w:numPr>
          <w:ilvl w:val="0"/>
          <w:numId w:val="20"/>
        </w:numPr>
      </w:pPr>
      <w:r>
        <w:t>poenostavitve izvajanja sheme Dodatki za zmanjšanje emisij amonijaka (INHIBIT),</w:t>
      </w:r>
    </w:p>
    <w:p w14:paraId="37205CF2" w14:textId="0128D4D3" w:rsidR="002201CC" w:rsidRDefault="002201CC" w:rsidP="0050312A">
      <w:pPr>
        <w:pStyle w:val="Odstavekseznama"/>
        <w:numPr>
          <w:ilvl w:val="0"/>
          <w:numId w:val="20"/>
        </w:numPr>
      </w:pPr>
      <w:r>
        <w:t>jasnejše in natančnejše zapise v uredbi, s čimer se izboljšuje razumljivost in enotnost izvajanja določb v praksi.</w:t>
      </w:r>
    </w:p>
    <w:p w14:paraId="16DE4B3E" w14:textId="0B90BBA3" w:rsidR="00302E1C" w:rsidRDefault="002201CC" w:rsidP="002201CC">
      <w:pPr>
        <w:pStyle w:val="Vir"/>
      </w:pPr>
      <w:r w:rsidRPr="002201CC">
        <w:t>Vir: Ministrstvo za kmetijstvo, gozdarstvo in prehrano</w:t>
      </w:r>
    </w:p>
    <w:p w14:paraId="1DCC133E" w14:textId="4F7686B5" w:rsidR="006934B9" w:rsidRDefault="006934B9" w:rsidP="006934B9">
      <w:pPr>
        <w:pStyle w:val="Naslov2"/>
      </w:pPr>
      <w:r>
        <w:t>Vlada izdala novelo Uredbe o pravilih pogojenosti, ki jo objavi v Uradnem listu Republike Slovenije</w:t>
      </w:r>
    </w:p>
    <w:p w14:paraId="390B00A6" w14:textId="5C36818E" w:rsidR="006934B9" w:rsidRDefault="006934B9" w:rsidP="006934B9">
      <w:r>
        <w:t>Vlada je izdala novelo Uredbe o pravilih pogojenosti in jo bo objavila v Uradnem listu Republike Slovenije.</w:t>
      </w:r>
    </w:p>
    <w:p w14:paraId="7624B2F3" w14:textId="77777777" w:rsidR="006934B9" w:rsidRDefault="006934B9" w:rsidP="006934B9"/>
    <w:p w14:paraId="78F1FB87" w14:textId="77777777" w:rsidR="006934B9" w:rsidRDefault="006934B9" w:rsidP="006934B9">
      <w:r>
        <w:t>Novela Uredbe o pogojenosti spreminja in dopolnjuje Uredbo o pravilih pogojenosti, ki v osnovi določa pravila za zavezance pogojenosti v obliki zahtev.</w:t>
      </w:r>
    </w:p>
    <w:p w14:paraId="764B4F91" w14:textId="77777777" w:rsidR="006934B9" w:rsidRDefault="006934B9" w:rsidP="006934B9"/>
    <w:p w14:paraId="423872AC" w14:textId="77777777" w:rsidR="006934B9" w:rsidRDefault="006934B9" w:rsidP="006934B9">
      <w:r>
        <w:t>Zahteve pogojenosti pokrivajo področja:</w:t>
      </w:r>
    </w:p>
    <w:p w14:paraId="0A941A36" w14:textId="0D72C7AE" w:rsidR="006934B9" w:rsidRDefault="006934B9" w:rsidP="0050312A">
      <w:pPr>
        <w:pStyle w:val="Odstavekseznama"/>
        <w:numPr>
          <w:ilvl w:val="0"/>
          <w:numId w:val="18"/>
        </w:numPr>
      </w:pPr>
      <w:r>
        <w:t xml:space="preserve">podnebje in okolje, vključno z vodo, tlemi in biotsko raznovrstnostjo ekosistemov; </w:t>
      </w:r>
    </w:p>
    <w:p w14:paraId="6EBE4868" w14:textId="436C089D" w:rsidR="006934B9" w:rsidRDefault="006934B9" w:rsidP="006934B9">
      <w:pPr>
        <w:pStyle w:val="Odstavekseznama"/>
        <w:numPr>
          <w:ilvl w:val="0"/>
          <w:numId w:val="18"/>
        </w:numPr>
      </w:pPr>
      <w:r>
        <w:t xml:space="preserve">javno zdravje in zdravje rastlin; </w:t>
      </w:r>
    </w:p>
    <w:p w14:paraId="14EC9FDE" w14:textId="6AA385D7" w:rsidR="006934B9" w:rsidRDefault="006934B9" w:rsidP="006934B9">
      <w:pPr>
        <w:pStyle w:val="Odstavekseznama"/>
        <w:numPr>
          <w:ilvl w:val="0"/>
          <w:numId w:val="18"/>
        </w:numPr>
      </w:pPr>
      <w:r>
        <w:t>dobrobit živali.</w:t>
      </w:r>
    </w:p>
    <w:p w14:paraId="54BDB248" w14:textId="77777777" w:rsidR="006934B9" w:rsidRDefault="006934B9" w:rsidP="006934B9"/>
    <w:p w14:paraId="0C6D5B90" w14:textId="77777777" w:rsidR="006934B9" w:rsidRDefault="006934B9" w:rsidP="006934B9">
      <w:r>
        <w:t>Zavezanci za pogojenost so prosilci in prejemniki sredstev iz naslova shem neposrednih plačil in nekaterih intervencij razvoja podeželja (kmetijsko okoljsko podnebna plačila, območja z omejenimi dejavniki, ekološko kmetijstvo, dobrobit živali ...), ki so del zbirne vloge.</w:t>
      </w:r>
    </w:p>
    <w:p w14:paraId="5A5E49E6" w14:textId="77777777" w:rsidR="006934B9" w:rsidRDefault="006934B9" w:rsidP="006934B9"/>
    <w:p w14:paraId="6E45EB4C" w14:textId="77777777" w:rsidR="006934B9" w:rsidRDefault="006934B9" w:rsidP="006934B9">
      <w:r>
        <w:t>V primeru neizpolnjevanja zahtev pogojenosti se zavezancem naloži upravna sankcija v odstotku od plačil, do katerih so sicer upravičeni. Upravna kazen se naloži glede na resnost, obseg in trajanje po sistemu, predpisanem v uredbi.</w:t>
      </w:r>
    </w:p>
    <w:p w14:paraId="0B60AE49" w14:textId="77777777" w:rsidR="006934B9" w:rsidRDefault="006934B9" w:rsidP="006934B9"/>
    <w:p w14:paraId="170ADABF" w14:textId="77777777" w:rsidR="006934B9" w:rsidRDefault="006934B9" w:rsidP="006934B9">
      <w:r>
        <w:t>Novela Uredbe o pravilih pogojenosti prinaša naslednje spremembe:</w:t>
      </w:r>
    </w:p>
    <w:p w14:paraId="16769C05" w14:textId="0C886A4C" w:rsidR="006934B9" w:rsidRDefault="006934B9" w:rsidP="0050312A">
      <w:pPr>
        <w:pStyle w:val="Odstavekseznama"/>
        <w:numPr>
          <w:ilvl w:val="0"/>
          <w:numId w:val="21"/>
        </w:numPr>
      </w:pPr>
      <w:r>
        <w:t>uvajajo se poenostavitve pravil skupne kmetijske politike (SKP), predvsem glede t. i. pogojenosti (osnovnih okoljskih in kmetijskih pravil);</w:t>
      </w:r>
    </w:p>
    <w:p w14:paraId="5F4C1BFE" w14:textId="5A3C7B9E" w:rsidR="006934B9" w:rsidRDefault="006934B9" w:rsidP="0050312A">
      <w:pPr>
        <w:pStyle w:val="Odstavekseznama"/>
        <w:numPr>
          <w:ilvl w:val="0"/>
          <w:numId w:val="21"/>
        </w:numPr>
      </w:pPr>
      <w:r>
        <w:t>ekološkim kmetom ne bo treba izpolnjevati nekaterih zahtev, kot so vzdrževanje določenega deleža trajnega travinja, prepoved kurjenja žetvenih ostankov, obvezni varovalni pasovi ob vodah, določena pravila o preprečevanju erozije, obvezna pokritost tal, obvezni kolobar (menjava posevkov);</w:t>
      </w:r>
    </w:p>
    <w:p w14:paraId="05DAD79D" w14:textId="63E07C5B" w:rsidR="006934B9" w:rsidRDefault="006934B9" w:rsidP="0050312A">
      <w:pPr>
        <w:pStyle w:val="Odstavekseznama"/>
        <w:numPr>
          <w:ilvl w:val="0"/>
          <w:numId w:val="21"/>
        </w:numPr>
      </w:pPr>
      <w:r>
        <w:t>za kmetije z do 10 upravičenimi hektarji kmetijskih zemljišč še naprej ni kontrol in sankcij v okviru pogojenosti. Poleg tega se uvaja nov prag, in sicer kmetije z manj kot 30 hektarji kmetijskih zemljišč ne bodo dolžne izvajati obveznega kolobarja;</w:t>
      </w:r>
    </w:p>
    <w:p w14:paraId="378E4A92" w14:textId="20BC1F9D" w:rsidR="006934B9" w:rsidRDefault="006934B9" w:rsidP="0050312A">
      <w:pPr>
        <w:pStyle w:val="Odstavekseznama"/>
        <w:numPr>
          <w:ilvl w:val="0"/>
          <w:numId w:val="21"/>
        </w:numPr>
      </w:pPr>
      <w:r>
        <w:t>dopolnjujejo se pravila za kunce, fazane in perutnino, ki se redijo v turnusih (v ciklih), da bo pravilnejši izračun skupne količine dušika na kmetiji;</w:t>
      </w:r>
    </w:p>
    <w:p w14:paraId="68CFA724" w14:textId="342C8DEF" w:rsidR="006934B9" w:rsidRDefault="006934B9" w:rsidP="0050312A">
      <w:pPr>
        <w:pStyle w:val="Odstavekseznama"/>
        <w:numPr>
          <w:ilvl w:val="0"/>
          <w:numId w:val="21"/>
        </w:numPr>
      </w:pPr>
      <w:r>
        <w:t>pri zahtevi po pokritosti tal se med površine izrecno dodajo tudi trajni nasadi (npr. sadovnjaki), ker je med priznanimi izjemami hmelj;</w:t>
      </w:r>
    </w:p>
    <w:p w14:paraId="00449A7B" w14:textId="40789CF0" w:rsidR="006934B9" w:rsidRDefault="006934B9" w:rsidP="0050312A">
      <w:pPr>
        <w:pStyle w:val="Odstavekseznama"/>
        <w:numPr>
          <w:ilvl w:val="0"/>
          <w:numId w:val="21"/>
        </w:numPr>
      </w:pPr>
      <w:r>
        <w:t>posodobijo se tabele in sklici na veljavne slovenske predpise, predvsem glede varstva okolja ter uporabe in skladiščenja fitofarmacevtskih sredstev (škropiv), da bodo pravila bolj jasna in usklajena z aktualno zakonodajo.</w:t>
      </w:r>
    </w:p>
    <w:p w14:paraId="56D7B0BD" w14:textId="531789C2" w:rsidR="006934B9" w:rsidRDefault="006934B9" w:rsidP="006934B9">
      <w:pPr>
        <w:pStyle w:val="Vir"/>
      </w:pPr>
      <w:r w:rsidRPr="006934B9">
        <w:t>Vir: Ministrstvo za kmetijstvo, gozdarstvo in prehrano</w:t>
      </w:r>
    </w:p>
    <w:p w14:paraId="51E413FE" w14:textId="60E70082" w:rsidR="00B05996" w:rsidRDefault="00B05996" w:rsidP="00B05996">
      <w:pPr>
        <w:pStyle w:val="Naslov2"/>
      </w:pPr>
      <w:r>
        <w:lastRenderedPageBreak/>
        <w:t xml:space="preserve">Vlada izdala novelo Uredbe o izvajanju intervencije naložbe v sanacijo in obnovo gozdov po naravnih nesrečah in neugodnih vremenskih razmerah </w:t>
      </w:r>
    </w:p>
    <w:p w14:paraId="69AD7171" w14:textId="77777777" w:rsidR="00B05996" w:rsidRDefault="00B05996" w:rsidP="00B05996">
      <w:r>
        <w:t>Vlada je izdala novelo Uredbe o izvajanju intervencije naložbe v sanacijo in obnovo gozdov po naravnih nesrečah in neugodnih vremenskih razmerah iz strateškega načrta skupne kmetijske politike 2023–2027 in jo bo objavila v Uradnem listu Republike Slovenije.</w:t>
      </w:r>
    </w:p>
    <w:p w14:paraId="3DE5EDB8" w14:textId="77777777" w:rsidR="00B05996" w:rsidRDefault="00B05996" w:rsidP="00B05996"/>
    <w:p w14:paraId="38DD7460" w14:textId="77777777" w:rsidR="00B05996" w:rsidRDefault="00B05996" w:rsidP="00B05996">
      <w:r>
        <w:t xml:space="preserve">Z novelo se Uredba prilagaja spremembam Zakona o kmetijstvu. Pri </w:t>
      </w:r>
      <w:proofErr w:type="spellStart"/>
      <w:r>
        <w:t>podintervenciji</w:t>
      </w:r>
      <w:proofErr w:type="spellEnd"/>
      <w:r>
        <w:t xml:space="preserve"> nakup sadilnega gozdnega materiala in materiala za zaščito sadik se določajo tudi pogoji in postopki za dodelitev podpore, finančne določbe, obveznosti izvajalca in upravne sankcije.</w:t>
      </w:r>
    </w:p>
    <w:p w14:paraId="22C65A1F" w14:textId="77777777" w:rsidR="00B05996" w:rsidRDefault="00B05996" w:rsidP="00B05996"/>
    <w:p w14:paraId="2E7C2989" w14:textId="77777777" w:rsidR="00B05996" w:rsidRDefault="00B05996" w:rsidP="00B05996">
      <w:r>
        <w:t>S sprejemom predloga Uredbe se lahko nadaljuje sanacija gozdov, ki so jih poškodovali podlubniki in neurja v letu 2023 ter požar na Goriškem Krasu v letu 2022.</w:t>
      </w:r>
    </w:p>
    <w:p w14:paraId="67DC7FD0" w14:textId="6C52312D" w:rsidR="00302E1C" w:rsidRDefault="00B05996" w:rsidP="00B05996">
      <w:pPr>
        <w:pStyle w:val="Vir"/>
      </w:pPr>
      <w:r>
        <w:t>Vir: Ministrstvo za kmetijstvo, gozdarstvo in prehrano</w:t>
      </w:r>
    </w:p>
    <w:p w14:paraId="1D222482" w14:textId="0E43A8C8" w:rsidR="00C55A2C" w:rsidRDefault="00C55A2C" w:rsidP="00C55A2C">
      <w:pPr>
        <w:pStyle w:val="Naslov2"/>
      </w:pPr>
      <w:r>
        <w:t>Vlada sprejela spremembe ustanovitvenega akta Javnega zavoda Hiša za otroke</w:t>
      </w:r>
    </w:p>
    <w:p w14:paraId="2E567652" w14:textId="77777777" w:rsidR="00C55A2C" w:rsidRDefault="00C55A2C" w:rsidP="00C55A2C">
      <w:r>
        <w:t>Vlada Republike Slovenije je na današnji redni seji sprejela Sklep o spremembah Sklepa o ustanovitvi Javnega zavoda Hiša za otroke.</w:t>
      </w:r>
    </w:p>
    <w:p w14:paraId="4605F7BD" w14:textId="77777777" w:rsidR="00C55A2C" w:rsidRDefault="00C55A2C" w:rsidP="00C55A2C"/>
    <w:p w14:paraId="6DFDE03B" w14:textId="77777777" w:rsidR="00C55A2C" w:rsidRDefault="00C55A2C" w:rsidP="00C55A2C">
      <w:r>
        <w:t xml:space="preserve">S Sklepom o spremembah Sklepa o ustanovitvi Javnega zavoda Hiša za otroke se ustanovitveni akt spremeni zaradi predvidene ustanovitve nove organizacijske enote Javnega zavoda Hiša za otroke, in sicer Centra za mladoletnike, s čimer se dejavnost zavoda razširi. </w:t>
      </w:r>
    </w:p>
    <w:p w14:paraId="3F9017B8" w14:textId="77777777" w:rsidR="00C55A2C" w:rsidRDefault="00C55A2C" w:rsidP="00C55A2C"/>
    <w:p w14:paraId="15EAB10F" w14:textId="77777777" w:rsidR="00C55A2C" w:rsidRDefault="00C55A2C" w:rsidP="00C55A2C">
      <w:r>
        <w:t>Hkrati se skladno z novo veljavno Uredbo o standardni klasifikaciji dejavnosti ustrezno uredijo dejavnosti javnega zavoda. Prav tako se jasneje razmejijo pristojnosti in naloge organov javnega zavoda, glede zagotavljanja sredstev za izvajanje dejavnosti pa se bolj natančno opredelijo pristojnosti za sklepanje pogodb.</w:t>
      </w:r>
    </w:p>
    <w:p w14:paraId="1D2781A6" w14:textId="30179D4C" w:rsidR="00302E1C" w:rsidRDefault="00C55A2C" w:rsidP="00C55A2C">
      <w:pPr>
        <w:pStyle w:val="Vir"/>
      </w:pPr>
      <w:r>
        <w:t>Vir: Ministrstvo za notranje zadeve</w:t>
      </w:r>
    </w:p>
    <w:p w14:paraId="5EF223F7" w14:textId="1BBC4289" w:rsidR="000C2AB4" w:rsidRDefault="000C2AB4" w:rsidP="000C2AB4">
      <w:pPr>
        <w:pStyle w:val="Naslov2"/>
      </w:pPr>
      <w:r>
        <w:t>Vlada je potrdila Načrt vlaganj v gradnjo infrastrukture lokalnega pomena na območju občine Postojna za leto 2026 in Načrt vlaganj v gradnjo infrastrukture lokalnega pomena na območju občine Pivka za leto 2026</w:t>
      </w:r>
    </w:p>
    <w:p w14:paraId="0D28F1A5" w14:textId="77777777" w:rsidR="000C2AB4" w:rsidRDefault="000C2AB4" w:rsidP="000C2AB4">
      <w:r>
        <w:t>Na podlagi potrjenih načrtov sta občini upravičeni do deleža koncesijske dajatve za rabo naravnih vrednot Postojnski jamski sistem in Predjamski jamski sistem, ki pripada državi, in sicer v višini, ki je določena z Uredbo o koncesiji za rabo naravnih vrednot Postojnski in Predjamski jamski sistem.</w:t>
      </w:r>
    </w:p>
    <w:p w14:paraId="2E11777C" w14:textId="5978D076" w:rsidR="00F4103F" w:rsidRDefault="00F4103F" w:rsidP="00F4103F">
      <w:pPr>
        <w:pStyle w:val="Vir"/>
      </w:pPr>
      <w:r>
        <w:t>V letu 2026 Občina Postojna načrtuje izvajanje projekta Komunalna oprema naselja Zagon. Projekt zajema izvedbo ločenega kanalizacijskega omrežja za komunalne odpadne vode in padavinsko kanalizacijo, z obnovo in dograditvijo vodovodnega omrežja. Z izvedbo investicije bo dosežena večja priključenost prebivalcev na sistemsko odvajanje in čiščenje odpadne vode. Celotna načrtovana sredstva za fazo izgradnje v letu 2026 znašajo 2.426.291,27 evra, od tega je predviden delež iz koncesijske dajatve (ki bi sicer pripadal državi) v višini 219.708,45 evra.</w:t>
      </w:r>
    </w:p>
    <w:p w14:paraId="2A8B229B" w14:textId="77777777" w:rsidR="00F4103F" w:rsidRDefault="00F4103F" w:rsidP="00F4103F">
      <w:pPr>
        <w:pStyle w:val="Vir"/>
      </w:pPr>
      <w:r>
        <w:t xml:space="preserve">Občina Pivka, ki vzporedno vodi več večletnih projektov urejanja komunalne infrastrukture, v  letu 2026  načrtuje s sredstvi iz koncesijske dajatve (ki bi sicer pripadali državi) izvedbo posameznih faz naslednjih projektov:  </w:t>
      </w:r>
    </w:p>
    <w:p w14:paraId="42869F85" w14:textId="77777777" w:rsidR="00F4103F" w:rsidRDefault="00F4103F" w:rsidP="00F4103F">
      <w:pPr>
        <w:pStyle w:val="Vir"/>
        <w:numPr>
          <w:ilvl w:val="0"/>
          <w:numId w:val="22"/>
        </w:numPr>
      </w:pPr>
      <w:r>
        <w:t>Izgradnja kanalizacije v aglomeraciji Trnje-Pivka občina Pivka, in sicer za pripravo dokumentacije, nadzor in izvedbo fekalne kanalizacije, za kar načrtuje sredstva v višini 1.177.641,64 evra, od tega 410.000,00  evrov iz koncesijske dajatve.</w:t>
      </w:r>
    </w:p>
    <w:p w14:paraId="53C21CED" w14:textId="5DF36FB1" w:rsidR="00F4103F" w:rsidRDefault="00F4103F" w:rsidP="00F4103F">
      <w:pPr>
        <w:pStyle w:val="Vir"/>
        <w:numPr>
          <w:ilvl w:val="0"/>
          <w:numId w:val="22"/>
        </w:numPr>
      </w:pPr>
      <w:r>
        <w:lastRenderedPageBreak/>
        <w:t>Ureditev kanalizacije v aglomeraciji Pivka 2019, Kosovelova ulica v Pivki, in sicer za dokumentacijo, gradnjo in nadzor, za kar načrtuje sredstva v višini 40.000,00 evrov in sicer v celoti  iz koncesijske dajatve.</w:t>
      </w:r>
    </w:p>
    <w:p w14:paraId="58DC84FD" w14:textId="2E78D3E4" w:rsidR="00F4103F" w:rsidRDefault="00F4103F" w:rsidP="00F4103F">
      <w:pPr>
        <w:pStyle w:val="Vir"/>
        <w:numPr>
          <w:ilvl w:val="0"/>
          <w:numId w:val="22"/>
        </w:numPr>
      </w:pPr>
      <w:r>
        <w:t xml:space="preserve">V okviru projekta Oskrba s pitno vodo slovenske </w:t>
      </w:r>
      <w:proofErr w:type="spellStart"/>
      <w:r>
        <w:t>istre</w:t>
      </w:r>
      <w:proofErr w:type="spellEnd"/>
      <w:r>
        <w:t xml:space="preserve"> in kraškega zaledja – zmanjšanje izgub in izgradnja povezovalnega vodovoda predvideva občina v okviru dolgoročne zadolžitve v višini 1.515.761,81 evra, od tega je kredit, ki se vrača iz koncesijski sredstev v višini 366.440,45 evra. V letu 2026 se bo izvajalo projektiranje povezovalnih vodovodov kot ukrepi za zmanjšanje vodnih izgub ter priprava vloge za pridobitev sofinancerskih sredstev. Pričetek gradnje je predviden v obdobju med 2026 in 2029.</w:t>
      </w:r>
    </w:p>
    <w:p w14:paraId="1EE6D666" w14:textId="686804D6" w:rsidR="00F4103F" w:rsidRDefault="00F4103F" w:rsidP="00F4103F">
      <w:pPr>
        <w:pStyle w:val="Vir"/>
        <w:numPr>
          <w:ilvl w:val="0"/>
          <w:numId w:val="22"/>
        </w:numPr>
      </w:pPr>
      <w:r>
        <w:t xml:space="preserve">Kot ostale projekte načrtuje pripravo projektne investicijske dokumentacije  za  nepredvidene komunalne ureditve, ki se tekom leta pokažejo kot nujne ob sočasni gradnji druge infrastrukture v višini 5.000,00 evrov. </w:t>
      </w:r>
    </w:p>
    <w:p w14:paraId="2CBC96FF" w14:textId="411801EB" w:rsidR="00F4103F" w:rsidRDefault="00F4103F" w:rsidP="00F4103F">
      <w:pPr>
        <w:pStyle w:val="Vir"/>
        <w:numPr>
          <w:ilvl w:val="0"/>
          <w:numId w:val="22"/>
        </w:numPr>
      </w:pPr>
      <w:r>
        <w:t>Za vračilo kreditov in stroške v zvezi s krediti načrtuje sredstva v višini 246.744,00 evrov, pri čemer je navedeno, da se v primeru, da sredstva iz letne  koncesije niso zagotovljena v načrtovani višini,  sredstva za vračilo letnih anuitet kreditov lahko zagotovijo iz drugih virov financiranja.</w:t>
      </w:r>
    </w:p>
    <w:p w14:paraId="5A2F0B74" w14:textId="2B71644B" w:rsidR="00302E1C" w:rsidRDefault="000C2AB4" w:rsidP="000C2AB4">
      <w:pPr>
        <w:pStyle w:val="Vir"/>
      </w:pPr>
      <w:r>
        <w:t>Vir: Ministrstvo za naravne vire in prostor</w:t>
      </w:r>
    </w:p>
    <w:p w14:paraId="6FB445E1" w14:textId="7E161168" w:rsidR="000C2AB4" w:rsidRDefault="000C2AB4" w:rsidP="000C2AB4">
      <w:pPr>
        <w:pStyle w:val="Naslov2"/>
      </w:pPr>
      <w:r>
        <w:t>Vlada je potrdila Poslovni načrt koncesionarja Postojnska jama d. d. za izvajanje koncesije za rabo naravnih vrednot Postojnski jamski sistem in Predjamski jamski sistem za leto 2026</w:t>
      </w:r>
    </w:p>
    <w:p w14:paraId="2B0BC550" w14:textId="77777777" w:rsidR="000C2AB4" w:rsidRDefault="000C2AB4" w:rsidP="000C2AB4">
      <w:r>
        <w:t xml:space="preserve">Poslovni načrt vsebuje tudi program vlaganj v naravne vrednote Postojnski jamski sistem in Predjamski jamski sistem, ki je pripravljen v skladu z dogovorjenim dolgoročnim in kratkoročnim programom rabe naravnih vrednot kot sestavnim delom koncesijske pogodbe. </w:t>
      </w:r>
    </w:p>
    <w:p w14:paraId="7D9D644D" w14:textId="77777777" w:rsidR="000C2AB4" w:rsidRDefault="000C2AB4" w:rsidP="000C2AB4"/>
    <w:p w14:paraId="1A1DE0CD" w14:textId="3CA64ABE" w:rsidR="000C2AB4" w:rsidRDefault="000C2AB4" w:rsidP="000C2AB4">
      <w:r>
        <w:t>Predvideni prihodki od rabe naravnih vrednot znašajo 21.666.328,00 evrov, višina koncesijske dajatve pa 3.000.000,00 evrov. Načrtovano je vlaganje v naravne vrednote v lasti države v višini 35 % akontacije koncesijske dajatve (1.050.000,00 evrov).</w:t>
      </w:r>
    </w:p>
    <w:p w14:paraId="40C13C58" w14:textId="77777777" w:rsidR="00C9129E" w:rsidRDefault="00C9129E" w:rsidP="00C9129E"/>
    <w:p w14:paraId="61385D3D" w14:textId="7C29719E" w:rsidR="00C9129E" w:rsidRDefault="00C9129E" w:rsidP="00C9129E">
      <w:r>
        <w:t xml:space="preserve">Najvišja predvidena vlaganja se nanašajo na obnovo Promenade (za vračilo kredita in obresti kredita) v višini 550.824,38 evra, obnovo jamske železniške infrastrukture (za zamenjavo pragov in tirnic) v višini 265.000,00 evrov ter  posodobitev električne inštalacije in pripadajoče opreme (za zamenjavo halogenskih luči z led lučmi, infrastrukturo za varnostno razsvetljavo, zamenjavo elektro omaric in posodobitev ozvočenja) v višini 97.000,00 evrov. </w:t>
      </w:r>
    </w:p>
    <w:p w14:paraId="4A5DD65C" w14:textId="77777777" w:rsidR="00C9129E" w:rsidRDefault="00C9129E" w:rsidP="00C9129E"/>
    <w:p w14:paraId="0CF5622A" w14:textId="6DA45925" w:rsidR="00C9129E" w:rsidRDefault="00C9129E" w:rsidP="00C9129E">
      <w:r>
        <w:t xml:space="preserve">Druga vlaganja se nanašajo na zamenjavo dotrajanih naprav za spremljanje jamske klime v višini 12.000,00 </w:t>
      </w:r>
      <w:r w:rsidR="0038067C">
        <w:t>evrov</w:t>
      </w:r>
      <w:r>
        <w:t xml:space="preserve">, posodobitev telekomunikacijske infrastrukture v višini 20.000,00 </w:t>
      </w:r>
      <w:r w:rsidR="0038067C">
        <w:t>evrov</w:t>
      </w:r>
      <w:r>
        <w:t xml:space="preserve">, obnovo poti  po jami v višini 10.000,00 </w:t>
      </w:r>
      <w:r w:rsidR="0038067C">
        <w:t>evrov</w:t>
      </w:r>
      <w:r>
        <w:t xml:space="preserve">, zamenjava varnostne ograje v Črni jami v višini 30.000 </w:t>
      </w:r>
      <w:r w:rsidR="0038067C">
        <w:t>evrov</w:t>
      </w:r>
      <w:r>
        <w:t xml:space="preserve">, infrastrukturo </w:t>
      </w:r>
      <w:proofErr w:type="spellStart"/>
      <w:r>
        <w:t>speleobiološke</w:t>
      </w:r>
      <w:proofErr w:type="spellEnd"/>
      <w:r>
        <w:t xml:space="preserve"> postaje v povezavi s človeškimi ribicami v višini 50.175,62 </w:t>
      </w:r>
      <w:r w:rsidR="0038067C">
        <w:t>evra</w:t>
      </w:r>
      <w:r>
        <w:t xml:space="preserve">. Za zavarovanje jamske infrastrukture je predvidenih 15.000,00 </w:t>
      </w:r>
      <w:r w:rsidR="0038067C">
        <w:t>evrov</w:t>
      </w:r>
      <w:r>
        <w:t xml:space="preserve">. </w:t>
      </w:r>
    </w:p>
    <w:p w14:paraId="34A4B6D3" w14:textId="0745D1A6" w:rsidR="00302E1C" w:rsidRDefault="000C2AB4" w:rsidP="000C2AB4">
      <w:pPr>
        <w:pStyle w:val="Vir"/>
      </w:pPr>
      <w:r>
        <w:t>Vir: Ministrstvo za naravne vire in prostor</w:t>
      </w:r>
    </w:p>
    <w:p w14:paraId="76F69FEE" w14:textId="3FF59751" w:rsidR="00A40E78" w:rsidRDefault="00A40E78" w:rsidP="00A40E78">
      <w:pPr>
        <w:pStyle w:val="Naslov2"/>
      </w:pPr>
      <w:r>
        <w:t>Vlada sprejela aneks k pogodbi za izvajanje javne službe oskrbe s toploto v Šaleški dolini</w:t>
      </w:r>
    </w:p>
    <w:p w14:paraId="526ED4FC" w14:textId="77777777" w:rsidR="00A40E78" w:rsidRDefault="00A40E78" w:rsidP="00A40E78">
      <w:r>
        <w:t>Vlada je sprejela sklep o sklenitvi Aneksa št. 1 k pogodbi o izvajanju gospodarske javne službe proizvodnje in dobave toplote na območju Mestne občine Velenje in Občine Šoštanj. Za podpis aneksa je pooblastila ministra za okolje, podnebje in energijo mag. Bojana Kumra.</w:t>
      </w:r>
    </w:p>
    <w:p w14:paraId="00EDAC2E" w14:textId="77777777" w:rsidR="00A40E78" w:rsidRDefault="00A40E78" w:rsidP="00A40E78"/>
    <w:p w14:paraId="38F31204" w14:textId="77777777" w:rsidR="00A40E78" w:rsidRDefault="00A40E78" w:rsidP="00A40E78">
      <w:r>
        <w:lastRenderedPageBreak/>
        <w:t>Aneks ureja financiranje izvajanja javne službe za leto 2026 in je nujen za nemoteno oskrbo prebivalcev s toploto v Šaleški dolini. Ukrep je del prehodnega obdobja izstopa iz premoga, v katerem država zagotavlja stabilno delovanje sistema daljinskega ogrevanja.</w:t>
      </w:r>
    </w:p>
    <w:p w14:paraId="6006EADC" w14:textId="77777777" w:rsidR="00A40E78" w:rsidRDefault="00A40E78" w:rsidP="00A40E78"/>
    <w:p w14:paraId="046CE333" w14:textId="77777777" w:rsidR="00A40E78" w:rsidRDefault="00A40E78" w:rsidP="00A40E78">
      <w:r>
        <w:t>Podlago za sklenitev aneksa določa zakon o prehodnem financiranju izstopa iz premoga, po katerem država in izvajalec vsako leto določita višino in dinamiko nadomestila za izvajanje javne službe. Pogodba s Termoelektrarno Šoštanj velja za obdobje od začetka leta 2025 do konca aprila 2027.</w:t>
      </w:r>
    </w:p>
    <w:p w14:paraId="6054D6DE" w14:textId="77777777" w:rsidR="00A40E78" w:rsidRDefault="00A40E78" w:rsidP="00A40E78"/>
    <w:p w14:paraId="31C3FD75" w14:textId="77777777" w:rsidR="00A40E78" w:rsidRDefault="00A40E78" w:rsidP="00A40E78">
      <w:r>
        <w:t>Na podlagi odločbe ministrstva z dne 16. aprila 2026 se z aneksom določa financiranje za leto 2026. Skupna vrednost nadomestila znaša 152,7 milijona evrov, pri čemer je že upoštevano preplačilo iz leta 2025. Zato znašajo dejanska potrebna proračunska sredstva za leto 2026 približno 130,6 milijona evrov.</w:t>
      </w:r>
    </w:p>
    <w:p w14:paraId="46DF402E" w14:textId="77777777" w:rsidR="00A40E78" w:rsidRDefault="00A40E78" w:rsidP="00A40E78"/>
    <w:p w14:paraId="7DADF3E8" w14:textId="77777777" w:rsidR="00A40E78" w:rsidRDefault="00A40E78" w:rsidP="00A40E78">
      <w:r>
        <w:t>Sprejeti aneks zagotavlja finančno in pravno podlago za nadaljnje izvajanje javne službe ter stabilno oskrbo s toploto za prebivalce Velenja in Šoštanja.</w:t>
      </w:r>
    </w:p>
    <w:p w14:paraId="545AD3F8" w14:textId="15730B43" w:rsidR="00302E1C" w:rsidRDefault="00A40E78" w:rsidP="00A40E78">
      <w:pPr>
        <w:pStyle w:val="Vir"/>
      </w:pPr>
      <w:r>
        <w:t>Vir: Ministrstvo za okolje, podnebje in energijo</w:t>
      </w:r>
    </w:p>
    <w:p w14:paraId="55FB9FFA" w14:textId="57E7217F" w:rsidR="00761B86" w:rsidRDefault="00761B86" w:rsidP="00761B86">
      <w:pPr>
        <w:pStyle w:val="Naslov2"/>
      </w:pPr>
      <w:r>
        <w:t>Vlada ohranila status Podružnične šole Soča</w:t>
      </w:r>
    </w:p>
    <w:p w14:paraId="25943B09" w14:textId="77777777" w:rsidR="00761B86" w:rsidRDefault="00761B86" w:rsidP="00761B86">
      <w:r>
        <w:t xml:space="preserve">Vlada je sprejela sklep o predlogu Občine Bovec in odločila, da Podružnična šola Soča v šolskem letu 2026/2027 ohranja status podružnične šole. </w:t>
      </w:r>
    </w:p>
    <w:p w14:paraId="42A98C74" w14:textId="77777777" w:rsidR="00761B86" w:rsidRDefault="00761B86" w:rsidP="00761B86"/>
    <w:p w14:paraId="7D7E2337" w14:textId="77777777" w:rsidR="00761B86" w:rsidRDefault="00761B86" w:rsidP="00761B86">
      <w:r>
        <w:t>Odločitev je sprejeta na podlagi Pravilnika o pogojih za ustanavljanje javnih osnovnih šol, javnih osnovnih šol in zavodov za vzgojo in izobraževanje otrok in mladostnikov s posebnimi potrebami ter javnih glasbenih šol, ki določa, da v primeru, ko gre za edino šolo v lokalni skupnosti, ki leži na obmejnem oziroma gorsko višinskem območju, in je njeno delovanje potrebno tudi zaradi ohranitve poseljenosti ozemlja ter slovenskega jezika, lahko vlada na predlog ustanovitelja odloči, da se status šole ne spremeni, ne glede na določbe tega pravilnika. Vlada s tem sledi in uresničuje Zakon o Triglavskem narodnem parku, ki med razvojnimi usmeritvami določa tudi podporo nadstandardnemu razvoju družbenih dejavnosti v narodnem parku in v parkovnih lokalnih skupnostih, predvsem šolstva, zdravstva in socialnega varstva.</w:t>
      </w:r>
    </w:p>
    <w:p w14:paraId="1F320102" w14:textId="6B19F674" w:rsidR="00302E1C" w:rsidRDefault="00761B86" w:rsidP="00761B86">
      <w:pPr>
        <w:pStyle w:val="Vir"/>
      </w:pPr>
      <w:r>
        <w:t>Vir: Ministrstvo za vzgojo in izobraževanje</w:t>
      </w:r>
    </w:p>
    <w:p w14:paraId="18B1F4E0" w14:textId="0CE885A2" w:rsidR="004515FF" w:rsidRDefault="004515FF" w:rsidP="004515FF">
      <w:pPr>
        <w:pStyle w:val="Naslov2"/>
      </w:pPr>
      <w:r>
        <w:t>Vlada v Načrt razvojnih programov 2026-2029 uvrstila šestnajstih novih projektov</w:t>
      </w:r>
    </w:p>
    <w:p w14:paraId="2C6EE829" w14:textId="77777777" w:rsidR="004515FF" w:rsidRDefault="004515FF" w:rsidP="004515FF">
      <w:r>
        <w:t>Vlada je v Načrt razvojnih programov za obdobje 2026-2029 uvrstila šestnajst novih projektov, ki so bili izbrani na Razpisu za sofinanciranje investicij v vrtcih in osnovnem šolstvu 2026-2029, in sicer: nadzidavo Glasbene šole Murska Sobota, prizidavo Osnovne šole Notranjski odred Cerknica, prenovo Osnovne šole Milke Šobar – Nataše Črnomelj, novogradnjo Osnovne šole Šentjanž pri Dravogradu, novogradnjo Podružnične osnovne šole Javorje v Gorenji vasi – Poljane, rekonstrukcijo in prizidavo k Podružnični osnovni šoli Tomišelj na Igu, rekonstrukcijo in dozidavo Osnovne šole Ljubo Šercer v Kočevju, rekonstrukcijo in dozidavo Osnovne šole Podčetrtek, prizidavo k Osnovni šoli Belokranjskega odreda v Semiču, novogradnjo Osnovne šole Krmelj v Sevnici, prizidavo in rekonstrukcijo Osnovne šole Sveta Ana, novogradnjo telovadnice pri Osnovni šoli Tišina, dozidavo Osnovne šole Primoža Trubarja Velike Lašče, rekonstrukcijo in dozidavo Osnovne šole Vojnik, ureditev mansarde Podružnične osnovne šole Dvor v Žužemberku in dozidavo Dvojezične osnovne šole Dobrovnik.</w:t>
      </w:r>
    </w:p>
    <w:p w14:paraId="35CD25C4" w14:textId="77777777" w:rsidR="004515FF" w:rsidRDefault="004515FF" w:rsidP="004515FF"/>
    <w:p w14:paraId="1A2EA4E0" w14:textId="77777777" w:rsidR="004515FF" w:rsidRDefault="004515FF" w:rsidP="004515FF">
      <w:r>
        <w:t>Javni razpis je objavilo Ministrstvo za vzgojo in izobraževanje. Z razpisom bo v letih 2026 do 2029 namenilo do 160 milijonov evrov za sofinanciranje investicij v vrtcih in osnovnem šolstvu v Republiki Sloveniji. Sofinanciralo bo šestnajst projektov v višini največ do 27.944.519,49 evra.</w:t>
      </w:r>
    </w:p>
    <w:p w14:paraId="0A77E298" w14:textId="77777777" w:rsidR="004515FF" w:rsidRDefault="004515FF" w:rsidP="004515FF"/>
    <w:p w14:paraId="343CA40E" w14:textId="77777777" w:rsidR="004515FF" w:rsidRDefault="004515FF" w:rsidP="004515FF">
      <w:r>
        <w:t>Namen razpisa je bilo sofinanciranje investicij v objekte vzgojno - izobraževalnih zavodov, ki sodijo v pristojnost Ministrstva za vzgojo in izobraževanje, oziroma v objekte vrtcev in osnovnega šolstva. Z razpisom se zagotavlja finančna pomoč občinam pri uresničitvi načrtovanih projektov za objekte vzgojno-izobraževalnih zavodov zaradi zagotavljanja manjkajočih površin, prostorov in/ali zagotavljanja statične ter potresne varnosti objektov. Cilj razpisa je bilo v letih 2026 – 2029 prispevati k realizaciji čim večjega števila projektov v rekonstrukcije in/ali novogradnje objektov vrtcev in osnovnega šolstva.</w:t>
      </w:r>
    </w:p>
    <w:p w14:paraId="054EBFBF" w14:textId="156E87D4" w:rsidR="00302E1C" w:rsidRDefault="004515FF" w:rsidP="004515FF">
      <w:pPr>
        <w:pStyle w:val="Vir"/>
      </w:pPr>
      <w:r>
        <w:t>Vir: Ministrstvo za vzgojo in izobraževanje</w:t>
      </w:r>
    </w:p>
    <w:p w14:paraId="265A90CE" w14:textId="7910ECF2" w:rsidR="004515FF" w:rsidRDefault="004515FF" w:rsidP="004515FF">
      <w:pPr>
        <w:pStyle w:val="Naslov2"/>
      </w:pPr>
      <w:r>
        <w:t>Vlada v Načrt razvojnih programov 2026-2029 uvrstila trinajst novih projektov</w:t>
      </w:r>
    </w:p>
    <w:p w14:paraId="5ECC9D26" w14:textId="77777777" w:rsidR="004515FF" w:rsidRDefault="004515FF" w:rsidP="004515FF">
      <w:r>
        <w:t xml:space="preserve">Vlada je v Načrt razvojnih programov za obdobje 2026-2029 uvrstila trinajst novih projektov, ki so bili izbrani na Razpisu za sofinanciranje investicij v vrtcih in osnovnem šolstvu 2026-2029, in sicer: novogradnjo Vrtca Hrpelje, v občini Hrpelje Kozina, nadzidavo vrtca Storžek v Preddvoru, gradnjo enote vrtca Levi </w:t>
      </w:r>
      <w:proofErr w:type="spellStart"/>
      <w:r>
        <w:t>devžej</w:t>
      </w:r>
      <w:proofErr w:type="spellEnd"/>
      <w:r>
        <w:t xml:space="preserve"> na Ravnah na Koroškem, prizidavo in rekonstrukcijo vrtca Ruše, rekonstrukcijo in novogradnjo vrtca Sodražica, novogradnjo vrtca Krkine lučke Straža, novogradnjo vrtca Sveta Trojica v Slovenskih goricah, novogradnjo vrtca Šalovci, dozidavo enote vrtca Dramlje v Šentjurju, novogradnjo vrtca Šmartno v Šmartnem pri Litiji, novogradnjo vrtca Most na Soči v Tolminu, novogradnjo vrtca Videm pri Ptuju in novogradnjo vrtca Ponikva v Žalcu.</w:t>
      </w:r>
    </w:p>
    <w:p w14:paraId="6AB5B2EA" w14:textId="77777777" w:rsidR="004515FF" w:rsidRDefault="004515FF" w:rsidP="004515FF"/>
    <w:p w14:paraId="579D9B5D" w14:textId="77777777" w:rsidR="004515FF" w:rsidRDefault="004515FF" w:rsidP="004515FF">
      <w:r>
        <w:t>Javni razpis je objavilo Ministrstvo za vzgojo in izobraževanje. Z razpisom bo v letih 2026 do 2029 namenilo do 160 milijonov evrov za sofinanciranje investicij v vrtcih in osnovnem šolstvu v Republiki Sloveniji. Sofinanciralo bo trinajst projektov v višini največ do 20.465.582,92 evra.</w:t>
      </w:r>
    </w:p>
    <w:p w14:paraId="545E2F40" w14:textId="77777777" w:rsidR="004515FF" w:rsidRDefault="004515FF" w:rsidP="004515FF"/>
    <w:p w14:paraId="3C479CBE" w14:textId="77777777" w:rsidR="004515FF" w:rsidRDefault="004515FF" w:rsidP="004515FF">
      <w:r>
        <w:t>Namen razpisa je bilo sofinanciranje investicij v objekte vzgojno - izobraževalnih zavodov, ki sodijo v pristojnost Ministrstva za vzgojo in izobraževanje, oziroma v objekte vrtcev in osnovnega šolstva. Z razpisom se zagotavlja finančna pomoč občinam pri uresničitvi načrtovanih projektov za objekte vzgojno-izobraževalnih zavodov zaradi zagotavljanja manjkajočih površin, prostorov in/ali zagotavljanja statične ter potresne varnosti objektov. Cilj razpisa je bilo v letih 2026 – 2029 prispevati k realizaciji čim večjega števila projektov v rekonstrukcije in/ali novogradnje objektov vrtcev in osnovnega šolstva.</w:t>
      </w:r>
    </w:p>
    <w:p w14:paraId="6B16C6BD" w14:textId="2254ED7B" w:rsidR="00302E1C" w:rsidRDefault="004515FF" w:rsidP="004515FF">
      <w:pPr>
        <w:pStyle w:val="Vir"/>
      </w:pPr>
      <w:r>
        <w:t>Vir: Ministrstvo za vzgojo in izobraževanje</w:t>
      </w:r>
    </w:p>
    <w:p w14:paraId="7D1C7F22" w14:textId="628FA41B" w:rsidR="00C418E8" w:rsidRDefault="00C418E8" w:rsidP="00C418E8">
      <w:pPr>
        <w:pStyle w:val="Naslov2"/>
      </w:pPr>
      <w:r>
        <w:t>Vlada sprejela poročilo o opravljenih postopkih inšpekcijskega nadzora nad porabo sredstev državnega proračuna</w:t>
      </w:r>
    </w:p>
    <w:p w14:paraId="49464140" w14:textId="77777777" w:rsidR="00C418E8" w:rsidRDefault="00C418E8" w:rsidP="00C418E8">
      <w:r>
        <w:t xml:space="preserve">Vlada je na današnji seji sprejela Poročilo o opravljenih postopkih inšpekcijskega nadzora nad porabo sredstev državnega proračuna v obdobju od 1. septembra do 31. decembra 2025. </w:t>
      </w:r>
    </w:p>
    <w:p w14:paraId="2741FE81" w14:textId="77777777" w:rsidR="00C418E8" w:rsidRDefault="00C418E8" w:rsidP="00C418E8">
      <w:r>
        <w:t>V tem obdobju je proračunska inšpekcija izvajala 14 nadzorov, od katerih je bilo 5 nadzorov zaključenih, 9 nadzorov pa je še nezaključenih. V primerih zaključenih nadzorov, v katerih so bile v vseh primerih ugotovljene nepravilnosti, je znesek nadziranih sredstev znašal slabih 101,7 milijona evrov. Nadzori so se v večjem delu izvajali na podlagi letnega načrta dela (9), kar je skladno s sistematičnim pristopom k izvajanju nadzora. V okviru teh nadzorov so bile obravnavane tudi prijave ter medijske objave. Preostali nadzori so bili izvedeni na podlagi prijav in pobud (5).</w:t>
      </w:r>
    </w:p>
    <w:p w14:paraId="29CD74EE" w14:textId="77777777" w:rsidR="00C418E8" w:rsidRDefault="00C418E8" w:rsidP="00C418E8"/>
    <w:p w14:paraId="4A0B8EAD" w14:textId="77777777" w:rsidR="00C418E8" w:rsidRDefault="00C418E8" w:rsidP="00C418E8">
      <w:r>
        <w:t>V primeru zaključenih nadzorov je bilo ugotovljenih 19 nepravilnosti, na podlagi katerih je bilo izrečenih 20 priporočil in 3 ukrepi. Vsa izrečena priporočila in 1 ukrep so bila realizirana, 2 ukrepa pa do priprave poročila še nista bila realizirana.</w:t>
      </w:r>
    </w:p>
    <w:p w14:paraId="46CEA708" w14:textId="386D4FE0" w:rsidR="00302E1C" w:rsidRDefault="00C418E8" w:rsidP="00C418E8">
      <w:pPr>
        <w:pStyle w:val="Vir"/>
      </w:pPr>
      <w:r>
        <w:t>Vir: Ministrstvo za finance</w:t>
      </w:r>
    </w:p>
    <w:p w14:paraId="46EB16B0" w14:textId="6A47CFAD" w:rsidR="00FB70A7" w:rsidRDefault="00FB70A7" w:rsidP="00FB70A7">
      <w:pPr>
        <w:pStyle w:val="Naslov2"/>
      </w:pPr>
      <w:r>
        <w:lastRenderedPageBreak/>
        <w:t>Mnenje vlade o pobudi za oceno ustavnosti dela Šutarjevega zakona</w:t>
      </w:r>
    </w:p>
    <w:p w14:paraId="7373364C" w14:textId="77777777" w:rsidR="00FB70A7" w:rsidRDefault="00FB70A7" w:rsidP="00FB70A7">
      <w:r>
        <w:t>Vlada je danes sprejela mnenje o pobudi za oceno ustavnosti 8. člena Zakona o nujnih ukrepih za zagotavljanje javne varnosti (Šutarjev zakon), ki jo je vložilo pet pobudnikov. Vlada meni, da členu ni možno očitati neustavnosti.</w:t>
      </w:r>
    </w:p>
    <w:p w14:paraId="25F6F9CC" w14:textId="77777777" w:rsidR="00FB70A7" w:rsidRDefault="00FB70A7" w:rsidP="00FB70A7"/>
    <w:p w14:paraId="0ED9C813" w14:textId="77777777" w:rsidR="00FB70A7" w:rsidRDefault="00FB70A7" w:rsidP="00FB70A7">
      <w:r>
        <w:t>Vlada prvenstveno oporeka obstoju pravnega interesa pobudnikov za podajo pobude kot procesne predpostavke za začetek postopka za oceno ustavnosti 8. člena omenjenega zakona.</w:t>
      </w:r>
    </w:p>
    <w:p w14:paraId="53DD46E2" w14:textId="77777777" w:rsidR="00FB70A7" w:rsidRDefault="00FB70A7" w:rsidP="00FB70A7"/>
    <w:p w14:paraId="6AF53EF7" w14:textId="77777777" w:rsidR="00FB70A7" w:rsidRDefault="00FB70A7" w:rsidP="00FB70A7">
      <w:r>
        <w:t>V mnenju je pojasnila tudi izvajanje izpodbijane določbe v praksi, kot izhaja iz prvega trimesečnega poročila o izvajanju zakona v obdobju od 27. novembra 2025 do 28. februarja 2026.</w:t>
      </w:r>
    </w:p>
    <w:p w14:paraId="5D7D7507" w14:textId="77777777" w:rsidR="00FB70A7" w:rsidRDefault="00FB70A7" w:rsidP="00FB70A7"/>
    <w:p w14:paraId="30FF6B94" w14:textId="77777777" w:rsidR="00FB70A7" w:rsidRDefault="00FB70A7" w:rsidP="00FB70A7">
      <w:r>
        <w:t xml:space="preserve">V zvezi z izpodbijano določbo je zahtevo za oceno ustavnosti podal tudi Varuh človekovih pravic Republike Slovenije, ki svojo zahtevo v bistvenem opira na enake očitke glede neskladja z ustavo in kršitvijo človekovih pravic. Svoje mnenje je vlada v navedeni zadevi že utemeljila, zato svojih argumentov tokrat ne ponavlja in se v celoti sklicuje na podano mnenje, da ureditvi 8. člena zakona ni mogoče očitati neustavnosti. </w:t>
      </w:r>
    </w:p>
    <w:p w14:paraId="00EAA877" w14:textId="51CEE508" w:rsidR="00302E1C" w:rsidRDefault="00FB70A7" w:rsidP="00FB70A7">
      <w:pPr>
        <w:pStyle w:val="Vir"/>
      </w:pPr>
      <w:r>
        <w:t>Vir: Ministrstvo za finance</w:t>
      </w:r>
    </w:p>
    <w:p w14:paraId="43E145A7" w14:textId="08864172" w:rsidR="00CA4221" w:rsidRDefault="00CA4221" w:rsidP="00CA4221">
      <w:pPr>
        <w:pStyle w:val="Naslov2"/>
      </w:pPr>
      <w:r>
        <w:t>Mnenje Vlade o zahtevi Sodnega sveta za oceno ustavnosti dela Zakona o skupnih temeljih sistema plač v javnem sektorju</w:t>
      </w:r>
    </w:p>
    <w:p w14:paraId="2ECD5012" w14:textId="77777777" w:rsidR="00CA4221" w:rsidRDefault="00CA4221" w:rsidP="00CA4221">
      <w:r>
        <w:t>Vlada Republike Slovenije je sprejela mnenje o zahtevi Sodnega sveta za oceno ustavnosti četrtega in petega odstavka 7. člena, drugega odstavka 60. člena s Prilogo 1 in 2, 101. člena, 102. člena in 104. člena Zakona o skupnih temeljih sistema plač v javnem sektorju (ZSTSPJS), kolikor se nanašajo na sodno vejo oblasti, ter ga pošlje Državnemu zboru in Ustavnemu sodišču.</w:t>
      </w:r>
    </w:p>
    <w:p w14:paraId="158595A3" w14:textId="77777777" w:rsidR="00CA4221" w:rsidRDefault="00CA4221" w:rsidP="00CA4221"/>
    <w:p w14:paraId="40CA528D" w14:textId="77777777" w:rsidR="00CA4221" w:rsidRDefault="00CA4221" w:rsidP="00CA4221">
      <w:r>
        <w:t xml:space="preserve">Vlada v mnenju zavrača očitke predlagatelja in razloge za neutemeljenost zatrjevane neustavnosti z vidika izvršilne oblasti tudi podrobneje obrazloži. Vlada meni, da način usklajevanja plačne lestvice v skladu s četrtim in petim odstavkom 7. člena ZSTSPJS, uvrstitev sodniških funkcij po drugem odstavku 60. člena ZSTSPJS v zvezi s Prilogo 2 in 1, postopna pridobitev pravice do višje plače v skladu s 101. in 102. členom ZSTSPJS ter način usklajevanja osnovnih plač in plačne lestvice v prehodnem obdobju v skladu s 104. členom ZSTSPJS, kolikor se določbe nanašajo na sodniške funkcije, niso v neskladju z Ustavo in zato omenjena zahteva za presojo ustavnosti ni utemeljena. </w:t>
      </w:r>
    </w:p>
    <w:p w14:paraId="4A2B7325" w14:textId="2CCDB7E0" w:rsidR="00302E1C" w:rsidRDefault="00CA4221" w:rsidP="00CA4221">
      <w:pPr>
        <w:pStyle w:val="Vir"/>
      </w:pPr>
      <w:r>
        <w:t>Vir: Ministrstvo za javno upravo</w:t>
      </w:r>
    </w:p>
    <w:p w14:paraId="041C4EE1" w14:textId="49A1189F" w:rsidR="002744FD" w:rsidRDefault="002744FD" w:rsidP="002744FD">
      <w:pPr>
        <w:pStyle w:val="Naslov2"/>
      </w:pPr>
      <w:r>
        <w:t>Vlada podpira spremembo direktive v zvezi s poklicnim pokojninskim zavarovanjem</w:t>
      </w:r>
    </w:p>
    <w:p w14:paraId="311EC718" w14:textId="0A35199F" w:rsidR="002744FD" w:rsidRDefault="002744FD" w:rsidP="002744FD">
      <w:r>
        <w:t>Vlada je sprejela stališče k Predlogu direktive Evropskega parlamenta in Sveta o spremembi direktiv (EU) 2016/2341 in 2016/97 v zvezi s krepitvijo okvira za poklicno pokojninsko zavarovanje (dokument Sveta EU št. 15757/25).</w:t>
      </w:r>
    </w:p>
    <w:p w14:paraId="04C8A55C" w14:textId="77777777" w:rsidR="002744FD" w:rsidRDefault="002744FD" w:rsidP="002744FD"/>
    <w:p w14:paraId="207C7265" w14:textId="374CF2BD" w:rsidR="002744FD" w:rsidRDefault="002744FD" w:rsidP="002744FD">
      <w:r>
        <w:t>Slovenija podpira predlog Direktive v zvezi s krepitvijo okvira za poklicno pokojninsko zavarovanje, saj si prizadeva za povečanje finančne varnosti državljanov po upokojitvi ter večjo dolgoročno vzdržnost in odpornost pokojninskih sistemov. V pogajanjih si bo Slovenija prizadevala za rešitve, ki dosledno upoštevajo specifike manjših trgov ter načelo sorazmernosti. Cilj je zagotoviti varnost in največje koristi za zavarovance ob hkratnem ohranjanju spodbudnega okolja za razvoj ponudnikov dodatnih pokojnin.</w:t>
      </w:r>
    </w:p>
    <w:p w14:paraId="48CE5792" w14:textId="613D5A77" w:rsidR="00302E1C" w:rsidRDefault="002744FD" w:rsidP="002744FD">
      <w:pPr>
        <w:pStyle w:val="Vir"/>
      </w:pPr>
      <w:r>
        <w:t>Vir: Ministrstvo za delo, družino, socialne zadeve in enake možnosti</w:t>
      </w:r>
    </w:p>
    <w:p w14:paraId="1F9A217D" w14:textId="672AB9C5" w:rsidR="00B15347" w:rsidRDefault="00B15347" w:rsidP="00B15347">
      <w:pPr>
        <w:pStyle w:val="Naslov2"/>
      </w:pPr>
      <w:r>
        <w:lastRenderedPageBreak/>
        <w:t>Soglasje vlade z osnutkom skupnega stališča EU za začasno zaprtje poglavja 28 (varstvo potrošnikov in zdravja) za Črno goro</w:t>
      </w:r>
    </w:p>
    <w:p w14:paraId="59DE6EAB" w14:textId="77777777" w:rsidR="00B15347" w:rsidRDefault="00B15347" w:rsidP="00B15347">
      <w:r>
        <w:t>Vlada Republike Slovenije soglaša z osnutkom skupnega stališča EU za začasno zaprtje poglavja 28 (varstvo potrošnikov in zdravja) za Črno goro in ga posreduje Državnemu zboru Republike Slovenije.</w:t>
      </w:r>
    </w:p>
    <w:p w14:paraId="454887A3" w14:textId="77777777" w:rsidR="00B15347" w:rsidRDefault="00B15347" w:rsidP="00B15347"/>
    <w:p w14:paraId="0A88592D" w14:textId="77777777" w:rsidR="00B15347" w:rsidRDefault="00B15347" w:rsidP="00B15347">
      <w:r>
        <w:t xml:space="preserve">Črna gora v pogajalskem stališču CONF-ME 18/14 in </w:t>
      </w:r>
      <w:proofErr w:type="spellStart"/>
      <w:r>
        <w:t>adendumu</w:t>
      </w:r>
      <w:proofErr w:type="spellEnd"/>
      <w:r>
        <w:t xml:space="preserve"> sprejema pravni red EU in ustrezne evropske standarde iz tega poglavja. </w:t>
      </w:r>
    </w:p>
    <w:p w14:paraId="2BD1C879" w14:textId="77777777" w:rsidR="00B15347" w:rsidRDefault="00B15347" w:rsidP="00B15347"/>
    <w:p w14:paraId="2A049B7B" w14:textId="77777777" w:rsidR="00B15347" w:rsidRDefault="00B15347" w:rsidP="00B15347">
      <w:r>
        <w:t>Črna gora je 5. februarja 2026 predložila poročilo o ukrepih in dejavnostih, namenjenih izpolnjevanju obveznosti iz poglavja 28, in o izpolnjevanju meril za zaključek pogajanj.</w:t>
      </w:r>
    </w:p>
    <w:p w14:paraId="0DCD8924" w14:textId="77777777" w:rsidR="00B15347" w:rsidRDefault="00B15347" w:rsidP="00B15347"/>
    <w:p w14:paraId="2112DA2F" w14:textId="77777777" w:rsidR="00B15347" w:rsidRDefault="00B15347" w:rsidP="00B15347">
      <w:r>
        <w:t>Črna gora ne zahteva nobenih odstopanj ali prehodnih obdobij v okviru tega poglavja.</w:t>
      </w:r>
    </w:p>
    <w:p w14:paraId="6B490813" w14:textId="77777777" w:rsidR="00B15347" w:rsidRDefault="00B15347" w:rsidP="00B15347"/>
    <w:p w14:paraId="6BC7BA49" w14:textId="77777777" w:rsidR="00B15347" w:rsidRDefault="00B15347" w:rsidP="00B15347">
      <w:r>
        <w:t>Evropska komisija ugotavlja, da so bila zaključna merila, določena v skupnem stališču EU CONF-ME 26/14, zadovoljivo izpolnjena in da to poglavje na tej stopnji ne zahteva nadaljnjih pogajanj.</w:t>
      </w:r>
    </w:p>
    <w:p w14:paraId="6842663F" w14:textId="77777777" w:rsidR="00B15347" w:rsidRDefault="00B15347" w:rsidP="00B15347"/>
    <w:p w14:paraId="56597619" w14:textId="77777777" w:rsidR="00B15347" w:rsidRDefault="00B15347" w:rsidP="00B15347">
      <w:r>
        <w:t>Dokument ni predlog zakonodajnega akta EU, temveč gre za delovni dokument, ki se obravnava na Delovni skupini Sveta za širitev, ter bo v končni fazi potrjen na zasedanju Sveta.</w:t>
      </w:r>
    </w:p>
    <w:p w14:paraId="0657F96A" w14:textId="396616B8" w:rsidR="00302E1C" w:rsidRDefault="00B15347" w:rsidP="00B15347">
      <w:pPr>
        <w:pStyle w:val="Vir"/>
      </w:pPr>
      <w:r>
        <w:t>Vir: Ministrstvo za zunanje in evropske zadeve Republike Slovenije</w:t>
      </w:r>
    </w:p>
    <w:p w14:paraId="7B1FA00F" w14:textId="25A35E42" w:rsidR="00BF670F" w:rsidRDefault="00BF670F" w:rsidP="00BF670F">
      <w:pPr>
        <w:pStyle w:val="Naslov2"/>
      </w:pPr>
      <w:r>
        <w:t>Soglasje vlade z osnutkom skupnega stališča EU za začasno zaprtje poglavja 2 (prosto gibanje delavcev) za Črno goro</w:t>
      </w:r>
    </w:p>
    <w:p w14:paraId="171865C3" w14:textId="77777777" w:rsidR="00BF670F" w:rsidRDefault="00BF670F" w:rsidP="00BF670F">
      <w:r>
        <w:t>Vlada Republike Slovenije soglaša z osnutkom skupnega stališča EU za začasno zaprtje poglavja 2 (prosto gibanje delavcev) za Črno goro in ga posreduje Državnemu zboru Republike Slovenije.</w:t>
      </w:r>
    </w:p>
    <w:p w14:paraId="1E04BA9D" w14:textId="77777777" w:rsidR="00BF670F" w:rsidRDefault="00BF670F" w:rsidP="00BF670F"/>
    <w:p w14:paraId="3677EB88" w14:textId="77777777" w:rsidR="00BF670F" w:rsidRDefault="00BF670F" w:rsidP="00BF670F">
      <w:r>
        <w:t xml:space="preserve">Črna gora v pogajalskem stališču CONF-ME 17/14 in </w:t>
      </w:r>
      <w:proofErr w:type="spellStart"/>
      <w:r>
        <w:t>adendumu</w:t>
      </w:r>
      <w:proofErr w:type="spellEnd"/>
      <w:r>
        <w:t xml:space="preserve"> CONF-ME 10/17 sprejema pravni red EU in ustrezne evropske standarde iz tega poglavja. </w:t>
      </w:r>
    </w:p>
    <w:p w14:paraId="319399B9" w14:textId="77777777" w:rsidR="00BF670F" w:rsidRDefault="00BF670F" w:rsidP="00BF670F"/>
    <w:p w14:paraId="067D1578" w14:textId="77777777" w:rsidR="00BF670F" w:rsidRDefault="00BF670F" w:rsidP="00BF670F">
      <w:r>
        <w:t>Črna gora je 23. januarja 2026 predložila informacije o izpolnjevanju merila za zaprtje in o splošni pravni usklajenosti v poglavju 2. Dokument (poročilo o merilu za strukture in zmogljivosti izvrševanja) zajema obdobje od odprtja tega poglavja 11. decembra 2017.</w:t>
      </w:r>
    </w:p>
    <w:p w14:paraId="07AD461C" w14:textId="77777777" w:rsidR="00BF670F" w:rsidRDefault="00BF670F" w:rsidP="00BF670F"/>
    <w:p w14:paraId="1D67456A" w14:textId="77777777" w:rsidR="00BF670F" w:rsidRDefault="00BF670F" w:rsidP="00BF670F">
      <w:r>
        <w:t>Črna gora ni zahtevala nobenih odstopanj ali prehodnih obdobij za izvajanje pravnega reda Skupnosti v okviru tega poglavja.</w:t>
      </w:r>
    </w:p>
    <w:p w14:paraId="1DDEB18D" w14:textId="77777777" w:rsidR="00BF670F" w:rsidRDefault="00BF670F" w:rsidP="00BF670F"/>
    <w:p w14:paraId="034E30FD" w14:textId="77777777" w:rsidR="00BF670F" w:rsidRDefault="00BF670F" w:rsidP="00BF670F">
      <w:r>
        <w:t>Črna gora je dosegla precejšen napredek pri pripravah na vseh področjih v okviru poglavja 2 (prosto gibanje delavcev) s sprejetjem zakonodaje, usklajene s pravnim redom EU, in okrepitvijo svojih struktur in zmogljivosti izvrševanja. Lahko se šteje, da je Črna gora izpolnila zaključno merilo v tem poglavju.</w:t>
      </w:r>
    </w:p>
    <w:p w14:paraId="69BA0751" w14:textId="77777777" w:rsidR="00BF670F" w:rsidRDefault="00BF670F" w:rsidP="00BF670F"/>
    <w:p w14:paraId="20B78B1E" w14:textId="77777777" w:rsidR="00BF670F" w:rsidRDefault="00BF670F" w:rsidP="00BF670F">
      <w:r>
        <w:t>Evropska komisija ugotavlja, da je bilo zaključno merilo, določeno v skupnem stališču EU CONF-ME 10/17, zadovoljivo izpolnjeno in da to poglavje na tej stopnji ne zahteva nadaljnjih pogajanj.</w:t>
      </w:r>
    </w:p>
    <w:p w14:paraId="3C60BC77" w14:textId="77777777" w:rsidR="00BF670F" w:rsidRDefault="00BF670F" w:rsidP="00BF670F"/>
    <w:p w14:paraId="662AEE68" w14:textId="77777777" w:rsidR="00BF670F" w:rsidRDefault="00BF670F" w:rsidP="00BF670F">
      <w:r>
        <w:t>Dokument ni predlog zakonodajnega akta EU, temveč gre za delovni dokument, ki se obravnava na Delovni skupini Sveta za širitev, ter bo v končni fazi potrjen na zasedanju Sveta.</w:t>
      </w:r>
    </w:p>
    <w:p w14:paraId="35885B96" w14:textId="28E2107C" w:rsidR="00302E1C" w:rsidRDefault="00BF670F" w:rsidP="00BF670F">
      <w:pPr>
        <w:pStyle w:val="Vir"/>
      </w:pPr>
      <w:r>
        <w:t>Vir: Ministrstvo za zunanje in evropske zadeve Republike Slovenije</w:t>
      </w:r>
    </w:p>
    <w:p w14:paraId="463215ED" w14:textId="2B07665C" w:rsidR="00D70CEC" w:rsidRDefault="00D70CEC" w:rsidP="00D70CEC">
      <w:pPr>
        <w:pStyle w:val="Naslov2"/>
      </w:pPr>
      <w:r>
        <w:t>Sklep o sodelovanju Republike Slovenije na vaji kibernetske varnosti ENISA »</w:t>
      </w:r>
      <w:proofErr w:type="spellStart"/>
      <w:r>
        <w:t>Cyber</w:t>
      </w:r>
      <w:proofErr w:type="spellEnd"/>
      <w:r>
        <w:t xml:space="preserve"> Europe 2026« </w:t>
      </w:r>
    </w:p>
    <w:p w14:paraId="6C108719" w14:textId="77777777" w:rsidR="00D70CEC" w:rsidRDefault="00D70CEC" w:rsidP="00D70CEC">
      <w:r>
        <w:lastRenderedPageBreak/>
        <w:t>Vlada je sprejela sklep o sodelovanju Republike Slovenije na vaji kibernetske varnosti ENISA »</w:t>
      </w:r>
      <w:proofErr w:type="spellStart"/>
      <w:r>
        <w:t>Cyber</w:t>
      </w:r>
      <w:proofErr w:type="spellEnd"/>
      <w:r>
        <w:t xml:space="preserve"> Europe 2026« (CE26). Od 10. do 11. junija 2026 bo Republika Slovenije sodelovala na vaji kibernetske varnosti </w:t>
      </w:r>
      <w:proofErr w:type="spellStart"/>
      <w:r>
        <w:t>Cyber</w:t>
      </w:r>
      <w:proofErr w:type="spellEnd"/>
      <w:r>
        <w:t xml:space="preserve"> Europe 2026 (CE26), ki jo organizira Agencija Evropske unije za varnost omrežij in informacij (ENISA) v Atenah, Grčija. Sodelovaje na vaji je predvideno v skladu z Načrtom vaj v obrambnem sistemu in sistemu varstva pred naravnimi in drugimi nesrečami v letu 2026. Namen vaje je preveriti in izboljšati nacionalne postopke zaščite in obrambe kibernetskega prostora, odzivanje na kibernetske incidente ter sodelovanje med nacionalnimi organi, zavezanci po Zakonu o informacijski varnosti (ZInfV-1) in ustreznimi mrežami Evropske unije.</w:t>
      </w:r>
    </w:p>
    <w:p w14:paraId="511BB8C0" w14:textId="77777777" w:rsidR="00D70CEC" w:rsidRDefault="00D70CEC" w:rsidP="00D70CEC"/>
    <w:p w14:paraId="2F8B8288" w14:textId="77777777" w:rsidR="00D70CEC" w:rsidRDefault="00D70CEC" w:rsidP="00D70CEC">
      <w:r>
        <w:t xml:space="preserve">Cilji vaje v Republiki Sloveniji so predvsem preveriti odziv sistema Republike Slovenije na varnostna tveganja in kibernetske incidente, vaditi koordiniranje upravljanja incidentov na nacionalni ravni, sodelovanje z mrežama nacionalnih ekip za odzivanje na kibernetske incidente (EU CSIRT) in mreže za upravljanje velikih kibernetskih kriz na ravni vodstev držav (EU </w:t>
      </w:r>
      <w:proofErr w:type="spellStart"/>
      <w:r>
        <w:t>CyCLONe</w:t>
      </w:r>
      <w:proofErr w:type="spellEnd"/>
      <w:r>
        <w:t>), usklajeno odzivanje z gospodarskim sektorjem ter poročanje o incidentih zaradi zmanjševanja njihovih negativnih učinkov in zagotavljanja celovite situacijske slike v državi. Scenarij vaje temelji na usklajeni in prefinjeni kampanji napadov na pomorsko in železniško infrastrukturo po Evropi, ki povzroča obratovalne motnje, gospodarsko škodo, motnje potniškega in tovornega prometa ter dezinformacije na družbenih omrežjih. Vadbenci bodo reševali tehnične izzive, ki jih zagotovi ENISA, ter izvedli interne in nacionalne procese priglasitve incidentov, kriznega upravljanja in komuniciranja z javnostmi.</w:t>
      </w:r>
    </w:p>
    <w:p w14:paraId="4D52294D" w14:textId="161B5AA6" w:rsidR="00302E1C" w:rsidRDefault="00D70CEC" w:rsidP="00D70CEC">
      <w:pPr>
        <w:pStyle w:val="Vir"/>
      </w:pPr>
      <w:r>
        <w:t>Vir: Urad za informacijsko varnost</w:t>
      </w:r>
    </w:p>
    <w:p w14:paraId="07197E62" w14:textId="3BA17562" w:rsidR="00302E1C" w:rsidRDefault="00302E1C" w:rsidP="00F76619">
      <w:pPr>
        <w:pStyle w:val="Naslov2"/>
      </w:pPr>
      <w:r>
        <w:t>Informacija o sklenitvi Memoranduma o soglasju o izvajanju Finančnega mehanizma Evropskega gospodarskega prostora 2021–2028 in Memoranduma o soglasju o izvajanju Norveškega finančnega mehanizma 2021–2028</w:t>
      </w:r>
    </w:p>
    <w:p w14:paraId="404A6550" w14:textId="77777777" w:rsidR="00537DD5" w:rsidRDefault="00537DD5" w:rsidP="00537DD5">
      <w:r>
        <w:t>Vlada Republike Slovenije se je na današnji seji seznanila z nameravano sklenitvijo dveh ključnih dokumentov, in sicer Memoranduma o soglasju o izvajanju Finančnega mehanizma Evropskega gospodarskega prostora (EGP) ter Memoranduma o soglasju o izvajanju Norveškega finančnega mehanizma za programsko obdobje 2021–2028. Ta korak predstavlja nujen izvedbeni mejnik, ki Sloveniji omogoča uraden začetek programiranja in kasnejše koriščenje dodeljenih sredstev v višini okvirno 50 milijonov evrov bruto nepovratnih sredstev. Gre za namenska sredstva, ki bodo v prihodnjih letih usmerjena predvsem v projekte na področju lokalnega razvoja, izboljšanja javnega zdravja ter zmanjševanja gospodarskih in socialnih razlik med regijami.</w:t>
      </w:r>
    </w:p>
    <w:p w14:paraId="011D8A14" w14:textId="77777777" w:rsidR="00537DD5" w:rsidRDefault="00537DD5" w:rsidP="00537DD5"/>
    <w:p w14:paraId="6546D6D6" w14:textId="77777777" w:rsidR="00537DD5" w:rsidRDefault="00537DD5" w:rsidP="00537DD5">
      <w:r>
        <w:t>Posebna dodana vrednost teh finančnih mehanizmov ni le v finančni podpori, temveč v krepitvi bilateralnega sodelovanja z državami donatoricami – Islandijo, Lihtenštajnom in Norveško. Mehanizma omogočata dragocen prenos znanja, dobrih praks in vzpostavljanje dolgoročnih partnerstev med institucijami. Slovenija si je v preteklih programskih obdobjih pridobila ugled zanesljive in verodostojne partnerice, kar potrjujejo pozitivne ocene upravljanja in nadzora ter visoka stopnja uspešnosti pri črpanju sredstev. Ministrstvo za kohezijo in regionalni razvoj, ki vodi postopke pogajanj in programiranja, poudarja, da sklenitev teh memorandumov ne uvaja novih politik, temveč zagotavlja kontinuiteto izvajanja mednarodnih obveznosti, ki neposredno prispevajo k višji kakovosti življenja in uravnoteženemu razvoju države.</w:t>
      </w:r>
    </w:p>
    <w:p w14:paraId="78123463" w14:textId="0B46156F" w:rsidR="00302E1C" w:rsidRDefault="00537DD5" w:rsidP="00537DD5">
      <w:pPr>
        <w:pStyle w:val="Vir"/>
      </w:pPr>
      <w:r w:rsidRPr="00537DD5">
        <w:t>Vir: Ministrstvo za kohezijo in regionalni razvoj</w:t>
      </w:r>
    </w:p>
    <w:p w14:paraId="6D70C268" w14:textId="4F655E68" w:rsidR="00302E1C" w:rsidRDefault="00302E1C" w:rsidP="00A66A9C">
      <w:pPr>
        <w:pStyle w:val="Naslov2"/>
      </w:pPr>
      <w:r>
        <w:t xml:space="preserve">Informacija </w:t>
      </w:r>
      <w:r w:rsidR="00A66A9C">
        <w:t xml:space="preserve">o </w:t>
      </w:r>
      <w:r w:rsidR="00A66A9C" w:rsidRPr="00A66A9C">
        <w:t xml:space="preserve">sklenitvi tehničnega sporazuma med ministrstvoma za obrambo Slovenije in Madžarske vaje sil za specialno delovanje Trojan </w:t>
      </w:r>
      <w:proofErr w:type="spellStart"/>
      <w:r w:rsidR="00A66A9C" w:rsidRPr="00A66A9C">
        <w:t>Footprint</w:t>
      </w:r>
      <w:proofErr w:type="spellEnd"/>
    </w:p>
    <w:p w14:paraId="7EFBD6EA" w14:textId="58EAA8A6" w:rsidR="00A66A9C" w:rsidRDefault="00A66A9C" w:rsidP="00A66A9C">
      <w:r>
        <w:t xml:space="preserve">Vlada se je seznanila z informacijo sklenitvi tehničnega sporazuma med ministrstvoma za obrambo Slovenije in Madžarske vaje sil za specialno delovanje Trojan </w:t>
      </w:r>
      <w:proofErr w:type="spellStart"/>
      <w:r>
        <w:t>Footprint</w:t>
      </w:r>
      <w:proofErr w:type="spellEnd"/>
      <w:r>
        <w:t>.</w:t>
      </w:r>
    </w:p>
    <w:p w14:paraId="1E70D68E" w14:textId="77777777" w:rsidR="00A66A9C" w:rsidRDefault="00A66A9C" w:rsidP="00A66A9C"/>
    <w:p w14:paraId="69E3CFB0" w14:textId="77777777" w:rsidR="00A66A9C" w:rsidRDefault="00A66A9C" w:rsidP="00A66A9C">
      <w:r>
        <w:lastRenderedPageBreak/>
        <w:t xml:space="preserve">Med 3. in 21. majem 2026 bo na Madžarskem potekala mednarodna vojaška vaja Trojan </w:t>
      </w:r>
      <w:proofErr w:type="spellStart"/>
      <w:r>
        <w:t>Footprint</w:t>
      </w:r>
      <w:proofErr w:type="spellEnd"/>
      <w:r>
        <w:t xml:space="preserve"> 2026, na kateri bo poleg pripadnikov madžarskih in ameriških sil sodelovalo do 75 pripadnikov sil za specialno delovanje Slovenske vojske. Vaja je namenjena skupnemu mednarodnemu usposabljanju sil za specialne operacije. </w:t>
      </w:r>
    </w:p>
    <w:p w14:paraId="63A3856D" w14:textId="77777777" w:rsidR="00A66A9C" w:rsidRDefault="00A66A9C" w:rsidP="00A66A9C"/>
    <w:p w14:paraId="1342956B" w14:textId="77777777" w:rsidR="00A66A9C" w:rsidRDefault="00A66A9C" w:rsidP="00A66A9C">
      <w:r>
        <w:t>Madžarska stran je kot država gostiteljica pripravila osnutek tehničnega sporazuma, v katerem so opredeljene pravice in obveznosti udeležencev na vaji, osnutek pa vsebuje običajne določbe o podpori države gostiteljice.</w:t>
      </w:r>
    </w:p>
    <w:p w14:paraId="7C6AF625" w14:textId="77777777" w:rsidR="00A66A9C" w:rsidRDefault="00A66A9C" w:rsidP="00A66A9C"/>
    <w:p w14:paraId="2E71E633" w14:textId="77777777" w:rsidR="00A66A9C" w:rsidRDefault="00A66A9C" w:rsidP="00A66A9C">
      <w:r>
        <w:t>Vaja je vključena v Načrt vaj v obrambnem sistemu in sistemu varstva pred naravnimi in drugimi nesrečami v letu 2026.</w:t>
      </w:r>
    </w:p>
    <w:p w14:paraId="46EFF0F0" w14:textId="213AA954" w:rsidR="00A66A9C" w:rsidRDefault="00A66A9C" w:rsidP="00A66A9C">
      <w:pPr>
        <w:pStyle w:val="Vir"/>
      </w:pPr>
      <w:r>
        <w:t>Vir: Ministrstvo za obrambo</w:t>
      </w:r>
    </w:p>
    <w:p w14:paraId="5386A393" w14:textId="383F1278" w:rsidR="00E137D4" w:rsidRDefault="00E137D4" w:rsidP="00E137D4">
      <w:pPr>
        <w:pStyle w:val="Naslov2"/>
      </w:pPr>
      <w:r>
        <w:t>Vlada sprejela spremembe Zakona o odpravljanju posledic dela z azbestom</w:t>
      </w:r>
    </w:p>
    <w:p w14:paraId="3D06AAC1" w14:textId="77777777" w:rsidR="00E137D4" w:rsidRDefault="00E137D4" w:rsidP="00E137D4">
      <w:r>
        <w:t>Vlada je določila besedilo Predloga zakona o spremembi Zakona o odpravljanju posledic dela z azbestom (predlog novele zakona) in ga pošlje v obravnavo Državnemu zboru po skrajšanem postopku.</w:t>
      </w:r>
    </w:p>
    <w:p w14:paraId="43D18DA6" w14:textId="77777777" w:rsidR="00E137D4" w:rsidRDefault="00E137D4" w:rsidP="00E137D4"/>
    <w:p w14:paraId="5933E37C" w14:textId="77777777" w:rsidR="00E137D4" w:rsidRDefault="00E137D4" w:rsidP="00E137D4">
      <w:r>
        <w:t xml:space="preserve">Predlog spremembe zakona je bil pripravljen zaradi odločbe Ustavnega sodišča U-I-21/24-10. Ustavno sodišče je z njo ugotovilo, da je drugi odstavek 5. člena Zakona o odpravljanju posledic dela z azbestom v neskladju z ustavo. Sprememba zakona se nanaša izključno na en člen, kjer se širi krog oseb, ki imajo pravico do oddaje vloge za uveljavljanje odškodnine iz naslova azbestne bolezni. </w:t>
      </w:r>
    </w:p>
    <w:p w14:paraId="36AADF25" w14:textId="77777777" w:rsidR="00E137D4" w:rsidRDefault="00E137D4" w:rsidP="00E137D4"/>
    <w:p w14:paraId="543F52C6" w14:textId="77777777" w:rsidR="00E137D4" w:rsidRDefault="00E137D4" w:rsidP="00E137D4">
      <w:r>
        <w:t>S predlagano spremembo ZOPDA se tako širi krog upravičenih vlagateljev zahtevkov za odškodnino iz naslova azbestne bolezni in s tem upravičenih oseb, ki lahko vstopijo v postopek sporazumevanja o odškodnini, na dediče upravičencev - oškodovancev. Vlogo za začetek postopka sporazumevanja o odškodnini lahko tako vložijo tudi dediči upravičenca iz 2. člena ZOPDA, če je pokojni upravičenec pridobil mnenje o verifikaciji bolezni zaradi izpostavljenosti azbestu.</w:t>
      </w:r>
    </w:p>
    <w:p w14:paraId="6061DEC8" w14:textId="4321D011" w:rsidR="00E137D4" w:rsidRDefault="00E137D4" w:rsidP="00E137D4">
      <w:pPr>
        <w:pStyle w:val="Vir"/>
      </w:pPr>
      <w:r>
        <w:t xml:space="preserve">Vir: Ministrstvo za delo, družino, socialne zadeve in enake možnosti </w:t>
      </w:r>
    </w:p>
    <w:p w14:paraId="6F6E2133" w14:textId="33F45A77" w:rsidR="00D01792" w:rsidRDefault="00D01792" w:rsidP="00D01792">
      <w:pPr>
        <w:pStyle w:val="Naslov2"/>
      </w:pPr>
      <w:r>
        <w:t xml:space="preserve">Vlada izdala Uredbo o določitvi psihoterapevtskih pristopov </w:t>
      </w:r>
    </w:p>
    <w:p w14:paraId="6EFC85A1" w14:textId="77777777" w:rsidR="00D01792" w:rsidRDefault="00D01792" w:rsidP="00D01792">
      <w:r>
        <w:t>Vlada Republike Slovenije je na današnji seji na podlagi 42. člena Zakona o psihoterapevtski dejavnosti (</w:t>
      </w:r>
      <w:proofErr w:type="spellStart"/>
      <w:r>
        <w:t>ZPtD</w:t>
      </w:r>
      <w:proofErr w:type="spellEnd"/>
      <w:r>
        <w:t xml:space="preserve">) izdala Uredbo o določitvi psihoterapevtskih pristopov. Slednja določa dovoljene psihoterapevtske pristope, v katerih se izvaja psihoterapevtska obravnava, in je predpogoj, da lahko začnejo osebe, ki želijo po 19. aprilu 2027 (ko se začne uporabljati </w:t>
      </w:r>
      <w:proofErr w:type="spellStart"/>
      <w:r>
        <w:t>ZPtD</w:t>
      </w:r>
      <w:proofErr w:type="spellEnd"/>
      <w:r>
        <w:t xml:space="preserve">) v Republiki Sloveniji izvajati psihoterapevtsko obravnavo, vlagati vloge za priznavanje poklicne kvalifikacije v skladu z 39. členom </w:t>
      </w:r>
      <w:proofErr w:type="spellStart"/>
      <w:r>
        <w:t>ZPtD</w:t>
      </w:r>
      <w:proofErr w:type="spellEnd"/>
      <w:r>
        <w:t>.</w:t>
      </w:r>
    </w:p>
    <w:p w14:paraId="689F651A" w14:textId="77777777" w:rsidR="00D01792" w:rsidRDefault="00D01792" w:rsidP="00D01792"/>
    <w:p w14:paraId="45F67AC6" w14:textId="77777777" w:rsidR="00D01792" w:rsidRDefault="00D01792" w:rsidP="00D01792">
      <w:r>
        <w:t>Uredba določa, da se lahko pri izvajanju psihoterapevtske obravnave uporabljajo naslednji psihoterapevtski pristopi:</w:t>
      </w:r>
    </w:p>
    <w:p w14:paraId="1BD0E017" w14:textId="3CD14D9A" w:rsidR="00D01792" w:rsidRDefault="00D01792" w:rsidP="00D01792">
      <w:pPr>
        <w:pStyle w:val="Odstavekseznama"/>
        <w:numPr>
          <w:ilvl w:val="0"/>
          <w:numId w:val="23"/>
        </w:numPr>
      </w:pPr>
      <w:r>
        <w:t>analitična psihologija (imenovana tudi Jungovska psihoanaliza ali Jungovska psihoterapija),</w:t>
      </w:r>
    </w:p>
    <w:p w14:paraId="373183E2" w14:textId="08675137" w:rsidR="00D01792" w:rsidRDefault="00D01792" w:rsidP="00D01792">
      <w:pPr>
        <w:pStyle w:val="Odstavekseznama"/>
        <w:numPr>
          <w:ilvl w:val="0"/>
          <w:numId w:val="23"/>
        </w:numPr>
      </w:pPr>
      <w:r>
        <w:t>družinska terapija in sistemska psihoterapija (imenovana tudi družinska-sistemska psihoterapija, družinska terapija ali sistemska psihoterapija),</w:t>
      </w:r>
    </w:p>
    <w:p w14:paraId="019D516B" w14:textId="73EE9F07" w:rsidR="00D01792" w:rsidRDefault="00D01792" w:rsidP="00D01792">
      <w:pPr>
        <w:pStyle w:val="Odstavekseznama"/>
        <w:numPr>
          <w:ilvl w:val="0"/>
          <w:numId w:val="23"/>
        </w:numPr>
      </w:pPr>
      <w:proofErr w:type="spellStart"/>
      <w:r>
        <w:t>Geštalt</w:t>
      </w:r>
      <w:proofErr w:type="spellEnd"/>
      <w:r>
        <w:t xml:space="preserve"> psihoterapija,</w:t>
      </w:r>
    </w:p>
    <w:p w14:paraId="0B4920F5" w14:textId="6153DA0D" w:rsidR="00D01792" w:rsidRDefault="00D01792" w:rsidP="00D01792">
      <w:pPr>
        <w:pStyle w:val="Odstavekseznama"/>
        <w:numPr>
          <w:ilvl w:val="0"/>
          <w:numId w:val="23"/>
        </w:numPr>
      </w:pPr>
      <w:r>
        <w:t>integrativna psihoterapija,</w:t>
      </w:r>
    </w:p>
    <w:p w14:paraId="0F821B7E" w14:textId="04BC4CE2" w:rsidR="00D01792" w:rsidRDefault="00D01792" w:rsidP="00D01792">
      <w:pPr>
        <w:pStyle w:val="Odstavekseznama"/>
        <w:numPr>
          <w:ilvl w:val="0"/>
          <w:numId w:val="23"/>
        </w:numPr>
      </w:pPr>
      <w:r>
        <w:t>logoterapija,</w:t>
      </w:r>
    </w:p>
    <w:p w14:paraId="0D657081" w14:textId="10638E4C" w:rsidR="00D01792" w:rsidRDefault="00D01792" w:rsidP="00D01792">
      <w:pPr>
        <w:pStyle w:val="Odstavekseznama"/>
        <w:numPr>
          <w:ilvl w:val="0"/>
          <w:numId w:val="23"/>
        </w:numPr>
      </w:pPr>
      <w:r>
        <w:lastRenderedPageBreak/>
        <w:t>na osebo osredotočena psihoterapija (imenovana tudi na osebo osredotočena terapija, kadar gre za program izobraževanja oziroma usposabljanja s področja psihoterapije in ne psihosocialnega, psihoterapevtskega ali drugih oblik psihološkega svetovanja),</w:t>
      </w:r>
    </w:p>
    <w:p w14:paraId="0799B7C8" w14:textId="0D9535C4" w:rsidR="00D01792" w:rsidRDefault="00D01792" w:rsidP="00D01792">
      <w:pPr>
        <w:pStyle w:val="Odstavekseznama"/>
        <w:numPr>
          <w:ilvl w:val="0"/>
          <w:numId w:val="23"/>
        </w:numPr>
      </w:pPr>
      <w:r>
        <w:t>psihoanaliza, (ki vključuje psihoanalizo, psihoanalitično psihoterapijo in skupinsko analizo),</w:t>
      </w:r>
    </w:p>
    <w:p w14:paraId="2F2C2440" w14:textId="62D6477B" w:rsidR="00D01792" w:rsidRDefault="00D01792" w:rsidP="00D01792">
      <w:pPr>
        <w:pStyle w:val="Odstavekseznama"/>
        <w:numPr>
          <w:ilvl w:val="0"/>
          <w:numId w:val="23"/>
        </w:numPr>
      </w:pPr>
      <w:r>
        <w:t>psihodinamska psihoterapija,</w:t>
      </w:r>
    </w:p>
    <w:p w14:paraId="4B776A01" w14:textId="28FB4729" w:rsidR="00D01792" w:rsidRDefault="00D01792" w:rsidP="00D01792">
      <w:pPr>
        <w:pStyle w:val="Odstavekseznama"/>
        <w:numPr>
          <w:ilvl w:val="0"/>
          <w:numId w:val="23"/>
        </w:numPr>
      </w:pPr>
      <w:r>
        <w:t>psihodrama,</w:t>
      </w:r>
    </w:p>
    <w:p w14:paraId="3F2A73C7" w14:textId="5FB677CE" w:rsidR="00D01792" w:rsidRDefault="00D01792" w:rsidP="00D01792">
      <w:pPr>
        <w:pStyle w:val="Odstavekseznama"/>
        <w:numPr>
          <w:ilvl w:val="0"/>
          <w:numId w:val="23"/>
        </w:numPr>
      </w:pPr>
      <w:r>
        <w:t>telesna psihoterapija,</w:t>
      </w:r>
    </w:p>
    <w:p w14:paraId="5AA87F7E" w14:textId="5408E47A" w:rsidR="00D01792" w:rsidRDefault="00D01792" w:rsidP="00D01792">
      <w:pPr>
        <w:pStyle w:val="Odstavekseznama"/>
        <w:numPr>
          <w:ilvl w:val="0"/>
          <w:numId w:val="23"/>
        </w:numPr>
      </w:pPr>
      <w:r>
        <w:t>transakcijska analiza,</w:t>
      </w:r>
    </w:p>
    <w:p w14:paraId="0D2FFBB0" w14:textId="34E5A23B" w:rsidR="00D01792" w:rsidRDefault="00D01792" w:rsidP="00D01792">
      <w:pPr>
        <w:pStyle w:val="Odstavekseznama"/>
        <w:numPr>
          <w:ilvl w:val="0"/>
          <w:numId w:val="23"/>
        </w:numPr>
      </w:pPr>
      <w:proofErr w:type="spellStart"/>
      <w:r>
        <w:t>transpersonalna</w:t>
      </w:r>
      <w:proofErr w:type="spellEnd"/>
      <w:r>
        <w:t xml:space="preserve"> psihoterapija,</w:t>
      </w:r>
    </w:p>
    <w:p w14:paraId="04D74C88" w14:textId="4624A0C9" w:rsidR="00D01792" w:rsidRDefault="00D01792" w:rsidP="00D01792">
      <w:pPr>
        <w:pStyle w:val="Odstavekseznama"/>
        <w:numPr>
          <w:ilvl w:val="0"/>
          <w:numId w:val="23"/>
        </w:numPr>
      </w:pPr>
      <w:r>
        <w:t>vedenjsko-kognitivna terapija (imenovana tudi kognitivno-vedenjska terapija).</w:t>
      </w:r>
    </w:p>
    <w:p w14:paraId="0C816CEE" w14:textId="529FBCB8" w:rsidR="00D31703" w:rsidRDefault="00D01792" w:rsidP="00D01792">
      <w:pPr>
        <w:pStyle w:val="Vir"/>
      </w:pPr>
      <w:r>
        <w:t>Vir: Ministrstvo za zdravje</w:t>
      </w:r>
    </w:p>
    <w:p w14:paraId="5CF12599" w14:textId="5CACB378" w:rsidR="0052367C" w:rsidRDefault="0052367C" w:rsidP="0052367C">
      <w:pPr>
        <w:pStyle w:val="Naslov2"/>
      </w:pPr>
      <w:r>
        <w:t>Kakovost življenja v Sloveniji – Poročilo o razvoju 2026</w:t>
      </w:r>
    </w:p>
    <w:p w14:paraId="67C8454E" w14:textId="77777777" w:rsidR="0052367C" w:rsidRDefault="0052367C" w:rsidP="0052367C">
      <w:r>
        <w:t>Vlada se je na današnji seji seznanila z dokumentom Kakovost življenja v Sloveniji – Poročilo o razvoju 2026 Urada RS za makroekonomske analize in razvoj (UMAR).</w:t>
      </w:r>
    </w:p>
    <w:p w14:paraId="2740986B" w14:textId="77777777" w:rsidR="0052367C" w:rsidRDefault="0052367C" w:rsidP="0052367C"/>
    <w:p w14:paraId="0917A00D" w14:textId="7F3ECCB8" w:rsidR="0052367C" w:rsidRDefault="0052367C" w:rsidP="0052367C">
      <w:r>
        <w:t xml:space="preserve">V letošnjem poročilu UMAR ocenjuje, da kakovost življenja v Sloveniji ostaja visoka, hkrati pa se soočamo z naraščajočimi izzivi – zlasti na področju človeškega kapitala, produktivnosti, družbene kohezije in preobrazbe gospodarstva. To nakazuje omejitve obstoječega razvojnega modela in poudarja pomen krepitve virov za prihodnost. </w:t>
      </w:r>
    </w:p>
    <w:p w14:paraId="27BFCE30" w14:textId="77777777" w:rsidR="0052367C" w:rsidRDefault="0052367C" w:rsidP="0052367C"/>
    <w:p w14:paraId="6A63B69C" w14:textId="74241829" w:rsidR="0052367C" w:rsidRDefault="0052367C" w:rsidP="0052367C">
      <w:r>
        <w:t>Za ohranjanje dosežene ravni blaginje in uspešen razvoj je treba prednostno okrepiti razvoj ter razpoložljivost človeškega kapitala, izboljšati življenjske pogoje vseh generacij in družbeno kohezijo ter okrepiti prehod v nizkoogljično krožno gospodarstvo. Pri tem je ključno ukrepe za dosego teh ciljev podpreti s pospešitvijo rasti produktivnosti in prehodom v inovacijsko podprto gospodarstvo ter z izboljšanjem institucionalnega okolja in razvojne usmerjenosti javnih financ.</w:t>
      </w:r>
    </w:p>
    <w:p w14:paraId="6B9F4A42" w14:textId="77777777" w:rsidR="0052367C" w:rsidRDefault="0052367C" w:rsidP="0052367C"/>
    <w:p w14:paraId="0E617F1A" w14:textId="0455D37E" w:rsidR="0052367C" w:rsidRDefault="0052367C" w:rsidP="0052367C">
      <w:r>
        <w:t xml:space="preserve">UMAR bo ugotovitve Poročila o razvoju 2026 predstavil na dogodku 13. maja 2026. </w:t>
      </w:r>
    </w:p>
    <w:p w14:paraId="1C21D78E" w14:textId="68DCDEA3" w:rsidR="00302E1C" w:rsidRDefault="0052367C" w:rsidP="0052367C">
      <w:pPr>
        <w:pStyle w:val="Vir"/>
      </w:pPr>
      <w:r>
        <w:t>Urad za makroekonomske analize in razvoj</w:t>
      </w:r>
    </w:p>
    <w:p w14:paraId="177B3681" w14:textId="1AFC20A6" w:rsidR="002A6B2F" w:rsidRDefault="002A6B2F" w:rsidP="002A6B2F">
      <w:pPr>
        <w:pStyle w:val="Naslov2"/>
      </w:pPr>
      <w:r>
        <w:t xml:space="preserve">Vlada o prerazporeditvi sredstev med naložbami </w:t>
      </w:r>
      <w:proofErr w:type="spellStart"/>
      <w:r>
        <w:t>REPowerEU</w:t>
      </w:r>
      <w:proofErr w:type="spellEnd"/>
      <w:r>
        <w:t xml:space="preserve"> v okviru Načrta za okrevanje in odpornost </w:t>
      </w:r>
    </w:p>
    <w:p w14:paraId="67996880" w14:textId="77777777" w:rsidR="002A6B2F" w:rsidRDefault="002A6B2F" w:rsidP="002A6B2F">
      <w:r>
        <w:t xml:space="preserve">Vlada je naložila Uradu Republike Slovenije za okrevanje in odpornost (URSOO), organu v sestavi Ministrstva za finance, da prerazporedi del sredstev med naložbama Načrta za okrevanje in odpornost (NOO) v okviru poglavja </w:t>
      </w:r>
      <w:proofErr w:type="spellStart"/>
      <w:r>
        <w:t>REPowerEU</w:t>
      </w:r>
      <w:proofErr w:type="spellEnd"/>
      <w:r>
        <w:t>.</w:t>
      </w:r>
    </w:p>
    <w:p w14:paraId="034ADD88" w14:textId="77777777" w:rsidR="002A6B2F" w:rsidRDefault="002A6B2F" w:rsidP="002A6B2F"/>
    <w:p w14:paraId="6A215484" w14:textId="77777777" w:rsidR="002A6B2F" w:rsidRDefault="002A6B2F" w:rsidP="002A6B2F">
      <w:r>
        <w:t xml:space="preserve">Ministrstvo okolje, podnebje in energijo, ki je pristojno za izvedbo </w:t>
      </w:r>
      <w:proofErr w:type="spellStart"/>
      <w:r>
        <w:t>REPowerEU</w:t>
      </w:r>
      <w:proofErr w:type="spellEnd"/>
      <w:r>
        <w:t xml:space="preserve"> naložbe »Energetska učinkovitost in razogljičenje gospodarstva«, je sporočilo, da bodo za izvedbo naložbe potrebovali manj sredstev. Na javni razpis za izbor projektov za hranilnike električne energije so prejeli manj prijav, kot je bilo pričakovano. Razlika sredstev v višini do največ osmih milijonov evrov bo zato prenesena na </w:t>
      </w:r>
      <w:proofErr w:type="spellStart"/>
      <w:r>
        <w:t>REPowerEU</w:t>
      </w:r>
      <w:proofErr w:type="spellEnd"/>
      <w:r>
        <w:t xml:space="preserve"> naložbo »Spodbujanje infrastrukture za alternativna goriva v prometu« in bo namenjena povečanju sredstev za izvedbo javnega razpisa za sofinanciranje nakupa električnih vozil.</w:t>
      </w:r>
    </w:p>
    <w:p w14:paraId="1BB428F2" w14:textId="77777777" w:rsidR="002A6B2F" w:rsidRDefault="002A6B2F" w:rsidP="002A6B2F"/>
    <w:p w14:paraId="69937FFD" w14:textId="77777777" w:rsidR="002A6B2F" w:rsidRDefault="002A6B2F" w:rsidP="002A6B2F">
      <w:r>
        <w:t xml:space="preserve">Skupna predvidena sredstva za izvedbo naložbe »Spodbujanje infrastrukture za alternativna goriva v prometu« se bodo tako povečala na okvirno 64,8 milijona evrov, za izvedbo naložbe »Energetska učinkovitost in razogljičenje gospodarstva« pa bo po novem na voljo nekaj manj kot 10 milijonov evrov. </w:t>
      </w:r>
    </w:p>
    <w:p w14:paraId="5AA1EFF7" w14:textId="77777777" w:rsidR="002A6B2F" w:rsidRDefault="002A6B2F" w:rsidP="002A6B2F"/>
    <w:p w14:paraId="117FB585" w14:textId="77777777" w:rsidR="002A6B2F" w:rsidRDefault="002A6B2F" w:rsidP="002A6B2F">
      <w:r>
        <w:lastRenderedPageBreak/>
        <w:t>Sprememba finančnega obsega navedenih naložb bo predmet šeste spremembe NOO, ki jo skladno z vladnim sklepom, sprejetim9. aprila 2026, pripravlja URSOO skupaj z ministrstvi. Prerazporeditev sredstev bo zaradi pravočasne in učinkovite izvedbe NOO izvedena pred formalno potrditvijo spremembe načrta s strani Sveta Evropske unije. V primeru, da predlog spremembe NOO v tem delu ne bo potrjen, bodo prerazporejena sredstva vrnjena na račun proračunskega sklada NOO.</w:t>
      </w:r>
    </w:p>
    <w:p w14:paraId="19A31D97" w14:textId="6B635A2C" w:rsidR="007269FC" w:rsidRDefault="002A6B2F" w:rsidP="002A6B2F">
      <w:pPr>
        <w:pStyle w:val="Vir"/>
      </w:pPr>
      <w:r>
        <w:t>Vir: Ministrstvo za finance</w:t>
      </w:r>
    </w:p>
    <w:p w14:paraId="2FD31223" w14:textId="5F4B4699" w:rsidR="00CC6131" w:rsidRDefault="00CC6131" w:rsidP="00CC6131">
      <w:pPr>
        <w:pStyle w:val="Naslov2"/>
      </w:pPr>
      <w:r>
        <w:t>Vlada o proračunskih prerazporeditvah</w:t>
      </w:r>
    </w:p>
    <w:p w14:paraId="6CC1305B" w14:textId="77777777" w:rsidR="00CC6131" w:rsidRDefault="00CC6131" w:rsidP="00CC6131">
      <w:r>
        <w:t xml:space="preserve">Vlada je danes potrdila prerazporeditve pravice porabe v letošnjem državnem proračunu. </w:t>
      </w:r>
    </w:p>
    <w:p w14:paraId="4A68F2F7" w14:textId="77777777" w:rsidR="00CC6131" w:rsidRDefault="00CC6131" w:rsidP="00CC6131"/>
    <w:p w14:paraId="373DDAC1" w14:textId="77777777" w:rsidR="00CC6131" w:rsidRDefault="00CC6131" w:rsidP="00CC6131">
      <w:r>
        <w:t xml:space="preserve">Med drugim bo Ministrstvo za digitalno preobrazbo v okviru svojega finančnega načrta prerazporedilo pravice porabe v višini dveh milijonov evrov. Namenjene bodo izvajanju zakonskih nalog, povezanih z upravljanjem informacijsko komunikacijskih sistemov državne uprave. </w:t>
      </w:r>
    </w:p>
    <w:p w14:paraId="5AFDDC9A" w14:textId="77777777" w:rsidR="00CC6131" w:rsidRDefault="00CC6131" w:rsidP="00CC6131"/>
    <w:p w14:paraId="5804EC84" w14:textId="77777777" w:rsidR="00CC6131" w:rsidRDefault="00CC6131" w:rsidP="00CC6131">
      <w:r>
        <w:t>Ministrstvo za visoko šolstvo, znanost in inovacije bo v okviru svojega finančnega načrta prerazporedilo sredstva v višini 1,8 milijona evrov. Z njimi bodo zagotovili plače in dodatke zaposlenih na javnih visokošolskih zavodih.</w:t>
      </w:r>
    </w:p>
    <w:p w14:paraId="4FF2655C" w14:textId="77777777" w:rsidR="00CC6131" w:rsidRDefault="00CC6131" w:rsidP="00CC6131"/>
    <w:p w14:paraId="2127595C" w14:textId="77777777" w:rsidR="00CC6131" w:rsidRDefault="00CC6131" w:rsidP="00CC6131">
      <w:r>
        <w:t xml:space="preserve">Ministrstvo za solidarno prihodnost pa bo prerazporedilo pravice porabe v okviru svojega finančnega načrta v višini 790.303 evrov. Sredstva bodo namenjena izvajanju treh projektov izgradnje centrov za demenco na podlagi izvedenega javnega razpisa. </w:t>
      </w:r>
    </w:p>
    <w:p w14:paraId="26848634" w14:textId="7D9BD737" w:rsidR="007269FC" w:rsidRDefault="00CC6131" w:rsidP="00CC6131">
      <w:pPr>
        <w:pStyle w:val="Vir"/>
      </w:pPr>
      <w:r>
        <w:t>Vir: Ministrstvo za finance</w:t>
      </w:r>
    </w:p>
    <w:p w14:paraId="7CE59F68" w14:textId="7CCCCCCF" w:rsidR="00370D24" w:rsidRDefault="00370D24" w:rsidP="00370D24">
      <w:pPr>
        <w:pStyle w:val="Naslov2"/>
      </w:pPr>
      <w:r>
        <w:t>Seznanitev vlade s potekom priprave Letnega poročila o napredku 2026</w:t>
      </w:r>
    </w:p>
    <w:p w14:paraId="6723B28A" w14:textId="77777777" w:rsidR="00370D24" w:rsidRDefault="00370D24" w:rsidP="00370D24">
      <w:r>
        <w:t>Potem ko je vlada aprila obravnavala osnutek Letnega poročila o napredku 2026, se je danes seznanila s potekom priprave končne različice dokumenta, ki ga morajo države članice skladno s prenovljenimi fiskalnimi pravili Evropske unije pripraviti vsako leto aprila. Gre za ključni dokument pri spremljanju skladnosti s fiskalno zavezo, določeno v Srednjeročnem fiskalno-strukturnem načrtu Republike Slovenije 2025-2028. Zaradi državnozborskih volitev v marcu 2026 bo skladno z ustaljeno prakso Unije pripravljen ob upoštevanju scenarija brez sprememb politik. Vlada ga bo skladno z rokom do konca aprila posredovala Evropski komisiji.</w:t>
      </w:r>
    </w:p>
    <w:p w14:paraId="02A2BDB3" w14:textId="77777777" w:rsidR="00370D24" w:rsidRDefault="00370D24" w:rsidP="00370D24">
      <w:pPr>
        <w:pStyle w:val="Vir"/>
      </w:pPr>
      <w:bookmarkStart w:id="0" w:name="_Hlk195168908"/>
      <w:r>
        <w:t>Vir: Ministrstvo za finance</w:t>
      </w:r>
    </w:p>
    <w:bookmarkEnd w:id="0"/>
    <w:p w14:paraId="01D2DD7E" w14:textId="33395550" w:rsidR="00302E1C" w:rsidRDefault="00AB3A6B" w:rsidP="00AB3A6B">
      <w:pPr>
        <w:pStyle w:val="Naslov2"/>
      </w:pPr>
      <w:r>
        <w:t>R</w:t>
      </w:r>
      <w:r w:rsidR="00302E1C">
        <w:t>azrešit</w:t>
      </w:r>
      <w:r>
        <w:t>ev</w:t>
      </w:r>
      <w:r w:rsidR="00302E1C">
        <w:t xml:space="preserve"> generalne direktorice Direktorata za stanovanja v Ministrstvu za solidarno prihodnost</w:t>
      </w:r>
    </w:p>
    <w:p w14:paraId="0C3D6383" w14:textId="2880D551" w:rsidR="00AB3A6B" w:rsidRDefault="00AB3A6B" w:rsidP="00302E1C">
      <w:r w:rsidRPr="00AB3A6B">
        <w:t>Vlada Republike Slovenije je izdala odločbo o razrešitvi Žive Matjašič s položaja generalne direktorice Direktorata za stanovanja na Ministrstvu za solidarno prihodnost. Živa Matjašič je 1. aprila 2026 podala odstopno izjavo s položaja generalne direktorice Direktorata za stanovanja, saj bo s 1. majem nastopila mandat direktorice Javnega stanovanjskega sklada Mestne občine Ljubljana.</w:t>
      </w:r>
    </w:p>
    <w:p w14:paraId="715B94BC" w14:textId="2B714DBC" w:rsidR="00AB3A6B" w:rsidRDefault="00AB3A6B" w:rsidP="00AB3A6B">
      <w:pPr>
        <w:pStyle w:val="Vir"/>
      </w:pPr>
      <w:r w:rsidRPr="00AB3A6B">
        <w:t>Vir: Ministrstvo za solidarno prihodnost</w:t>
      </w:r>
    </w:p>
    <w:p w14:paraId="0087F62D" w14:textId="1D348961" w:rsidR="00BE5A03" w:rsidRDefault="00BE5A03" w:rsidP="00BE5A03">
      <w:pPr>
        <w:pStyle w:val="Naslov2"/>
      </w:pPr>
      <w:r>
        <w:t xml:space="preserve">Vlada imenovala predstavnike ustanovitelja v svete javnih vzgojno-izobraževalnih zavodov </w:t>
      </w:r>
    </w:p>
    <w:p w14:paraId="480190B6" w14:textId="77777777" w:rsidR="00BE5A03" w:rsidRDefault="00BE5A03" w:rsidP="00BE5A03">
      <w:r>
        <w:t xml:space="preserve">Vlada je v svet javnega zavoda Gimnazija Ptuj kot predstavnika ustanovitelja imenovala Mileno Žuran; v svet javnega zavoda Center za sluh in govor Maribor Darka Slemenjaka in Amadejo Kugl; v svet javnega zavoda Srednja šola Domžale pa Marka Mlakarja in Sašo Kos; v svet javnega zavoda </w:t>
      </w:r>
      <w:r>
        <w:lastRenderedPageBreak/>
        <w:t>Osnovna šola Veržej je vlada kot predstavnika soustanovitelja imenovala Gregorja Zormana. Omenjeni predstavniki ustanovitelja so imenovani za mandatno dobo štirih let, od ustanovitvene seje.</w:t>
      </w:r>
    </w:p>
    <w:p w14:paraId="7F1963E4" w14:textId="77777777" w:rsidR="00BE5A03" w:rsidRDefault="00BE5A03" w:rsidP="00BE5A03"/>
    <w:p w14:paraId="0C1A1080" w14:textId="77777777" w:rsidR="00BE5A03" w:rsidRDefault="00BE5A03" w:rsidP="00BE5A03">
      <w:r>
        <w:t>V svet javnega zavoda Šolski center Srečka Kosovela Sežana je vlada za mandatno dobo štirih let, od ustanovitvene seje, z možnostjo ponovnega imenovanja, kot predstavnika ustanovitelja imenovala Pino Hu in Veroniko Gregorec.</w:t>
      </w:r>
    </w:p>
    <w:p w14:paraId="5EF7BCEA" w14:textId="77777777" w:rsidR="00BE5A03" w:rsidRDefault="00BE5A03" w:rsidP="00BE5A03"/>
    <w:p w14:paraId="6117429C" w14:textId="77777777" w:rsidR="00BE5A03" w:rsidRDefault="00BE5A03" w:rsidP="00BE5A03">
      <w:r>
        <w:t xml:space="preserve">Vlada je v svet javnega zavoda Strokovni center Mladinski dom Maribor za preostanek mandata sveta javnega zavoda, in sicer od 8. maja 2026 do 6. oktobra 2028, kot predstavnika ustanovitelja imenovala Lotko Uršnik in Nejo Lah; v svet javnega zavoda Srednja zdravstvena šola Ljubljana je za preostanek mandata sveta javnega zavoda, in sicer od 24. aprila 2026 do 25. januarja 2030, kot predstavnika ustanovitelja imenovala Tadeja Jezernika in mag. Natašo Koprivšek; v svet javnega zavoda Šola za hortikulturo in vizualne umetnosti Celje je za preostanek mandata sveta javnega zavoda, in sicer od 24. aprila 2026 do 11. januarja 2030, kot predstavnika ustanovitelja imenovala Matejo Žvižej in Filipa </w:t>
      </w:r>
      <w:proofErr w:type="spellStart"/>
      <w:r>
        <w:t>Zuleja</w:t>
      </w:r>
      <w:proofErr w:type="spellEnd"/>
      <w:r>
        <w:t xml:space="preserve">; v svet javnega zavoda Dvojezična srednja šola Lendava - </w:t>
      </w:r>
      <w:proofErr w:type="spellStart"/>
      <w:r>
        <w:t>Kétnyelvű</w:t>
      </w:r>
      <w:proofErr w:type="spellEnd"/>
      <w:r>
        <w:t xml:space="preserve"> </w:t>
      </w:r>
      <w:proofErr w:type="spellStart"/>
      <w:r>
        <w:t>Középiskola</w:t>
      </w:r>
      <w:proofErr w:type="spellEnd"/>
      <w:r>
        <w:t xml:space="preserve">, </w:t>
      </w:r>
      <w:proofErr w:type="spellStart"/>
      <w:r>
        <w:t>Lendva</w:t>
      </w:r>
      <w:proofErr w:type="spellEnd"/>
      <w:r>
        <w:t xml:space="preserve"> je za preostanek mandata sveta javnega zavoda, in sicer od 24. aprila 2026 do 9. februarja 2030, kot predstavnika ustanovitelja imenovala Husa Jusića; v svet javnega zavoda Šolski center Rogaška Slatina je za preostanek mandata sveta javnega zavoda, in sicer od 24. aprila 2026 do 15. marca 2030, kot predstavnika ustanovitelja imenovala Sandro Peršak in Karmen Volavšek; v svet javnega zavoda Dijaški dom Lizike Jančar je za preostanek mandata sveta javnega zavoda, in sicer od 24. aprila 2026 do 14. maja 2029, kot predstavnika ustanovitelja imenovala Marka Jagodiča in Moniko </w:t>
      </w:r>
      <w:proofErr w:type="spellStart"/>
      <w:r>
        <w:t>Gajsler</w:t>
      </w:r>
      <w:proofErr w:type="spellEnd"/>
      <w:r>
        <w:t xml:space="preserve">; v svetu javnega vzgojno-izobraževalnega zavoda Gimnazija Jesenice je za preostanek mandata, in sicer od 24. aprila 2026  do 19. januarja 2030, imenovala Tanjo Müller; v svet javnega zavoda Srednja šola za oblikovanje Maribor je za preostanek mandata sveta javnega zavoda, in sicer od 24. aprila 2026 do 22. aprila 2029, kot predstavnika ustanovitelja imenovala Dejana Pasko in Slavo Andric; v svet javnega zavoda Srednja elektro-računalniška šola Maribor je za preostanek mandata sveta javnega zavoda, in sicer od 24. aprila 2026 do 11. marca 2030, kot predstavnika ustanovitelja imenovala prav tako Dejana Pasko in pa Moniko </w:t>
      </w:r>
      <w:proofErr w:type="spellStart"/>
      <w:r>
        <w:t>Gajsler</w:t>
      </w:r>
      <w:proofErr w:type="spellEnd"/>
      <w:r>
        <w:t>; v svet javnega zavoda Srednja frizerska šola Ljubljana pa je za preostanek mandata sveta javnega zavoda, in sicer od 24. aprila 2026 do 18. januarja 2030, kot predstavnika ustanovitelja imenovala Tanjo Rudolf in Valentino Ločniškar.</w:t>
      </w:r>
    </w:p>
    <w:p w14:paraId="7AE16F5E" w14:textId="54634033" w:rsidR="00BE5A03" w:rsidRDefault="00BE5A03" w:rsidP="00BE5A03">
      <w:pPr>
        <w:pStyle w:val="Vir"/>
      </w:pPr>
      <w:r>
        <w:t>Vir: Ministrstvo za vzgojo in izobraževanje</w:t>
      </w:r>
    </w:p>
    <w:p w14:paraId="30B4B82C" w14:textId="34CDFDDC" w:rsidR="000008A9" w:rsidRDefault="000008A9" w:rsidP="000008A9">
      <w:pPr>
        <w:pStyle w:val="Naslov2"/>
      </w:pPr>
      <w:r>
        <w:t>Vlada imenovala nove predstavnike v svete javnih zdravstvenih zavodov</w:t>
      </w:r>
    </w:p>
    <w:p w14:paraId="42831A92" w14:textId="77777777" w:rsidR="000008A9" w:rsidRDefault="000008A9" w:rsidP="000008A9">
      <w:r>
        <w:t>Na redni seji je vlada odpoklicala dosedanje in na njihovo mesto imenovala nove predstavnike v svete javnih zdravstvenih zavodov.</w:t>
      </w:r>
    </w:p>
    <w:p w14:paraId="3A9F2A08" w14:textId="77777777" w:rsidR="000008A9" w:rsidRDefault="000008A9" w:rsidP="000008A9"/>
    <w:p w14:paraId="071C4A54" w14:textId="77777777" w:rsidR="000008A9" w:rsidRDefault="000008A9" w:rsidP="000008A9">
      <w:r>
        <w:t>V svet javnega zdravstvenega zavoda Splošne bolnišnice Celje je Vlada namesto dosedanjega člana dr. Tomaža Subotiča kot predstavnico ustanovitelja imenovala mag. Anjo Milenković Kramer. Kot predstavnica ustanovitelja je bila mag. Anja Milenković Kramer imenovana tudi v svet javnega zdravstvenega zavoda Bolnišnica za ginekologijo in porodništvo Kranj namesto dosedanje članice Larise Hajdinjak.</w:t>
      </w:r>
    </w:p>
    <w:p w14:paraId="635C2EB0" w14:textId="77777777" w:rsidR="000008A9" w:rsidRDefault="000008A9" w:rsidP="000008A9"/>
    <w:p w14:paraId="6277FC4A" w14:textId="77777777" w:rsidR="000008A9" w:rsidRDefault="000008A9" w:rsidP="000008A9">
      <w:r>
        <w:t>V svetu javnega zdravstvenega zavoda Bolnišnice Sežana je dosedanjo članico mag. Alenko Obrul kot predstavnico ustanovitelja zamenjala mag. Anja Bračko. Kot predstavnica ustanovitelja je bila mag. Anja Bračko imenovana tudi v svet javnega zdravstvenega zavoda Zavod Republike Slovenije za presaditve organov in tkiv Slovenija transplant namesto dosedanjega člana Aleka Valenčiča.</w:t>
      </w:r>
    </w:p>
    <w:p w14:paraId="3016815E" w14:textId="77777777" w:rsidR="000008A9" w:rsidRDefault="000008A9" w:rsidP="000008A9"/>
    <w:p w14:paraId="6A6DCEDC" w14:textId="77777777" w:rsidR="000008A9" w:rsidRDefault="000008A9" w:rsidP="000008A9">
      <w:r>
        <w:t>Prav tako je namesto mag. Alenke Obrul Vlada v svet javnega zdravstvenega zavoda Psihiatrična bolnišnica Idrija kot predstavnico ustanovitelja imenovala Matejo Lednik.</w:t>
      </w:r>
    </w:p>
    <w:p w14:paraId="11A5B45A" w14:textId="77777777" w:rsidR="000008A9" w:rsidRDefault="000008A9" w:rsidP="000008A9"/>
    <w:p w14:paraId="1D049FCA" w14:textId="77777777" w:rsidR="000008A9" w:rsidRDefault="000008A9" w:rsidP="000008A9">
      <w:r>
        <w:lastRenderedPageBreak/>
        <w:t>Iz sveta javnega zdravstvenega zavoda Bolnišnice za ženske bolezni in porodništvo Postojna sta bila kot predstavnika ustanovitelja odpoklicana mag. Alenke Obrul in Aleka Valenčiča, na novo pa imenovani Nada Zajec in Eva Lap.</w:t>
      </w:r>
    </w:p>
    <w:p w14:paraId="5572B99C" w14:textId="77777777" w:rsidR="000008A9" w:rsidRDefault="000008A9" w:rsidP="000008A9"/>
    <w:p w14:paraId="2D477C7A" w14:textId="77777777" w:rsidR="000008A9" w:rsidRDefault="000008A9" w:rsidP="000008A9">
      <w:r>
        <w:t>V svet javnega zdravstvenega zavoda Onkološki inštitut Ljubljana pa se namesto predstavnika zavarovancev Matije Drmota kot predstavnico zavarovancev imenuje Nataša Čarman Korenjak.</w:t>
      </w:r>
    </w:p>
    <w:p w14:paraId="73A45871" w14:textId="2A7F0FE4" w:rsidR="00302E1C" w:rsidRDefault="000008A9" w:rsidP="000008A9">
      <w:pPr>
        <w:pStyle w:val="Vir"/>
      </w:pPr>
      <w:r>
        <w:t>Vir: Ministrstvo za zdravje</w:t>
      </w:r>
    </w:p>
    <w:p w14:paraId="61E31841" w14:textId="546B4A98" w:rsidR="00FA7AE1" w:rsidRDefault="00FA7AE1" w:rsidP="00FA7AE1">
      <w:pPr>
        <w:pStyle w:val="Naslov2"/>
      </w:pPr>
      <w:r>
        <w:t>Vlada sprejela spremembo Sklepa o ustanovitvi Usmerjevalnega odbora za izvajanje finančnih instrumentov v programskem obdobju 2021–2027</w:t>
      </w:r>
    </w:p>
    <w:p w14:paraId="38BD2712" w14:textId="77777777" w:rsidR="00FA7AE1" w:rsidRDefault="00FA7AE1" w:rsidP="00FA7AE1">
      <w:r>
        <w:t>Zaradi kadrovskih sprememb na Ministrstvu za gospodarstvo, turizem in šport ter predvidene uporabe finančnih instrumentov v okviru specifičnega cilja Spodbujanje prilagajanja delavcev, podjetij in podjetnikov na spremembe, aktivnega in zdravega staranja ter zdravega in dobro prilagojenega delovnega okolja, ki obravnava tveganja za zdravje (ESS+), za katerega je vsebinsko pristojno Ministrstvo za delo, družino, socialne zadeve in enake možnosti, se spreminja članstvo v Usmerjevalnem odboru finančnih instrumentov.</w:t>
      </w:r>
    </w:p>
    <w:p w14:paraId="4B90BF2C" w14:textId="77777777" w:rsidR="00FA7AE1" w:rsidRDefault="00FA7AE1" w:rsidP="00FA7AE1"/>
    <w:p w14:paraId="0B02C877" w14:textId="77777777" w:rsidR="00FA7AE1" w:rsidRDefault="00FA7AE1" w:rsidP="00FA7AE1">
      <w:r>
        <w:t>Sprejete spremembe se nanašajo na naslednje zamenjave in imenovanja članov:</w:t>
      </w:r>
    </w:p>
    <w:p w14:paraId="04D129AB" w14:textId="62A90FAF" w:rsidR="00FA7AE1" w:rsidRDefault="00FA7AE1" w:rsidP="00FA7AE1">
      <w:pPr>
        <w:pStyle w:val="Odstavekseznama"/>
        <w:numPr>
          <w:ilvl w:val="0"/>
          <w:numId w:val="12"/>
        </w:numPr>
      </w:pPr>
      <w:r>
        <w:t>kot predstavnici Ministrstva za delo, družino, socialne zadeve in enake možnosti se imenujeta Nika Juvan, članica, in Helena Urbančič, namestnica članice.</w:t>
      </w:r>
    </w:p>
    <w:p w14:paraId="67382D95" w14:textId="02128852" w:rsidR="00FA7AE1" w:rsidRDefault="00FA7AE1" w:rsidP="00FA7AE1">
      <w:pPr>
        <w:pStyle w:val="Odstavekseznama"/>
        <w:numPr>
          <w:ilvl w:val="0"/>
          <w:numId w:val="12"/>
        </w:numPr>
      </w:pPr>
      <w:r>
        <w:t>kot predstavnica Ministrstva za gospodarstvo, turizem in šport se:</w:t>
      </w:r>
    </w:p>
    <w:p w14:paraId="71398A43" w14:textId="4FEC0226" w:rsidR="00FA7AE1" w:rsidRDefault="00FA7AE1" w:rsidP="00FA7AE1">
      <w:pPr>
        <w:pStyle w:val="Odstavekseznama"/>
        <w:numPr>
          <w:ilvl w:val="0"/>
          <w:numId w:val="13"/>
        </w:numPr>
      </w:pPr>
      <w:r>
        <w:t>z mesta članice razreši Špela Jovanovič Gabršek in namesto nje imenuje Sandra Barachini;</w:t>
      </w:r>
    </w:p>
    <w:p w14:paraId="477A2413" w14:textId="0A129D85" w:rsidR="00FA7AE1" w:rsidRDefault="00FA7AE1" w:rsidP="00FA7AE1">
      <w:pPr>
        <w:pStyle w:val="Odstavekseznama"/>
        <w:numPr>
          <w:ilvl w:val="0"/>
          <w:numId w:val="13"/>
        </w:numPr>
      </w:pPr>
      <w:r>
        <w:t>z mesta namestnice članice razreši Sandra Barachini in namesto nje imenuje Gazmend Ćatipi.</w:t>
      </w:r>
    </w:p>
    <w:p w14:paraId="33C6D0EF" w14:textId="77777777" w:rsidR="00FA7AE1" w:rsidRDefault="00FA7AE1" w:rsidP="00FA7AE1"/>
    <w:p w14:paraId="6D4A271B" w14:textId="77777777" w:rsidR="00FA7AE1" w:rsidRDefault="00FA7AE1" w:rsidP="00FA7AE1">
      <w:r>
        <w:t>Usmerjevalni odbor bo tako deloval v naslednji sestavi:</w:t>
      </w:r>
    </w:p>
    <w:p w14:paraId="50CB1F2F" w14:textId="0AF21458" w:rsidR="00FA7AE1" w:rsidRDefault="00FA7AE1" w:rsidP="00FA7AE1">
      <w:pPr>
        <w:pStyle w:val="Odstavekseznama"/>
        <w:numPr>
          <w:ilvl w:val="0"/>
          <w:numId w:val="14"/>
        </w:numPr>
      </w:pPr>
      <w:r>
        <w:t>dva predstavnika Ministrstva za kohezijo in regionalni razvoj, v vlogi organa upravljanja, kot članica in član:</w:t>
      </w:r>
    </w:p>
    <w:p w14:paraId="1B7828F7" w14:textId="1DA00B42" w:rsidR="00FA7AE1" w:rsidRDefault="00FA7AE1" w:rsidP="00FA7AE1">
      <w:pPr>
        <w:pStyle w:val="Odstavekseznama"/>
        <w:numPr>
          <w:ilvl w:val="0"/>
          <w:numId w:val="15"/>
        </w:numPr>
      </w:pPr>
      <w:r>
        <w:t>Milena Burgar; Dijana Pirc, namestnica,</w:t>
      </w:r>
    </w:p>
    <w:p w14:paraId="6BC84BDE" w14:textId="64495694" w:rsidR="00FA7AE1" w:rsidRDefault="00FA7AE1" w:rsidP="00FA7AE1">
      <w:pPr>
        <w:pStyle w:val="Odstavekseznama"/>
        <w:numPr>
          <w:ilvl w:val="0"/>
          <w:numId w:val="15"/>
        </w:numPr>
      </w:pPr>
      <w:r>
        <w:t>Matjaž Dragar; Mateja Mahkovec, namestnica,</w:t>
      </w:r>
    </w:p>
    <w:p w14:paraId="7E137011" w14:textId="77777777" w:rsidR="00FA7AE1" w:rsidRDefault="00FA7AE1" w:rsidP="00FA7AE1"/>
    <w:p w14:paraId="4ABF3615" w14:textId="2FF14CC5" w:rsidR="00FA7AE1" w:rsidRDefault="00FA7AE1" w:rsidP="00FA7AE1">
      <w:pPr>
        <w:pStyle w:val="Odstavekseznama"/>
        <w:numPr>
          <w:ilvl w:val="0"/>
          <w:numId w:val="14"/>
        </w:numPr>
      </w:pPr>
      <w:r>
        <w:t>pet predstavnikov Ministrstva za gospodarstvo, turizem in šport, v vlogi posredniškega telesa, kot članice in član:</w:t>
      </w:r>
    </w:p>
    <w:p w14:paraId="248AB1DA" w14:textId="002C6588" w:rsidR="00FA7AE1" w:rsidRDefault="00FA7AE1" w:rsidP="00FA7AE1">
      <w:pPr>
        <w:pStyle w:val="Odstavekseznama"/>
        <w:numPr>
          <w:ilvl w:val="0"/>
          <w:numId w:val="16"/>
        </w:numPr>
      </w:pPr>
      <w:r>
        <w:t>Sandra Barachini; Gazmend Ćatipi, namestnik,</w:t>
      </w:r>
    </w:p>
    <w:p w14:paraId="77D5B316" w14:textId="6B2D81F9" w:rsidR="00FA7AE1" w:rsidRDefault="00FA7AE1" w:rsidP="00FA7AE1">
      <w:pPr>
        <w:pStyle w:val="Odstavekseznama"/>
        <w:numPr>
          <w:ilvl w:val="0"/>
          <w:numId w:val="16"/>
        </w:numPr>
      </w:pPr>
      <w:r>
        <w:t>Mateja Horvat Kralj; Miša Osterc, namestnica,</w:t>
      </w:r>
    </w:p>
    <w:p w14:paraId="5C444A5A" w14:textId="52462DB9" w:rsidR="00FA7AE1" w:rsidRDefault="00FA7AE1" w:rsidP="00FA7AE1">
      <w:pPr>
        <w:pStyle w:val="Odstavekseznama"/>
        <w:numPr>
          <w:ilvl w:val="0"/>
          <w:numId w:val="16"/>
        </w:numPr>
      </w:pPr>
      <w:r>
        <w:t>mag. Alenka Marovt; Nataša Florjančič, namestnica,</w:t>
      </w:r>
    </w:p>
    <w:p w14:paraId="42E5462C" w14:textId="6D6EC73C" w:rsidR="00FA7AE1" w:rsidRDefault="00FA7AE1" w:rsidP="00FA7AE1">
      <w:pPr>
        <w:pStyle w:val="Odstavekseznama"/>
        <w:numPr>
          <w:ilvl w:val="0"/>
          <w:numId w:val="16"/>
        </w:numPr>
      </w:pPr>
      <w:r>
        <w:t xml:space="preserve">Tjaša Rotar Kokalj; Tomislav Jurman, namestnik, </w:t>
      </w:r>
    </w:p>
    <w:p w14:paraId="70C1D9E7" w14:textId="1F52575C" w:rsidR="00FA7AE1" w:rsidRDefault="00FA7AE1" w:rsidP="00FA7AE1">
      <w:pPr>
        <w:pStyle w:val="Odstavekseznama"/>
        <w:numPr>
          <w:ilvl w:val="0"/>
          <w:numId w:val="16"/>
        </w:numPr>
      </w:pPr>
      <w:r>
        <w:t>Darko Sajko; Velislav Žvipelj, namestnik,</w:t>
      </w:r>
    </w:p>
    <w:p w14:paraId="57D15D8A" w14:textId="77777777" w:rsidR="00FA7AE1" w:rsidRDefault="00FA7AE1" w:rsidP="00FA7AE1"/>
    <w:p w14:paraId="15FE6342" w14:textId="71CBA665" w:rsidR="00FA7AE1" w:rsidRDefault="00FA7AE1" w:rsidP="00FA7AE1">
      <w:pPr>
        <w:pStyle w:val="Odstavekseznama"/>
        <w:numPr>
          <w:ilvl w:val="0"/>
          <w:numId w:val="14"/>
        </w:numPr>
      </w:pPr>
      <w:r>
        <w:t>predstavnik Ministrstva za okolje, podnebje in energijo, v vlogi sodelujočega ministrstva, kot član:</w:t>
      </w:r>
    </w:p>
    <w:p w14:paraId="5B329292" w14:textId="2F81D210" w:rsidR="00FA7AE1" w:rsidRDefault="00FA7AE1" w:rsidP="00FA7AE1">
      <w:pPr>
        <w:pStyle w:val="Odstavekseznama"/>
        <w:numPr>
          <w:ilvl w:val="0"/>
          <w:numId w:val="17"/>
        </w:numPr>
      </w:pPr>
      <w:r>
        <w:t>Miha Muhič; Martina Štrubelj, namestnica,</w:t>
      </w:r>
    </w:p>
    <w:p w14:paraId="3E2DE2B3" w14:textId="77777777" w:rsidR="00FA7AE1" w:rsidRDefault="00FA7AE1" w:rsidP="00FA7AE1"/>
    <w:p w14:paraId="015EC9F1" w14:textId="3FC147C0" w:rsidR="00FA7AE1" w:rsidRDefault="00FA7AE1" w:rsidP="00FA7AE1">
      <w:pPr>
        <w:pStyle w:val="Odstavekseznama"/>
        <w:numPr>
          <w:ilvl w:val="0"/>
          <w:numId w:val="14"/>
        </w:numPr>
      </w:pPr>
      <w:r>
        <w:t>predstavnica Ministrstva za naravne vire in prostor, v vlogi sodelujočega ministrstva, kot članica:</w:t>
      </w:r>
    </w:p>
    <w:p w14:paraId="2C75DF05" w14:textId="683EF3F0" w:rsidR="00FA7AE1" w:rsidRDefault="00FA7AE1" w:rsidP="00FA7AE1">
      <w:pPr>
        <w:pStyle w:val="Odstavekseznama"/>
        <w:numPr>
          <w:ilvl w:val="0"/>
          <w:numId w:val="17"/>
        </w:numPr>
      </w:pPr>
      <w:r>
        <w:t>Nataša Brisko; Janez Dodič, namestnik,</w:t>
      </w:r>
    </w:p>
    <w:p w14:paraId="40F98CB2" w14:textId="77777777" w:rsidR="00FA7AE1" w:rsidRDefault="00FA7AE1" w:rsidP="00FA7AE1"/>
    <w:p w14:paraId="409771C0" w14:textId="7D6033D4" w:rsidR="00FA7AE1" w:rsidRDefault="00FA7AE1" w:rsidP="00FA7AE1">
      <w:pPr>
        <w:pStyle w:val="Odstavekseznama"/>
        <w:numPr>
          <w:ilvl w:val="0"/>
          <w:numId w:val="14"/>
        </w:numPr>
      </w:pPr>
      <w:r>
        <w:t>predstavnica Ministrstva za finance, kot članica:</w:t>
      </w:r>
    </w:p>
    <w:p w14:paraId="0CF3B642" w14:textId="01A69631" w:rsidR="00FA7AE1" w:rsidRDefault="00FA7AE1" w:rsidP="00FA7AE1">
      <w:pPr>
        <w:pStyle w:val="Odstavekseznama"/>
        <w:numPr>
          <w:ilvl w:val="0"/>
          <w:numId w:val="17"/>
        </w:numPr>
      </w:pPr>
      <w:r>
        <w:t>mag. Miranda Groff Ferjančič; mag. Evelyn Filip, namestnica,</w:t>
      </w:r>
    </w:p>
    <w:p w14:paraId="7CA3BDD7" w14:textId="77777777" w:rsidR="00FA7AE1" w:rsidRDefault="00FA7AE1" w:rsidP="00FA7AE1"/>
    <w:p w14:paraId="30B6E654" w14:textId="711C807D" w:rsidR="00FA7AE1" w:rsidRDefault="00FA7AE1" w:rsidP="00FA7AE1">
      <w:pPr>
        <w:pStyle w:val="Odstavekseznama"/>
        <w:numPr>
          <w:ilvl w:val="0"/>
          <w:numId w:val="14"/>
        </w:numPr>
      </w:pPr>
      <w:r>
        <w:t>predstavnica Ministrstva za delo družino, socialne zadeve in enake možnosti, kot članica:</w:t>
      </w:r>
    </w:p>
    <w:p w14:paraId="73AEFCDA" w14:textId="4EDDFE56" w:rsidR="00FA7AE1" w:rsidRDefault="00FA7AE1" w:rsidP="00FA7AE1">
      <w:pPr>
        <w:pStyle w:val="Odstavekseznama"/>
        <w:numPr>
          <w:ilvl w:val="0"/>
          <w:numId w:val="17"/>
        </w:numPr>
      </w:pPr>
      <w:r>
        <w:lastRenderedPageBreak/>
        <w:t>Nika Juvan; Helena Urbančič, namestnica,</w:t>
      </w:r>
    </w:p>
    <w:p w14:paraId="1B273D52" w14:textId="77777777" w:rsidR="00FA7AE1" w:rsidRDefault="00FA7AE1" w:rsidP="00FA7AE1"/>
    <w:p w14:paraId="4B682BA9" w14:textId="0C826F36" w:rsidR="00FA7AE1" w:rsidRDefault="00FA7AE1" w:rsidP="00FA7AE1">
      <w:pPr>
        <w:pStyle w:val="Odstavekseznama"/>
        <w:numPr>
          <w:ilvl w:val="0"/>
          <w:numId w:val="14"/>
        </w:numPr>
      </w:pPr>
      <w:r>
        <w:t>predstavnica Združenja mestnih občin Slovenije, kot članica:</w:t>
      </w:r>
    </w:p>
    <w:p w14:paraId="765FC70F" w14:textId="4EC1CD14" w:rsidR="00FA7AE1" w:rsidRDefault="00FA7AE1" w:rsidP="00FA7AE1">
      <w:pPr>
        <w:pStyle w:val="Odstavekseznama"/>
        <w:numPr>
          <w:ilvl w:val="0"/>
          <w:numId w:val="17"/>
        </w:numPr>
      </w:pPr>
      <w:r>
        <w:t>Ida Bibič; Matic Sopotnik, namestnik.</w:t>
      </w:r>
    </w:p>
    <w:p w14:paraId="53649464" w14:textId="77777777" w:rsidR="00FA7AE1" w:rsidRDefault="00FA7AE1" w:rsidP="00FA7AE1"/>
    <w:p w14:paraId="2C9D1AF4" w14:textId="549DA99A" w:rsidR="00302E1C" w:rsidRDefault="00FA7AE1" w:rsidP="00FA7AE1">
      <w:r>
        <w:t>Vir: Ministrstvo za gospodarstvo, turizem in šport</w:t>
      </w:r>
    </w:p>
    <w:p w14:paraId="221FBF56" w14:textId="77777777" w:rsidR="00302E1C" w:rsidRDefault="00302E1C" w:rsidP="00302E1C">
      <w:r>
        <w:t xml:space="preserve"> </w:t>
      </w:r>
    </w:p>
    <w:p w14:paraId="2040CDE7" w14:textId="441A0F18" w:rsidR="001E5363" w:rsidRDefault="001E5363" w:rsidP="001E5363">
      <w:pPr>
        <w:pStyle w:val="Naslov2"/>
      </w:pPr>
      <w:r>
        <w:t>Sprememba članstva v delovni skupini za nadzor nad izvajanjem Resolucije o nacionalnem programu preprečevanja in zatiranja kriminalitete</w:t>
      </w:r>
    </w:p>
    <w:p w14:paraId="1E755766" w14:textId="77777777" w:rsidR="001E5363" w:rsidRDefault="001E5363" w:rsidP="001E5363">
      <w:r>
        <w:t>V Medresorski delovni skupini za koordinacijo in nadzor nad izvajanjem Resolucije o nacionalnem programu preprečevanja in zatiranja kriminalitete za obdobje 2024–2028 se z mesta člana razreši dr. Romana Lavtarja, sekretarja, vodjo sektorja na Ministrstvu za javno upravo, in namesto njega imenuje Adija Muminovića, višjega svetovalca na Ministrstvo za javno upravo, Direktoratu za lokalno samoupravo, nevladne organizacije in politični sistem.</w:t>
      </w:r>
    </w:p>
    <w:p w14:paraId="36FC15AB" w14:textId="16A6B834" w:rsidR="00302E1C" w:rsidRDefault="001E5363" w:rsidP="001E5363">
      <w:pPr>
        <w:pStyle w:val="Vir"/>
      </w:pPr>
      <w:r>
        <w:t>Vir: Ministrstvo za notranje zadeve</w:t>
      </w:r>
    </w:p>
    <w:p w14:paraId="4A4C5D09" w14:textId="4D63C4BF" w:rsidR="00CE73B5" w:rsidRDefault="00CE73B5" w:rsidP="00CE73B5">
      <w:pPr>
        <w:pStyle w:val="Naslov2"/>
      </w:pPr>
      <w:r>
        <w:t xml:space="preserve">Poročilo o izvedenih nakupih zemljišč znotraj Posestva Brdo v letih 2022–2025 </w:t>
      </w:r>
    </w:p>
    <w:p w14:paraId="24E24A6A" w14:textId="77777777" w:rsidR="00CE73B5" w:rsidRDefault="00CE73B5" w:rsidP="00CE73B5">
      <w:r>
        <w:t>Vlada se je seznanila s Poročilom o izvedenih nakupih zemljišč znotraj Posestva Brdo v letih 2022–2025.</w:t>
      </w:r>
    </w:p>
    <w:p w14:paraId="6C30B458" w14:textId="77777777" w:rsidR="00CE73B5" w:rsidRDefault="00CE73B5" w:rsidP="00CE73B5"/>
    <w:p w14:paraId="184D8A45" w14:textId="57261CEE" w:rsidR="00CE73B5" w:rsidRDefault="00CE73B5" w:rsidP="00CE73B5">
      <w:r>
        <w:t xml:space="preserve">Družba Slovenski državni gozdovi, d. o. o. (SiDG, d. o. o.) je pripravila poročilo o izvedenih nakupih zemljišč znotraj Posestva Brdo za zagotovitev lastništva Republike Slovenije na vseh zemljiščih znotraj Posestva Brdo, v katerem družba SiDG, d. o. o. prikazuje realizirane nakupe v letih od 2022 do 2025, nakupe v teku in zemljišča, pri katerih je še potreben odkup (so)lastniških deležev. </w:t>
      </w:r>
    </w:p>
    <w:p w14:paraId="71BE30A9" w14:textId="77777777" w:rsidR="00CE73B5" w:rsidRDefault="00CE73B5" w:rsidP="00CE73B5">
      <w:r>
        <w:t xml:space="preserve">Z vsemi že izvedenimi nakupi je družba SiDG, d. o. o. v imenu Republike Slovenije pridobila 29,7 hektarja zemljišč, kar znaša 77,1 odstotka celotne površine, ki je predmet odkupa. </w:t>
      </w:r>
    </w:p>
    <w:p w14:paraId="1DE8BF90" w14:textId="285DBB0F" w:rsidR="00302E1C" w:rsidRDefault="00CE73B5" w:rsidP="00CE73B5">
      <w:pPr>
        <w:pStyle w:val="Vir"/>
      </w:pPr>
      <w:r>
        <w:t>Vir: Ministrstvo za kmetijstvo, gozdarstvo in prehrano</w:t>
      </w:r>
    </w:p>
    <w:sectPr w:rsidR="00302E1C"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E0376B"/>
    <w:multiLevelType w:val="hybridMultilevel"/>
    <w:tmpl w:val="57BC45CE"/>
    <w:lvl w:ilvl="0" w:tplc="725C927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68C340E"/>
    <w:multiLevelType w:val="hybridMultilevel"/>
    <w:tmpl w:val="0F5A66CA"/>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2B7988"/>
    <w:multiLevelType w:val="hybridMultilevel"/>
    <w:tmpl w:val="63845C4E"/>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FA16407"/>
    <w:multiLevelType w:val="hybridMultilevel"/>
    <w:tmpl w:val="EE061FBC"/>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DE37F71"/>
    <w:multiLevelType w:val="hybridMultilevel"/>
    <w:tmpl w:val="C458EA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DE7018E"/>
    <w:multiLevelType w:val="hybridMultilevel"/>
    <w:tmpl w:val="AFEA51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4E00EBC"/>
    <w:multiLevelType w:val="hybridMultilevel"/>
    <w:tmpl w:val="D79E7482"/>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337B5D"/>
    <w:multiLevelType w:val="hybridMultilevel"/>
    <w:tmpl w:val="A5787BF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DA12F03"/>
    <w:multiLevelType w:val="hybridMultilevel"/>
    <w:tmpl w:val="E8E4232E"/>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608014F"/>
    <w:multiLevelType w:val="hybridMultilevel"/>
    <w:tmpl w:val="B21417CC"/>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6240900"/>
    <w:multiLevelType w:val="hybridMultilevel"/>
    <w:tmpl w:val="C706B5F2"/>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72A4FDB"/>
    <w:multiLevelType w:val="hybridMultilevel"/>
    <w:tmpl w:val="E22431FE"/>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9"/>
  </w:num>
  <w:num w:numId="2" w16cid:durableId="984821814">
    <w:abstractNumId w:val="12"/>
  </w:num>
  <w:num w:numId="3" w16cid:durableId="150218247">
    <w:abstractNumId w:val="0"/>
  </w:num>
  <w:num w:numId="4" w16cid:durableId="1026903286">
    <w:abstractNumId w:val="14"/>
  </w:num>
  <w:num w:numId="5" w16cid:durableId="231817878">
    <w:abstractNumId w:val="5"/>
  </w:num>
  <w:num w:numId="6" w16cid:durableId="2110814889">
    <w:abstractNumId w:val="22"/>
  </w:num>
  <w:num w:numId="7" w16cid:durableId="695153758">
    <w:abstractNumId w:val="6"/>
  </w:num>
  <w:num w:numId="8" w16cid:durableId="853298866">
    <w:abstractNumId w:val="11"/>
  </w:num>
  <w:num w:numId="9" w16cid:durableId="1789348953">
    <w:abstractNumId w:val="4"/>
  </w:num>
  <w:num w:numId="10" w16cid:durableId="1415012333">
    <w:abstractNumId w:val="16"/>
  </w:num>
  <w:num w:numId="11" w16cid:durableId="886650520">
    <w:abstractNumId w:val="7"/>
  </w:num>
  <w:num w:numId="12" w16cid:durableId="1316881362">
    <w:abstractNumId w:val="10"/>
  </w:num>
  <w:num w:numId="13" w16cid:durableId="1806124696">
    <w:abstractNumId w:val="20"/>
  </w:num>
  <w:num w:numId="14" w16cid:durableId="4209796">
    <w:abstractNumId w:val="15"/>
  </w:num>
  <w:num w:numId="15" w16cid:durableId="623466775">
    <w:abstractNumId w:val="2"/>
  </w:num>
  <w:num w:numId="16" w16cid:durableId="1341083734">
    <w:abstractNumId w:val="8"/>
  </w:num>
  <w:num w:numId="17" w16cid:durableId="1939169778">
    <w:abstractNumId w:val="17"/>
  </w:num>
  <w:num w:numId="18" w16cid:durableId="1242331525">
    <w:abstractNumId w:val="13"/>
  </w:num>
  <w:num w:numId="19" w16cid:durableId="1901793359">
    <w:abstractNumId w:val="18"/>
  </w:num>
  <w:num w:numId="20" w16cid:durableId="410197525">
    <w:abstractNumId w:val="9"/>
  </w:num>
  <w:num w:numId="21" w16cid:durableId="466705467">
    <w:abstractNumId w:val="1"/>
  </w:num>
  <w:num w:numId="22" w16cid:durableId="243078584">
    <w:abstractNumId w:val="21"/>
  </w:num>
  <w:num w:numId="23" w16cid:durableId="660157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0020D"/>
    <w:rsid w:val="000008A9"/>
    <w:rsid w:val="000318E4"/>
    <w:rsid w:val="00050A56"/>
    <w:rsid w:val="0005716C"/>
    <w:rsid w:val="000610D5"/>
    <w:rsid w:val="00076DF7"/>
    <w:rsid w:val="00085D04"/>
    <w:rsid w:val="00087069"/>
    <w:rsid w:val="00087A14"/>
    <w:rsid w:val="000928C7"/>
    <w:rsid w:val="00097B85"/>
    <w:rsid w:val="000B1D39"/>
    <w:rsid w:val="000C2AB4"/>
    <w:rsid w:val="000D5520"/>
    <w:rsid w:val="000E0657"/>
    <w:rsid w:val="000E62D5"/>
    <w:rsid w:val="00110932"/>
    <w:rsid w:val="00110B8F"/>
    <w:rsid w:val="00111A16"/>
    <w:rsid w:val="00113F85"/>
    <w:rsid w:val="0012724F"/>
    <w:rsid w:val="0013016C"/>
    <w:rsid w:val="001602C9"/>
    <w:rsid w:val="00161638"/>
    <w:rsid w:val="0016530C"/>
    <w:rsid w:val="001673A5"/>
    <w:rsid w:val="00173343"/>
    <w:rsid w:val="001B01DD"/>
    <w:rsid w:val="001B42F9"/>
    <w:rsid w:val="001C3560"/>
    <w:rsid w:val="001C5F19"/>
    <w:rsid w:val="001D4277"/>
    <w:rsid w:val="001D69D6"/>
    <w:rsid w:val="001E5363"/>
    <w:rsid w:val="001F51BC"/>
    <w:rsid w:val="001F7F63"/>
    <w:rsid w:val="00203CAB"/>
    <w:rsid w:val="00203F5F"/>
    <w:rsid w:val="00215140"/>
    <w:rsid w:val="002201CC"/>
    <w:rsid w:val="00220CDD"/>
    <w:rsid w:val="0022511A"/>
    <w:rsid w:val="00231021"/>
    <w:rsid w:val="00236C0A"/>
    <w:rsid w:val="002501CE"/>
    <w:rsid w:val="002744FD"/>
    <w:rsid w:val="0028523A"/>
    <w:rsid w:val="002856E5"/>
    <w:rsid w:val="002A6B2F"/>
    <w:rsid w:val="002C0766"/>
    <w:rsid w:val="002C36A6"/>
    <w:rsid w:val="002D5B5D"/>
    <w:rsid w:val="002E3F96"/>
    <w:rsid w:val="002F3BE7"/>
    <w:rsid w:val="00302938"/>
    <w:rsid w:val="00302E1C"/>
    <w:rsid w:val="00314C6C"/>
    <w:rsid w:val="0032428F"/>
    <w:rsid w:val="0033519E"/>
    <w:rsid w:val="00346E22"/>
    <w:rsid w:val="00351E1E"/>
    <w:rsid w:val="00357DC0"/>
    <w:rsid w:val="00361255"/>
    <w:rsid w:val="00363A41"/>
    <w:rsid w:val="00370D24"/>
    <w:rsid w:val="0038067C"/>
    <w:rsid w:val="00381018"/>
    <w:rsid w:val="003847C8"/>
    <w:rsid w:val="003877EB"/>
    <w:rsid w:val="00390DF7"/>
    <w:rsid w:val="0039662C"/>
    <w:rsid w:val="003A0641"/>
    <w:rsid w:val="003A3742"/>
    <w:rsid w:val="003C1BBD"/>
    <w:rsid w:val="003D64D8"/>
    <w:rsid w:val="003E17B6"/>
    <w:rsid w:val="003E1B89"/>
    <w:rsid w:val="003E6170"/>
    <w:rsid w:val="003F4CC5"/>
    <w:rsid w:val="00415527"/>
    <w:rsid w:val="00431C65"/>
    <w:rsid w:val="00432937"/>
    <w:rsid w:val="00435CF5"/>
    <w:rsid w:val="004403EC"/>
    <w:rsid w:val="00447B57"/>
    <w:rsid w:val="004515FF"/>
    <w:rsid w:val="0045565C"/>
    <w:rsid w:val="00455B63"/>
    <w:rsid w:val="00460370"/>
    <w:rsid w:val="00465AB5"/>
    <w:rsid w:val="004679C9"/>
    <w:rsid w:val="00472762"/>
    <w:rsid w:val="004A00A8"/>
    <w:rsid w:val="004A7BFC"/>
    <w:rsid w:val="004A7CAD"/>
    <w:rsid w:val="004B4753"/>
    <w:rsid w:val="004B7346"/>
    <w:rsid w:val="004C3F67"/>
    <w:rsid w:val="004C721D"/>
    <w:rsid w:val="0050312A"/>
    <w:rsid w:val="00514121"/>
    <w:rsid w:val="00522637"/>
    <w:rsid w:val="0052367C"/>
    <w:rsid w:val="00527867"/>
    <w:rsid w:val="00527AA5"/>
    <w:rsid w:val="005314D7"/>
    <w:rsid w:val="00537DD5"/>
    <w:rsid w:val="00544398"/>
    <w:rsid w:val="005458D4"/>
    <w:rsid w:val="005515BD"/>
    <w:rsid w:val="005740C1"/>
    <w:rsid w:val="0059143B"/>
    <w:rsid w:val="005A570D"/>
    <w:rsid w:val="005B5886"/>
    <w:rsid w:val="005C1523"/>
    <w:rsid w:val="005C7596"/>
    <w:rsid w:val="005C7F58"/>
    <w:rsid w:val="005E1ABB"/>
    <w:rsid w:val="00614FFD"/>
    <w:rsid w:val="00626A98"/>
    <w:rsid w:val="006274BB"/>
    <w:rsid w:val="00634EFA"/>
    <w:rsid w:val="00635D43"/>
    <w:rsid w:val="006367B9"/>
    <w:rsid w:val="0064180E"/>
    <w:rsid w:val="006513EC"/>
    <w:rsid w:val="0066249C"/>
    <w:rsid w:val="0067375D"/>
    <w:rsid w:val="00676F03"/>
    <w:rsid w:val="006906AF"/>
    <w:rsid w:val="006934B9"/>
    <w:rsid w:val="00693BA3"/>
    <w:rsid w:val="006B3F12"/>
    <w:rsid w:val="006C1B31"/>
    <w:rsid w:val="006D5B5F"/>
    <w:rsid w:val="006F29FA"/>
    <w:rsid w:val="0070324C"/>
    <w:rsid w:val="0071171B"/>
    <w:rsid w:val="007120FD"/>
    <w:rsid w:val="007130E1"/>
    <w:rsid w:val="00716545"/>
    <w:rsid w:val="00717E59"/>
    <w:rsid w:val="007219B5"/>
    <w:rsid w:val="007269FC"/>
    <w:rsid w:val="0073796B"/>
    <w:rsid w:val="00750D01"/>
    <w:rsid w:val="0075264D"/>
    <w:rsid w:val="00761B86"/>
    <w:rsid w:val="007643A0"/>
    <w:rsid w:val="007669A3"/>
    <w:rsid w:val="00767A18"/>
    <w:rsid w:val="00781345"/>
    <w:rsid w:val="00784E57"/>
    <w:rsid w:val="0079749C"/>
    <w:rsid w:val="007A6460"/>
    <w:rsid w:val="007B0ADD"/>
    <w:rsid w:val="007B515F"/>
    <w:rsid w:val="007C21FB"/>
    <w:rsid w:val="007E198F"/>
    <w:rsid w:val="007F5D6B"/>
    <w:rsid w:val="007F6EE3"/>
    <w:rsid w:val="007F6EF7"/>
    <w:rsid w:val="00801A29"/>
    <w:rsid w:val="0081596E"/>
    <w:rsid w:val="008220A3"/>
    <w:rsid w:val="008244C0"/>
    <w:rsid w:val="008336E7"/>
    <w:rsid w:val="00836E94"/>
    <w:rsid w:val="00844BB8"/>
    <w:rsid w:val="00847AD3"/>
    <w:rsid w:val="00851FE1"/>
    <w:rsid w:val="008522C0"/>
    <w:rsid w:val="008624E8"/>
    <w:rsid w:val="00867CA2"/>
    <w:rsid w:val="0088720B"/>
    <w:rsid w:val="008A16D8"/>
    <w:rsid w:val="008B6738"/>
    <w:rsid w:val="008B7AF2"/>
    <w:rsid w:val="008C0D30"/>
    <w:rsid w:val="008C4231"/>
    <w:rsid w:val="008C4BFB"/>
    <w:rsid w:val="008D49BD"/>
    <w:rsid w:val="00905C96"/>
    <w:rsid w:val="009174DA"/>
    <w:rsid w:val="00933061"/>
    <w:rsid w:val="00933087"/>
    <w:rsid w:val="00945B27"/>
    <w:rsid w:val="009540E4"/>
    <w:rsid w:val="00955926"/>
    <w:rsid w:val="00974186"/>
    <w:rsid w:val="00983241"/>
    <w:rsid w:val="009900DE"/>
    <w:rsid w:val="009A41AA"/>
    <w:rsid w:val="009B3707"/>
    <w:rsid w:val="009C2C98"/>
    <w:rsid w:val="009C2D77"/>
    <w:rsid w:val="009C562E"/>
    <w:rsid w:val="009D10D1"/>
    <w:rsid w:val="009F37F4"/>
    <w:rsid w:val="009F4DB0"/>
    <w:rsid w:val="00A06971"/>
    <w:rsid w:val="00A30052"/>
    <w:rsid w:val="00A34FC4"/>
    <w:rsid w:val="00A40E78"/>
    <w:rsid w:val="00A445DF"/>
    <w:rsid w:val="00A521C4"/>
    <w:rsid w:val="00A5415F"/>
    <w:rsid w:val="00A60A37"/>
    <w:rsid w:val="00A60FBF"/>
    <w:rsid w:val="00A66A9C"/>
    <w:rsid w:val="00A67305"/>
    <w:rsid w:val="00A726C3"/>
    <w:rsid w:val="00A7406B"/>
    <w:rsid w:val="00A7412B"/>
    <w:rsid w:val="00AB1DC2"/>
    <w:rsid w:val="00AB3A6B"/>
    <w:rsid w:val="00AD1AFD"/>
    <w:rsid w:val="00AE6CD6"/>
    <w:rsid w:val="00AF2612"/>
    <w:rsid w:val="00AF5FC8"/>
    <w:rsid w:val="00B022E5"/>
    <w:rsid w:val="00B05996"/>
    <w:rsid w:val="00B06EAB"/>
    <w:rsid w:val="00B15347"/>
    <w:rsid w:val="00B43836"/>
    <w:rsid w:val="00B47F61"/>
    <w:rsid w:val="00B53301"/>
    <w:rsid w:val="00B53594"/>
    <w:rsid w:val="00B602CF"/>
    <w:rsid w:val="00B60F58"/>
    <w:rsid w:val="00B70F5B"/>
    <w:rsid w:val="00B753A8"/>
    <w:rsid w:val="00B84862"/>
    <w:rsid w:val="00B903E5"/>
    <w:rsid w:val="00B94D8D"/>
    <w:rsid w:val="00BA743D"/>
    <w:rsid w:val="00BB1111"/>
    <w:rsid w:val="00BB4431"/>
    <w:rsid w:val="00BB73C0"/>
    <w:rsid w:val="00BE5A03"/>
    <w:rsid w:val="00BE5C43"/>
    <w:rsid w:val="00BF670F"/>
    <w:rsid w:val="00C3152B"/>
    <w:rsid w:val="00C354D9"/>
    <w:rsid w:val="00C365A8"/>
    <w:rsid w:val="00C418E8"/>
    <w:rsid w:val="00C43D34"/>
    <w:rsid w:val="00C458C2"/>
    <w:rsid w:val="00C55A2C"/>
    <w:rsid w:val="00C611C0"/>
    <w:rsid w:val="00C666AC"/>
    <w:rsid w:val="00C9129E"/>
    <w:rsid w:val="00C97F7B"/>
    <w:rsid w:val="00CA4221"/>
    <w:rsid w:val="00CA5624"/>
    <w:rsid w:val="00CB7ADA"/>
    <w:rsid w:val="00CC3123"/>
    <w:rsid w:val="00CC3530"/>
    <w:rsid w:val="00CC37B3"/>
    <w:rsid w:val="00CC6131"/>
    <w:rsid w:val="00CE21D5"/>
    <w:rsid w:val="00CE45D7"/>
    <w:rsid w:val="00CE73B5"/>
    <w:rsid w:val="00CE7F70"/>
    <w:rsid w:val="00CF099E"/>
    <w:rsid w:val="00D01792"/>
    <w:rsid w:val="00D10EB4"/>
    <w:rsid w:val="00D14EEC"/>
    <w:rsid w:val="00D22282"/>
    <w:rsid w:val="00D31703"/>
    <w:rsid w:val="00D42266"/>
    <w:rsid w:val="00D60A92"/>
    <w:rsid w:val="00D64FA4"/>
    <w:rsid w:val="00D650E2"/>
    <w:rsid w:val="00D70A9E"/>
    <w:rsid w:val="00D70CEC"/>
    <w:rsid w:val="00D7373E"/>
    <w:rsid w:val="00D74A82"/>
    <w:rsid w:val="00D85532"/>
    <w:rsid w:val="00D9208E"/>
    <w:rsid w:val="00D95BC6"/>
    <w:rsid w:val="00D966FF"/>
    <w:rsid w:val="00D97B4B"/>
    <w:rsid w:val="00DA3B4D"/>
    <w:rsid w:val="00DA3BD5"/>
    <w:rsid w:val="00DA5C0D"/>
    <w:rsid w:val="00DA5D7A"/>
    <w:rsid w:val="00DB55BA"/>
    <w:rsid w:val="00DE199D"/>
    <w:rsid w:val="00DE1B54"/>
    <w:rsid w:val="00DE27BA"/>
    <w:rsid w:val="00E02AB3"/>
    <w:rsid w:val="00E05EEE"/>
    <w:rsid w:val="00E137D4"/>
    <w:rsid w:val="00E14AAE"/>
    <w:rsid w:val="00E20351"/>
    <w:rsid w:val="00E2036F"/>
    <w:rsid w:val="00E3207D"/>
    <w:rsid w:val="00E3507E"/>
    <w:rsid w:val="00E6065F"/>
    <w:rsid w:val="00E65986"/>
    <w:rsid w:val="00E7132A"/>
    <w:rsid w:val="00E83E60"/>
    <w:rsid w:val="00E86C78"/>
    <w:rsid w:val="00E948BD"/>
    <w:rsid w:val="00E95881"/>
    <w:rsid w:val="00EA1AF3"/>
    <w:rsid w:val="00EC012E"/>
    <w:rsid w:val="00ED2EC7"/>
    <w:rsid w:val="00EE35F8"/>
    <w:rsid w:val="00EF1263"/>
    <w:rsid w:val="00F01966"/>
    <w:rsid w:val="00F03257"/>
    <w:rsid w:val="00F20884"/>
    <w:rsid w:val="00F21123"/>
    <w:rsid w:val="00F21419"/>
    <w:rsid w:val="00F21BAD"/>
    <w:rsid w:val="00F23144"/>
    <w:rsid w:val="00F240E9"/>
    <w:rsid w:val="00F30E33"/>
    <w:rsid w:val="00F31222"/>
    <w:rsid w:val="00F4103F"/>
    <w:rsid w:val="00F462C7"/>
    <w:rsid w:val="00F65AA7"/>
    <w:rsid w:val="00F76619"/>
    <w:rsid w:val="00F92545"/>
    <w:rsid w:val="00F93A56"/>
    <w:rsid w:val="00FA792D"/>
    <w:rsid w:val="00FA7AE1"/>
    <w:rsid w:val="00FB70A7"/>
    <w:rsid w:val="00FC2D38"/>
    <w:rsid w:val="00FD6F18"/>
    <w:rsid w:val="00FE5604"/>
    <w:rsid w:val="00FF1ED6"/>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3.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6883</Words>
  <Characters>39236</Characters>
  <Application>Microsoft Office Word</Application>
  <DocSecurity>0</DocSecurity>
  <Lines>326</Lines>
  <Paragraphs>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2026-04-22T11:37:00Z</dcterms:created>
  <dcterms:modified xsi:type="dcterms:W3CDTF">2026-04-23T11:41:00Z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