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63EC7C1C" w:rsidR="0073796B" w:rsidRPr="0039662C" w:rsidRDefault="00D74A82" w:rsidP="0039662C">
      <w:pPr>
        <w:pStyle w:val="Naslov1"/>
      </w:pPr>
      <w:r>
        <w:t>1</w:t>
      </w:r>
      <w:r w:rsidR="00CC3530">
        <w:t>9</w:t>
      </w:r>
      <w:r w:rsidR="00844BB8">
        <w:t>8</w:t>
      </w:r>
      <w:r w:rsidR="0073796B" w:rsidRPr="0039662C">
        <w:t xml:space="preserve">. </w:t>
      </w:r>
      <w:r>
        <w:t>red</w:t>
      </w:r>
      <w:r w:rsidR="00F03257">
        <w:t xml:space="preserve">na </w:t>
      </w:r>
      <w:r w:rsidR="0073796B" w:rsidRPr="0039662C">
        <w:t>seja Vlade Republike Slovenije</w:t>
      </w:r>
    </w:p>
    <w:p w14:paraId="27F30B92" w14:textId="2539FC43" w:rsidR="0073796B" w:rsidRDefault="00844BB8" w:rsidP="008B7AF2">
      <w:pPr>
        <w:pStyle w:val="DatumSZJ"/>
      </w:pPr>
      <w:r>
        <w:t>16</w:t>
      </w:r>
      <w:r w:rsidR="002856E5">
        <w:t>.</w:t>
      </w:r>
      <w:r w:rsidR="008220A3">
        <w:t xml:space="preserve"> </w:t>
      </w:r>
      <w:r w:rsidR="00B94D8D">
        <w:t xml:space="preserve">april </w:t>
      </w:r>
      <w:r w:rsidR="0073796B" w:rsidRPr="008B7AF2">
        <w:t>202</w:t>
      </w:r>
      <w:r w:rsidR="00F03257">
        <w:t>6</w:t>
      </w:r>
    </w:p>
    <w:p w14:paraId="1263FF07" w14:textId="01940897" w:rsidR="00B406EF" w:rsidRDefault="00B406EF" w:rsidP="00B406EF">
      <w:pPr>
        <w:pStyle w:val="Naslov2"/>
      </w:pPr>
      <w:r>
        <w:t>Vlada sprejela Uredbo o metodologiji za določitev občin z visokim tveganjem negativnih vplivov kratkotrajnega najema za leti 2027 in 2028</w:t>
      </w:r>
    </w:p>
    <w:p w14:paraId="7F2FDE87" w14:textId="77777777" w:rsidR="00B406EF" w:rsidRDefault="00B406EF" w:rsidP="00B406EF">
      <w:r>
        <w:t>Vlada je sprejela Uredbo o metodologiji za določitev občin z visokim tveganjem negativnih vplivov kratkotrajnega najema za leti 2027 in 2028, ki določa merila, kazalnike in metodologijo za prepoznavanje občin, kjer obstaja povečano tveganje, da kratkotrajno oddajanje stanovanj negativno vpliva na dostopnost stanovanj. Hkrati opredeljuje način izračuna kazalnikov, pragovne vrednosti, uradne evidence za pridobivanje podatkov ter obdobje, na katero se podatki nanašajo.</w:t>
      </w:r>
    </w:p>
    <w:p w14:paraId="6A78D661" w14:textId="77777777" w:rsidR="00B406EF" w:rsidRDefault="00B406EF" w:rsidP="00B406EF"/>
    <w:p w14:paraId="38C53276" w14:textId="77777777" w:rsidR="00B406EF" w:rsidRDefault="00B406EF" w:rsidP="00B406EF">
      <w:r>
        <w:t>Za uvrstitev med občine z visokim tveganjem morata biti hkrati izpolnjeni dve merili:</w:t>
      </w:r>
    </w:p>
    <w:p w14:paraId="002DAFF0" w14:textId="789BA893" w:rsidR="00B406EF" w:rsidRDefault="00B406EF" w:rsidP="00B406EF">
      <w:pPr>
        <w:pStyle w:val="Odstavekseznama"/>
        <w:numPr>
          <w:ilvl w:val="0"/>
          <w:numId w:val="12"/>
        </w:numPr>
      </w:pPr>
      <w:r>
        <w:t xml:space="preserve">visoka nedostopnost stanovanj in </w:t>
      </w:r>
    </w:p>
    <w:p w14:paraId="73C34035" w14:textId="792D2B34" w:rsidR="00B406EF" w:rsidRDefault="00B406EF" w:rsidP="00B406EF">
      <w:pPr>
        <w:pStyle w:val="Odstavekseznama"/>
        <w:numPr>
          <w:ilvl w:val="0"/>
          <w:numId w:val="12"/>
        </w:numPr>
      </w:pPr>
      <w:r>
        <w:t xml:space="preserve">velik obseg oddajanja stanovanj v kratkotrajni najem. </w:t>
      </w:r>
    </w:p>
    <w:p w14:paraId="24833009" w14:textId="77777777" w:rsidR="00B406EF" w:rsidRDefault="00B406EF" w:rsidP="00B406EF"/>
    <w:p w14:paraId="57D69805" w14:textId="77777777" w:rsidR="00B406EF" w:rsidRDefault="00B406EF" w:rsidP="00B406EF">
      <w:r>
        <w:t>Nedostopnost stanovanj se ugotavlja na podlagi primerjave median cen nepremičnin v občini z državnimi povprečji, obseg kratkotrajnega najema pa na podlagi razmerja med številom prenočitev in številom prebivalcev. Uredba temelji na uporabi uradnih in primerljivih podatkov, ki jih zagotavljata Statistični urad Republike Slovenije in Geodetska uprava Republike Slovenije.</w:t>
      </w:r>
    </w:p>
    <w:p w14:paraId="5E92CDFB" w14:textId="77777777" w:rsidR="00B406EF" w:rsidRDefault="00B406EF" w:rsidP="00B406EF">
      <w:r>
        <w:t>Pravna podlaga za sprejem uredbe je Zakon o gostinstvu (ZGos-1), ki vladi nalaga, da določi enotno metodologijo za identifikacijo občin z visokim tveganjem. Uredba se uporablja za leti 2027 in 2028.</w:t>
      </w:r>
    </w:p>
    <w:p w14:paraId="40F5120A" w14:textId="77777777" w:rsidR="00B406EF" w:rsidRDefault="00B406EF" w:rsidP="00B406EF"/>
    <w:p w14:paraId="14C1ED24" w14:textId="77777777" w:rsidR="00B406EF" w:rsidRDefault="00B406EF" w:rsidP="00B406EF">
      <w:r>
        <w:t>Namen uredbe je zagotoviti strokovno in objektivno podlago za nadaljnje ukrepe na področju kratkotrajnega najema stanovanj. Uredba sama po sebi ne uvaja omejitev, temveč omogoča identifikacijo občin, kjer lahko občine na podlagi zakonskih pooblastil sprejemajo ukrepe, prilagojene lokalnim razmeram.</w:t>
      </w:r>
    </w:p>
    <w:p w14:paraId="6EB339F1" w14:textId="77777777" w:rsidR="00B406EF" w:rsidRDefault="00B406EF" w:rsidP="00B406EF"/>
    <w:p w14:paraId="6CC2D7C5" w14:textId="77777777" w:rsidR="00B406EF" w:rsidRDefault="00B406EF" w:rsidP="00B406EF">
      <w:r>
        <w:t xml:space="preserve">Gradivo je bilo pred sprejemom v javni obravnavi, v katero so bili vključeni ključni deležniki. Vlada je pri pripravi uredbe upoštevala prejete strokovne pripombe, ki prispevajo k večji jasnosti, </w:t>
      </w:r>
      <w:proofErr w:type="gramStart"/>
      <w:r>
        <w:t>transparentnosti</w:t>
      </w:r>
      <w:proofErr w:type="gramEnd"/>
      <w:r>
        <w:t xml:space="preserve"> in metodološki doslednosti.</w:t>
      </w:r>
    </w:p>
    <w:p w14:paraId="09DC9F46" w14:textId="77777777" w:rsidR="00B406EF" w:rsidRDefault="00B406EF" w:rsidP="00B406EF"/>
    <w:p w14:paraId="6FD6F9E6" w14:textId="77777777" w:rsidR="00B406EF" w:rsidRDefault="00B406EF" w:rsidP="00B406EF">
      <w:r>
        <w:t>Uredba bo začela veljati petnajsti dan po objavi v Uradnem listu Republike Slovenije.</w:t>
      </w:r>
    </w:p>
    <w:p w14:paraId="5663256D" w14:textId="4FC56D6F" w:rsidR="00CF4260" w:rsidRDefault="00B406EF" w:rsidP="00B406EF">
      <w:pPr>
        <w:pStyle w:val="Vir"/>
      </w:pPr>
      <w:r>
        <w:t>Vir: Ministrstvo za gospodarstvo, turizem in šport</w:t>
      </w:r>
    </w:p>
    <w:p w14:paraId="7BC62528" w14:textId="16F2921E" w:rsidR="00310D07" w:rsidRDefault="00310D07" w:rsidP="00310D07">
      <w:pPr>
        <w:pStyle w:val="Naslov2"/>
      </w:pPr>
      <w:r>
        <w:t>Vlada sprejela spremembe uredbe o fizikalno-kemijskih lastnostih tekočih goriv</w:t>
      </w:r>
    </w:p>
    <w:p w14:paraId="566AC840" w14:textId="77777777" w:rsidR="00310D07" w:rsidRDefault="00310D07" w:rsidP="00310D07">
      <w:r>
        <w:t xml:space="preserve">Vlada je izdala Uredbo o spremembah in dopolnitvi Uredbe o fizikalno-kemijskih lastnostih tekočih goriv. Spremembe so namenjene uskladitvi slovenskega pravnega reda z evropsko zakonodajo ter spodbujanju večje rabe obnovljivih virov energije v prometu. </w:t>
      </w:r>
    </w:p>
    <w:p w14:paraId="7B05B92E" w14:textId="77777777" w:rsidR="00310D07" w:rsidRDefault="00310D07" w:rsidP="00310D07"/>
    <w:p w14:paraId="599113FE" w14:textId="1CA82E52" w:rsidR="00310D07" w:rsidRDefault="00310D07" w:rsidP="00310D07">
      <w:r>
        <w:t xml:space="preserve">S sprejetimi spremembami Slovenija deloma prenaša določbe </w:t>
      </w:r>
      <w:proofErr w:type="gramStart"/>
      <w:r>
        <w:t>Direktive</w:t>
      </w:r>
      <w:proofErr w:type="gramEnd"/>
      <w:r>
        <w:t xml:space="preserve"> (EU) 2023/2413, ki posodablja pravila glede kakovosti motornih goriv in spodbuja uporabo obnovljivih virov energije. </w:t>
      </w:r>
    </w:p>
    <w:p w14:paraId="2DB8E1D3" w14:textId="77777777" w:rsidR="00310D07" w:rsidRDefault="00310D07" w:rsidP="00310D07">
      <w:r>
        <w:t>Nova uredba med drugim:</w:t>
      </w:r>
    </w:p>
    <w:p w14:paraId="28BC1A5E" w14:textId="3E1E2EB4" w:rsidR="00310D07" w:rsidRDefault="00310D07" w:rsidP="00310D07">
      <w:pPr>
        <w:pStyle w:val="Odstavekseznama"/>
        <w:numPr>
          <w:ilvl w:val="0"/>
          <w:numId w:val="13"/>
        </w:numPr>
      </w:pPr>
      <w:r>
        <w:t xml:space="preserve">določa, da se lahko na trg daje dizelsko gorivo z največ 10 odstotki </w:t>
      </w:r>
      <w:proofErr w:type="gramStart"/>
      <w:r>
        <w:t>FAME</w:t>
      </w:r>
      <w:proofErr w:type="gramEnd"/>
      <w:r>
        <w:t xml:space="preserve"> (metilnih estrov maščobnih kislin), medtem ko je bila doslej meja 7 odstotkov; </w:t>
      </w:r>
    </w:p>
    <w:p w14:paraId="534C6343" w14:textId="7B534D0E" w:rsidR="00310D07" w:rsidRDefault="00310D07" w:rsidP="00310D07">
      <w:pPr>
        <w:pStyle w:val="Odstavekseznama"/>
        <w:numPr>
          <w:ilvl w:val="0"/>
          <w:numId w:val="13"/>
        </w:numPr>
      </w:pPr>
      <w:r>
        <w:lastRenderedPageBreak/>
        <w:t xml:space="preserve">odpravlja možnost dajanja na trg motornega bencina z vsebnostjo bioetanola nad 10 odstotkov; </w:t>
      </w:r>
    </w:p>
    <w:p w14:paraId="3488D662" w14:textId="52C87934" w:rsidR="00310D07" w:rsidRDefault="00310D07" w:rsidP="00310D07">
      <w:pPr>
        <w:pStyle w:val="Odstavekseznama"/>
        <w:numPr>
          <w:ilvl w:val="0"/>
          <w:numId w:val="13"/>
        </w:numPr>
      </w:pPr>
      <w:r>
        <w:t xml:space="preserve">posodablja sklice na veljavne tehnične standarde za tekoča goriva; </w:t>
      </w:r>
    </w:p>
    <w:p w14:paraId="00954DAA" w14:textId="6EC73368" w:rsidR="00310D07" w:rsidRDefault="00310D07" w:rsidP="00310D07">
      <w:pPr>
        <w:pStyle w:val="Odstavekseznama"/>
        <w:numPr>
          <w:ilvl w:val="0"/>
          <w:numId w:val="13"/>
        </w:numPr>
      </w:pPr>
      <w:r>
        <w:t xml:space="preserve">uvaja jasnejše obveznosti glede označevanja vsebnosti </w:t>
      </w:r>
      <w:proofErr w:type="spellStart"/>
      <w:r>
        <w:t>biokomponent</w:t>
      </w:r>
      <w:proofErr w:type="spellEnd"/>
      <w:r>
        <w:t xml:space="preserve"> na prodajnih mestih; </w:t>
      </w:r>
    </w:p>
    <w:p w14:paraId="7AD120FC" w14:textId="4747185F" w:rsidR="00310D07" w:rsidRDefault="00310D07" w:rsidP="00310D07">
      <w:pPr>
        <w:pStyle w:val="Odstavekseznama"/>
        <w:numPr>
          <w:ilvl w:val="0"/>
          <w:numId w:val="13"/>
        </w:numPr>
      </w:pPr>
      <w:r>
        <w:t xml:space="preserve">iz uredbe črta določbe, ki sodijo v pristojnost drugih resorjev in so že urejene v drugih predpisih. </w:t>
      </w:r>
    </w:p>
    <w:p w14:paraId="16FFFBF6" w14:textId="77777777" w:rsidR="00310D07" w:rsidRDefault="00310D07" w:rsidP="00310D07"/>
    <w:p w14:paraId="43EB6686" w14:textId="14157A42" w:rsidR="00310D07" w:rsidRDefault="00310D07" w:rsidP="00310D07">
      <w:r>
        <w:t xml:space="preserve">Spremembe bodo prispevale k večji uporabi obnovljivih virov energije v prometu, boljšemu obveščanju potrošnikov ter večji usklajenosti nacionalne zakonodaje z evropskimi zahtevami. Predpis nima finančnih posledic za državni proračun, ima pa pozitiven učinek na okolje. </w:t>
      </w:r>
    </w:p>
    <w:p w14:paraId="6987899E" w14:textId="38C8F52D" w:rsidR="00CF4260" w:rsidRDefault="00310D07" w:rsidP="00310D07">
      <w:pPr>
        <w:pStyle w:val="Vir"/>
      </w:pPr>
      <w:r>
        <w:t>Vir: Ministrstvo za okolje, podnebje in energijo</w:t>
      </w:r>
    </w:p>
    <w:p w14:paraId="71342C3D" w14:textId="04A0C05F" w:rsidR="00310D07" w:rsidRDefault="00310D07" w:rsidP="00310D07">
      <w:pPr>
        <w:pStyle w:val="Naslov2"/>
      </w:pPr>
      <w:r>
        <w:t>Vlada sprejela dopolnitev uredbe o sežigalnicah odpadkov in napravah za sosežig odpadkov</w:t>
      </w:r>
    </w:p>
    <w:p w14:paraId="716715C7" w14:textId="77777777" w:rsidR="00310D07" w:rsidRDefault="00310D07" w:rsidP="00310D07">
      <w:r>
        <w:t xml:space="preserve">Vlada je izdala Uredbo o dopolnitvi Uredbe o sežigalnicah odpadkov in napravah za sosežig odpadkov. Sprememba prinaša jasnejšo ureditev izdelave ocene odpadka v primerih, ko kemične analize zaradi narave odpadka ni mogoče varno izvesti. </w:t>
      </w:r>
    </w:p>
    <w:p w14:paraId="1ABB6303" w14:textId="77777777" w:rsidR="00310D07" w:rsidRDefault="00310D07" w:rsidP="00310D07"/>
    <w:p w14:paraId="1987DE84" w14:textId="11FD2AB8" w:rsidR="00310D07" w:rsidRDefault="00310D07" w:rsidP="00310D07">
      <w:r>
        <w:t xml:space="preserve">Veljavna ureditev je doslej zahtevala kemično analizo za vse nevarne odpadke, razen za kemikalije z ustreznim varnostnim listom. V praksi pa so se pojavljali primeri nevarnih odpadkov, pri katerih je sestava znana, vendar kemične analize ni mogoče izdelati, ker so ti odpadki zaradi svojih nevarnih lastnosti zaprti ali zapakirani in z njimi ni dovoljeno </w:t>
      </w:r>
      <w:proofErr w:type="gramStart"/>
      <w:r>
        <w:t>rokovati</w:t>
      </w:r>
      <w:proofErr w:type="gramEnd"/>
      <w:r>
        <w:t xml:space="preserve">. Gre predvsem za nekatere odpadke iz zdravstva, ki vsebujejo infektivne, rakotvorne, mutagene ali </w:t>
      </w:r>
      <w:proofErr w:type="spellStart"/>
      <w:r>
        <w:t>reprotoksične</w:t>
      </w:r>
      <w:proofErr w:type="spellEnd"/>
      <w:r>
        <w:t xml:space="preserve"> snovi, ter za zasežene prepovedane droge. Z dopolnitvijo uredbe se zato vzpostavlja ustreznejša in varnejša pravna podlaga za ravnanje s takšnimi odpadki. </w:t>
      </w:r>
    </w:p>
    <w:p w14:paraId="26711AB5" w14:textId="77777777" w:rsidR="00045B44" w:rsidRDefault="00045B44" w:rsidP="00310D07"/>
    <w:p w14:paraId="0C70325E" w14:textId="7E29D8DA" w:rsidR="00310D07" w:rsidRDefault="00310D07" w:rsidP="00310D07">
      <w:r>
        <w:t xml:space="preserve">Sprememba uredbe dodatno jasno določa tudi, da se fitofarmacevtska sredstva z izdelanim varnostnim listom v skladu s predpisi o kemikalijah štejejo med kemikalije, za katere velja izjema glede obvezne izvedbe kemične analize. S tem se odpravlja dosedanja nejasnost pri ravnanju s tovrstnimi odpadki. </w:t>
      </w:r>
    </w:p>
    <w:p w14:paraId="4748ED68" w14:textId="77777777" w:rsidR="00310D07" w:rsidRDefault="00310D07" w:rsidP="00310D07"/>
    <w:p w14:paraId="53C87D88" w14:textId="77777777" w:rsidR="00310D07" w:rsidRDefault="00310D07" w:rsidP="00310D07">
      <w:r>
        <w:t>Nova ureditev bo prispevala k večji pravni jasnosti, varnejšemu ravnanju z nevarnimi odpadki ter učinkovitejšemu izvajanju predpisov na področju ravnanja z odpadki.</w:t>
      </w:r>
    </w:p>
    <w:p w14:paraId="09C5E5DD" w14:textId="4D84A093" w:rsidR="00CF4260" w:rsidRDefault="00310D07" w:rsidP="00310D07">
      <w:pPr>
        <w:pStyle w:val="Vir"/>
      </w:pPr>
      <w:r>
        <w:t>Vir: Ministrstvo za okolje, podnebje in energijo</w:t>
      </w:r>
    </w:p>
    <w:p w14:paraId="4528EF03" w14:textId="640B2D06" w:rsidR="00385208" w:rsidRDefault="00385208" w:rsidP="00385208">
      <w:pPr>
        <w:pStyle w:val="Naslov2"/>
      </w:pPr>
      <w:r>
        <w:t>Vlada sprejela odgovor na peticijo glede dostopa do vode za Rome</w:t>
      </w:r>
    </w:p>
    <w:p w14:paraId="3FAD018B" w14:textId="77777777" w:rsidR="00385208" w:rsidRDefault="00385208" w:rsidP="00385208">
      <w:r>
        <w:t xml:space="preserve">Vlada je sprejela odgovor na peticijo Amnesty International Slovenije za zagotovitev dostopa do vode romskim družinam v jugovzhodni Sloveniji. </w:t>
      </w:r>
    </w:p>
    <w:p w14:paraId="6B21154C" w14:textId="77777777" w:rsidR="00385208" w:rsidRDefault="00385208" w:rsidP="00385208"/>
    <w:p w14:paraId="6F3B02B6" w14:textId="77777777" w:rsidR="00385208" w:rsidRDefault="00385208" w:rsidP="00385208">
      <w:r>
        <w:t xml:space="preserve">Peticija navaja, da je dostop do pitne vode človekova pravica ne glede na pravni status bivališča, kar pa bi </w:t>
      </w:r>
      <w:proofErr w:type="gramStart"/>
      <w:r>
        <w:t>predstavljajo</w:t>
      </w:r>
      <w:proofErr w:type="gramEnd"/>
      <w:r>
        <w:t xml:space="preserve"> kršitev človekove pravice do zasebne lastnine v primerih, če bi romske družine bivale na zemljiščih, ki so v zasebni lasti drugih oseb. V skladu z gradbeno zakonodajo se na </w:t>
      </w:r>
      <w:proofErr w:type="gramStart"/>
      <w:r>
        <w:t>sekundarno</w:t>
      </w:r>
      <w:proofErr w:type="gramEnd"/>
      <w:r>
        <w:t xml:space="preserve"> komunalno omrežje lahko priključujejo samo legalno zgrajeni objekti. Na objekte, katerih lastniki ne izkazujejo lastništva zemljišča (ali druge pravice graditi) in so torej nelegalni (brez gradbenega in uporabnega dovoljenja), pristojne komunalne službe ne smejo priključiti javne infrastrukture.</w:t>
      </w:r>
    </w:p>
    <w:p w14:paraId="45E3F4EE" w14:textId="77777777" w:rsidR="00385208" w:rsidRDefault="00385208" w:rsidP="00385208"/>
    <w:p w14:paraId="55382F31" w14:textId="77777777" w:rsidR="00385208" w:rsidRDefault="00385208" w:rsidP="00385208">
      <w:r>
        <w:t xml:space="preserve">Z izvajanjem Nacionalnega programa ukrepov Vlade Republike Slovenije za Rome za obdobje 2021–2030 in skladno z Zakonom o romski skupnosti v Republiki Sloveniji država in lokalne skupnosti </w:t>
      </w:r>
      <w:r>
        <w:lastRenderedPageBreak/>
        <w:t>zagotavljajo pogoje za urejanje prostorske problematike romskih naselij in izboljšanje bivalnih razmer pripadnikov romske skupnosti. Država in lokalne skupnosti si glede na dane finančne zmožnosti prizadevajo za ureditev dostopa prebivalcev Republike Slovenije do pitne vode, za romske skupnosti tudi prek posebnih programov in razpisov.</w:t>
      </w:r>
    </w:p>
    <w:p w14:paraId="606420F5" w14:textId="677757BF" w:rsidR="00CF4260" w:rsidRDefault="00385208" w:rsidP="00385208">
      <w:pPr>
        <w:pStyle w:val="Vir"/>
      </w:pPr>
      <w:r>
        <w:t>Vir: Ministrstvo za naravne vire in prostor</w:t>
      </w:r>
    </w:p>
    <w:p w14:paraId="51EE1E97" w14:textId="5FDDE7E7" w:rsidR="00CF4260" w:rsidRDefault="00B3190C" w:rsidP="00B3190C">
      <w:pPr>
        <w:pStyle w:val="Naslov2"/>
      </w:pPr>
      <w:r>
        <w:t>P</w:t>
      </w:r>
      <w:r w:rsidR="00CF4260">
        <w:t>ovečanja namenskega premoženja Stanovanjskega sklada Republike Slovenije</w:t>
      </w:r>
    </w:p>
    <w:p w14:paraId="4E053CA6" w14:textId="31C7F6DF" w:rsidR="00B3190C" w:rsidRDefault="00B3190C" w:rsidP="00CF4260">
      <w:r w:rsidRPr="00B3190C">
        <w:t xml:space="preserve">Vlada je sprejela sklep, s katerim je na Stanovanjski sklad Republike Slovenije prenesla stanovanje v ocenjeni vrednosti 137 tisoč evrov, ki je </w:t>
      </w:r>
      <w:proofErr w:type="gramStart"/>
      <w:r w:rsidRPr="00B3190C">
        <w:t>bil</w:t>
      </w:r>
      <w:proofErr w:type="gramEnd"/>
      <w:r w:rsidRPr="00B3190C">
        <w:t xml:space="preserve"> do sedaj v lasti države in v upravljanju Ministrstva za javno upravo.</w:t>
      </w:r>
    </w:p>
    <w:p w14:paraId="17C3ED1D" w14:textId="6E5B6602" w:rsidR="00B3190C" w:rsidRDefault="00B3190C" w:rsidP="00B3190C">
      <w:pPr>
        <w:pStyle w:val="Vir"/>
      </w:pPr>
      <w:r w:rsidRPr="00B3190C">
        <w:t>Vir: Ministrstvo za solidarno prihodnost</w:t>
      </w:r>
    </w:p>
    <w:p w14:paraId="40B18207" w14:textId="4D713B6A" w:rsidR="00F42BC7" w:rsidRDefault="00F42BC7" w:rsidP="00F42BC7">
      <w:pPr>
        <w:pStyle w:val="Naslov2"/>
      </w:pPr>
      <w:r>
        <w:t>Vlada potrdila nadaljevanje spodbud za nakup električnih koles v letih 2026 in 2027</w:t>
      </w:r>
    </w:p>
    <w:p w14:paraId="548E4DD1" w14:textId="77777777" w:rsidR="00F42BC7" w:rsidRDefault="00F42BC7" w:rsidP="00F42BC7">
      <w:r>
        <w:t xml:space="preserve">Vlada je v veljavni Načrt razvojnih programov 2026–2029 uvrstila nov projekt »Spodbude za nakup električnih koles fizičnih oseb 2026–2027«. S tem bo Ministrstvo za okolje, podnebje in energijo tudi v prihodnjih dveh letih nadaljevalo sofinanciranje nakupa električnih koles za polnoletne fizične osebe. </w:t>
      </w:r>
    </w:p>
    <w:p w14:paraId="724C347F" w14:textId="77777777" w:rsidR="00F42BC7" w:rsidRDefault="00F42BC7" w:rsidP="00F42BC7"/>
    <w:p w14:paraId="7086E9B7" w14:textId="77777777" w:rsidR="00F42BC7" w:rsidRDefault="00F42BC7" w:rsidP="00F42BC7">
      <w:r>
        <w:t xml:space="preserve">Za izvedbo projekta bo iz sredstev Podnebnega sklada namenjenih 2 milijona evrov, in sicer 1,2 milijona evrov v letu 2026 ter 800.000 evrov v letu 2027. Ob pričakovanih 6 milijonih evrov lastnih sredstev upravičencev skupna vrednost projekta znaša 8 milijonov evrov. </w:t>
      </w:r>
    </w:p>
    <w:p w14:paraId="02C0FBCF" w14:textId="77777777" w:rsidR="00F42BC7" w:rsidRDefault="00F42BC7" w:rsidP="00F42BC7"/>
    <w:p w14:paraId="4088DE16" w14:textId="6C6371C9" w:rsidR="00F42BC7" w:rsidRDefault="00F42BC7" w:rsidP="00F42BC7">
      <w:r>
        <w:t>Na podlagi novega projekta bo predvidoma sofinanciran nakup 4.443 novih električnih koles</w:t>
      </w:r>
      <w:r w:rsidR="00045B44">
        <w:t>, in sicer</w:t>
      </w:r>
      <w:r>
        <w:t xml:space="preserve"> 2.666 v letu</w:t>
      </w:r>
      <w:proofErr w:type="gramStart"/>
      <w:r>
        <w:t xml:space="preserve"> 2026 in 1.777</w:t>
      </w:r>
      <w:proofErr w:type="gramEnd"/>
      <w:r>
        <w:t xml:space="preserve"> v letu 2027. Ukrep bo prispeval k zmanjšanju emisij toplogrednih plinov, izboljšanju kakovosti zraka, zmanjšanju hrupa ter spodbujanju bolj zdravih in trajnostnih potovalnih navad. </w:t>
      </w:r>
    </w:p>
    <w:p w14:paraId="5DBCBA13" w14:textId="77777777" w:rsidR="00F42BC7" w:rsidRDefault="00F42BC7" w:rsidP="00F42BC7"/>
    <w:p w14:paraId="2C3B51B5" w14:textId="77777777" w:rsidR="00F42BC7" w:rsidRDefault="00F42BC7" w:rsidP="00F42BC7">
      <w:r>
        <w:t xml:space="preserve">Električna kolesa so posebej primerna za vsakodnevne poti na delo in druge krajše razdalje, kjer lahko učinkovito nadomestijo uporabo osebnega avtomobila. Ukrep spodbud za nakup električnih koles je del širših prizadevanj države za razogljičenje prometa in uresničevanje ciljev podnebne nevtralnosti. Ti cilji so določeni v Podnebnem zakonu, Odloku o Programu porabe sredstev Podnebnega sklada za leta 2025–2028 ter v posodobljenem Celovitem nacionalnem energetskem in podnebnem načrtu. </w:t>
      </w:r>
    </w:p>
    <w:p w14:paraId="7ABA4852" w14:textId="77777777" w:rsidR="00F42BC7" w:rsidRDefault="00F42BC7" w:rsidP="00F42BC7"/>
    <w:p w14:paraId="57755B23" w14:textId="77777777" w:rsidR="00F42BC7" w:rsidRDefault="00F42BC7" w:rsidP="00F42BC7">
      <w:r>
        <w:t xml:space="preserve">V okviru dosedanjega javnega poziva je bilo v letih 2024 in 2025 subvencioniranih že skoraj 11.000 električnih koles. Nadaljevanje spodbud bo prispevalo k nadaljnjemu razvoju trajnostne mobilnosti ter zmanjšanju odvisnosti od osebnih avtomobilov pri vsakodnevnih </w:t>
      </w:r>
      <w:proofErr w:type="gramStart"/>
      <w:r>
        <w:t>opravkih</w:t>
      </w:r>
      <w:proofErr w:type="gramEnd"/>
      <w:r>
        <w:t xml:space="preserve">. </w:t>
      </w:r>
    </w:p>
    <w:p w14:paraId="3B8D71FE" w14:textId="4C36368A" w:rsidR="00CF4260" w:rsidRDefault="00F42BC7" w:rsidP="00F42BC7">
      <w:pPr>
        <w:pStyle w:val="Vir"/>
      </w:pPr>
      <w:r>
        <w:t>Vir: Ministrstvo za okolje, podnebje in energijo</w:t>
      </w:r>
    </w:p>
    <w:p w14:paraId="44DA4BD9" w14:textId="3F66F743" w:rsidR="009771F0" w:rsidRDefault="009771F0" w:rsidP="009771F0">
      <w:pPr>
        <w:pStyle w:val="Naslov2"/>
      </w:pPr>
      <w:r>
        <w:t>V veljavnem Načrtu razvojnih programov 2026–2029 se spremeni projekt Priprava DPN za letališče Edvarda Rusjana Maribor</w:t>
      </w:r>
    </w:p>
    <w:p w14:paraId="059CA791" w14:textId="77777777" w:rsidR="009771F0" w:rsidRDefault="009771F0" w:rsidP="009771F0">
      <w:r>
        <w:t>Vlada Republike Slovenije je sprejela Sklep, da se v veljavnem Načrtu razvojnih programov 2026–2029 spremeni projekt 2430-15-0004 Priprava DPN za letališče Edvarda Rusjana Maribor.</w:t>
      </w:r>
    </w:p>
    <w:p w14:paraId="65D51015" w14:textId="77777777" w:rsidR="009771F0" w:rsidRDefault="009771F0" w:rsidP="009771F0">
      <w:r>
        <w:t xml:space="preserve">Letališče Edvarda Rusjana Maribor je infrastrukturni objekt državnega pomena. Tovrstna infrastruktura je prostorska ureditev državnega pomena, ki se načrtuje z državnim prostorskim načrtom (DPN). DPN se pripravlja v skladu z zakonom, ki ureja prostor. Sprejeta Uredba o DPN za Letališče Edvarda Rusjana Maribor bo podlaga za pridobivanje zemljišč ter graditev letališke infrastrukture ter infrastrukture za opravljanje drugih služb na letališču. </w:t>
      </w:r>
    </w:p>
    <w:p w14:paraId="39D6EE7D" w14:textId="77777777" w:rsidR="009771F0" w:rsidRDefault="009771F0" w:rsidP="009771F0"/>
    <w:p w14:paraId="05880ABB" w14:textId="2DD6331E" w:rsidR="009771F0" w:rsidRDefault="009771F0" w:rsidP="009771F0">
      <w:r>
        <w:lastRenderedPageBreak/>
        <w:t xml:space="preserve">Glavno izhodišče predstavlja predvsem strateška odločitev, da se bo Letališče Edvarda Rusjana Maribor razvijalo predvsem v smeri vzdrževanja letal in nato tudi za potniški in tovorni promet. Zaradi odločitve o razvoju v tovrstno smeri, je bila v izhodišče poleg ureditev, ki jih je predvidel novi </w:t>
      </w:r>
      <w:proofErr w:type="gramStart"/>
      <w:r>
        <w:t>koncept</w:t>
      </w:r>
      <w:proofErr w:type="gramEnd"/>
      <w:r>
        <w:t xml:space="preserve"> dodana predvsem infrastruktura, ki je potrebna za vzdrževanje letal (dodatni hangarji in ploščadi pred njimi ter območje za testiranje motorjev za program vzdrževanje letal). </w:t>
      </w:r>
    </w:p>
    <w:p w14:paraId="19E2FDEF" w14:textId="4F1048D4" w:rsidR="00CF4260" w:rsidRDefault="009771F0" w:rsidP="009771F0">
      <w:pPr>
        <w:pStyle w:val="Vir"/>
      </w:pPr>
      <w:r>
        <w:t>Vir: Ministrstvo za infrastrukturo</w:t>
      </w:r>
    </w:p>
    <w:p w14:paraId="18EF4769" w14:textId="19066881" w:rsidR="00531A40" w:rsidRDefault="00531A40" w:rsidP="00531A40">
      <w:pPr>
        <w:pStyle w:val="Naslov2"/>
      </w:pPr>
      <w:r>
        <w:t>Poročilo o delu Stalne medresorske delovne skupine za OECD na operativni ravni v letu 2025</w:t>
      </w:r>
    </w:p>
    <w:p w14:paraId="6267A9FB" w14:textId="77777777" w:rsidR="00531A40" w:rsidRDefault="00531A40" w:rsidP="00531A40">
      <w:r>
        <w:t xml:space="preserve">Vlada Republike Slovenije se je seznanila s Poročilom o delu Stalne medresorske delovne skupine za OECD na operativni ravni v letu 2025. Poročilo vsebuje tako </w:t>
      </w:r>
      <w:proofErr w:type="gramStart"/>
      <w:r>
        <w:t>aktivnosti</w:t>
      </w:r>
      <w:proofErr w:type="gramEnd"/>
      <w:r>
        <w:t xml:space="preserve"> Stalne medresorske delovne skupine za sodelovanje z OECD na operativni ravni kot tudi samostojne aktivnosti vseh resorjev in tako predstavlja celovito poročilo o sodelovanju Slovenije z OECD v letu 2025.  </w:t>
      </w:r>
    </w:p>
    <w:p w14:paraId="3DF0FB58" w14:textId="77777777" w:rsidR="00531A40" w:rsidRDefault="00531A40" w:rsidP="00531A40"/>
    <w:p w14:paraId="60E72DCB" w14:textId="2443210D" w:rsidR="00531A40" w:rsidRDefault="00531A40" w:rsidP="00531A40">
      <w:r>
        <w:t xml:space="preserve">Delo </w:t>
      </w:r>
      <w:r w:rsidR="002F44FE">
        <w:t xml:space="preserve">v </w:t>
      </w:r>
      <w:r>
        <w:t xml:space="preserve">OECD v letu 2025 so posebej zaznamovale </w:t>
      </w:r>
      <w:proofErr w:type="gramStart"/>
      <w:r>
        <w:t>aktivnosti</w:t>
      </w:r>
      <w:proofErr w:type="gramEnd"/>
      <w:r>
        <w:t xml:space="preserve"> na področju širitve OECD in reforme glede priprave proračuna in delovnega programa OECD za naslednje </w:t>
      </w:r>
      <w:proofErr w:type="spellStart"/>
      <w:r>
        <w:t>dvo</w:t>
      </w:r>
      <w:proofErr w:type="spellEnd"/>
      <w:r>
        <w:t xml:space="preserve">- oziroma štiriletno obdobje. Delo v vsebinskih odborih je potekalo v zaostrenih geopolitičnih okoliščinah, kar je vplivalo na zahtevnejša in dolgotrajnejša pogajanja o priporočilih in drugih instrumentih s ciljem, da se dosežejo med vsemi državami članicami usklajene rešitve, tako na vsebinskih področjih kot tudi v okviru upravljanja OECD kot mednarodne organizacije. </w:t>
      </w:r>
    </w:p>
    <w:p w14:paraId="1FD4A1E2" w14:textId="77777777" w:rsidR="00531A40" w:rsidRDefault="00531A40" w:rsidP="00531A40"/>
    <w:p w14:paraId="3B532C79" w14:textId="77777777" w:rsidR="00531A40" w:rsidRDefault="00531A40" w:rsidP="00531A40">
      <w:r>
        <w:t xml:space="preserve">Slovenija je v teh razmerah zastopala stališča, skladna z zunanjepolitično strateško usmeritvijo v podporo učinkovitemu multilateralizmu. Slovenski delegati so podpirali rešitve, ki so krepile učinkovitost organizacije, hkrati pa s konstruktivno in fleksibilno držo pripomogli k iskanju soglasja na različnih področjih. To je bilo še posebej pomembno ob koncu leta 2025, ko je bilo treba obnoviti mandate več vsebinskih odborov OECD, da bi ti lahko nadaljevali svoje delo. </w:t>
      </w:r>
    </w:p>
    <w:p w14:paraId="00DE01D7" w14:textId="77777777" w:rsidR="00531A40" w:rsidRDefault="00531A40" w:rsidP="00531A40"/>
    <w:p w14:paraId="5FF94D73" w14:textId="77777777" w:rsidR="00531A40" w:rsidRDefault="00531A40" w:rsidP="00531A40">
      <w:r>
        <w:t>Stalna medresorska delovna skupina za zadeve OECD na operativni ravni je bila ustanovljena v začetku leta 2019 z namenom zagotavljanja usklajenega medresorskega pristopa do sodelovanja z OECD. Delo tej medresorski skupini vodi nacionalna koordinatorica za OECD, v njej sodeluje še 31 članov in članic oziroma namestnikov in namestnic, kar pomeni, da v skupini poleg Stalnega predstavništva RS pri OECD sodelujejo še vsa ministrstva (razen Ministrstvo za obrambo Republike Slovenije), vladne službe in nekateri organi v sestavi ministrstev, ki imajo v OECD aktivnejšo vlogo. Pri delu SMDS redno sodelujeta tudi predstavnika Banke Slovenije in Javne agencije Republike Slovenije za varstvo konkurence.</w:t>
      </w:r>
    </w:p>
    <w:p w14:paraId="5BED0226" w14:textId="4B307938" w:rsidR="00CF4260" w:rsidRDefault="00531A40" w:rsidP="00531A40">
      <w:pPr>
        <w:pStyle w:val="Vir"/>
      </w:pPr>
      <w:r>
        <w:t>Vir: Ministrstvo za zunanje in evropske zadeve Republike Slovenije</w:t>
      </w:r>
    </w:p>
    <w:p w14:paraId="6C0FD09D" w14:textId="12D52A27" w:rsidR="00E03671" w:rsidRDefault="00E03671" w:rsidP="00E03671">
      <w:pPr>
        <w:pStyle w:val="Naslov2"/>
      </w:pPr>
      <w:r>
        <w:t>Vlada sprejela poročilo o vojaški mobilnosti za leto 2025</w:t>
      </w:r>
    </w:p>
    <w:p w14:paraId="17B2D8AB" w14:textId="77777777" w:rsidR="00E03671" w:rsidRDefault="00E03671" w:rsidP="00E03671">
      <w:r>
        <w:t>Spremenjeno varnostno okolje v zadnjih letih je prispevalo h krepitvi prizadevanj za poenostavitev in pohitritev premikov vojaškega osebja, opreme in blaga v letu 2025. Vojaška mobilnost predstavlja ključni dejavnik za učinkovito odvračanje in obrambo Evrope, ki se neposredno navezuje tudi na samo zagotavljanje podpore države gostiteljice v okviru Nata.</w:t>
      </w:r>
    </w:p>
    <w:p w14:paraId="432EE333" w14:textId="77777777" w:rsidR="00E03671" w:rsidRDefault="00E03671" w:rsidP="00E03671"/>
    <w:p w14:paraId="78CEF583" w14:textId="77777777" w:rsidR="00E03671" w:rsidRDefault="00E03671" w:rsidP="00E03671">
      <w:r>
        <w:t xml:space="preserve">Leta 2025 je bila izvedena seja Stalne medresorske koordinacijske skupine za spremljanje in usmerjanje implementacije ukrepov na področju vojaške mobilnosti. Člani so se seznanili s presekom stanja na področju vojaške mobilnosti, med sejami pa se sicer redno seznanjajo z napredkom na področju podpore države gostiteljice in vojaške mobilnosti ter sodelujejo pri ključnih </w:t>
      </w:r>
      <w:proofErr w:type="gramStart"/>
      <w:r>
        <w:t>aktivnostih</w:t>
      </w:r>
      <w:proofErr w:type="gramEnd"/>
      <w:r>
        <w:t>.</w:t>
      </w:r>
    </w:p>
    <w:p w14:paraId="36ADA890" w14:textId="77777777" w:rsidR="00E03671" w:rsidRDefault="00E03671" w:rsidP="00E03671"/>
    <w:p w14:paraId="3F286D76" w14:textId="77777777" w:rsidR="00E03671" w:rsidRDefault="00E03671" w:rsidP="00E03671">
      <w:r>
        <w:lastRenderedPageBreak/>
        <w:t>Republika Slovenija aktivno sodeluje v pobudah za izboljšanje vojaške mobilnosti znotraj Evropske unije, zlasti prek IPE, ki podpira projekte z dvojno (civilno-vojaško) rabo na Vseevropskem prometnem omrežju (TEN-T). Preko Republike Slovenije potekajo trije pomembni koridorji v sklopu TEN-T, in sicer koridor Zahodni Balkan–Vzhodno Sredozemlje, Sredozemski koridor in koridor Baltsko morje–Jadransko morje.</w:t>
      </w:r>
    </w:p>
    <w:p w14:paraId="0CFC16D8" w14:textId="77777777" w:rsidR="00E03671" w:rsidRDefault="00E03671" w:rsidP="00E03671"/>
    <w:p w14:paraId="3E05212E" w14:textId="77777777" w:rsidR="00E03671" w:rsidRDefault="00E03671" w:rsidP="00E03671">
      <w:r>
        <w:t xml:space="preserve">Republika Slovenija bo v prihodnje dodatno okrepila svoja prizadevanja za </w:t>
      </w:r>
      <w:proofErr w:type="gramStart"/>
      <w:r>
        <w:t>realizacijo</w:t>
      </w:r>
      <w:proofErr w:type="gramEnd"/>
      <w:r>
        <w:t xml:space="preserve"> ukrepov, ki jih predvideva zaveza vojaške mobilnosti.</w:t>
      </w:r>
    </w:p>
    <w:p w14:paraId="65D6AAD7" w14:textId="77777777" w:rsidR="00E03671" w:rsidRDefault="00E03671" w:rsidP="00E03671"/>
    <w:p w14:paraId="7764DEBB" w14:textId="77777777" w:rsidR="00E03671" w:rsidRDefault="00E03671" w:rsidP="00E03671">
      <w:r>
        <w:t>Vlada Republike Slovenije je s sklepom Stalno medresorsko koordinacijsko skupino za spremljanje in usmerjanje implementacije ukrepov na področju vojaške mobilnosti ustanovila 22. novembra 2018.</w:t>
      </w:r>
    </w:p>
    <w:p w14:paraId="5AAF5319" w14:textId="73C1A9F6" w:rsidR="00CF4260" w:rsidRDefault="00E03671" w:rsidP="00E03671">
      <w:pPr>
        <w:pStyle w:val="Vir"/>
      </w:pPr>
      <w:r>
        <w:t>Vir: Ministrstvo za obrambo</w:t>
      </w:r>
    </w:p>
    <w:p w14:paraId="7A9F10E8" w14:textId="3DBFCB1D" w:rsidR="00CF4260" w:rsidRDefault="00CF4260" w:rsidP="00E03671">
      <w:pPr>
        <w:pStyle w:val="Naslov2"/>
      </w:pPr>
      <w:r>
        <w:t xml:space="preserve">Poročilo o izvajanju </w:t>
      </w:r>
      <w:r w:rsidR="00E03671">
        <w:t>sklepa glede prepovedi izdaje dovoljenj za izvoz in tranzit vojaškega orožja in opreme iz oziroma preko Slovenije v Izrael ter uvoza iz Izraela</w:t>
      </w:r>
    </w:p>
    <w:p w14:paraId="47F1E6FE" w14:textId="39579D20" w:rsidR="00E03671" w:rsidRDefault="00E03671" w:rsidP="00E03671">
      <w:r>
        <w:t>Vlada se je seznanila s poročilom o izvajanju sklepa glede prepovedi izdaje dovoljenj za izvoz in tranzit vojaškega orožja in opreme iz oziroma preko Slovenije v Izrael ter uvoza iz Izraela v januarju in februarju 2026.</w:t>
      </w:r>
    </w:p>
    <w:p w14:paraId="263768AE" w14:textId="77777777" w:rsidR="00E03671" w:rsidRDefault="00E03671" w:rsidP="00E03671"/>
    <w:p w14:paraId="36B79CD9" w14:textId="77777777" w:rsidR="00E03671" w:rsidRDefault="00E03671" w:rsidP="00E03671">
      <w:r>
        <w:t xml:space="preserve">V obdobju od 1. januarja do 28. februarja 2026 Ministrstvo za obrambo ni izdalo nobenega dovoljenja za posamezen posel z vojaškim orožjem in opremo ali odločbe o zavrnitvi izdaje dovoljenja, prav tako ni obravnavalo nobene vloge, ki bi jo za tak </w:t>
      </w:r>
      <w:proofErr w:type="gramStart"/>
      <w:r>
        <w:t>posel</w:t>
      </w:r>
      <w:proofErr w:type="gramEnd"/>
      <w:r>
        <w:t xml:space="preserve"> vložili gospodarska družba, zavod ali druga organizacija.</w:t>
      </w:r>
    </w:p>
    <w:p w14:paraId="3D090F2B" w14:textId="77777777" w:rsidR="00E03671" w:rsidRDefault="00E03671" w:rsidP="00E03671"/>
    <w:p w14:paraId="1F97B266" w14:textId="43BDA5F5" w:rsidR="00E03671" w:rsidRDefault="00E03671" w:rsidP="00E03671">
      <w:r>
        <w:t>Nepravilnosti v povezavi z omenjenim sklepom Vlade Republike Slovenije v obdobju od 1. januarja do 28. februarja 2026 niso bile zaznane niti s strani Finančne uprave Republike Slovenije, Luke Koper, d.</w:t>
      </w:r>
      <w:r w:rsidR="002F44FE">
        <w:t xml:space="preserve"> </w:t>
      </w:r>
      <w:r>
        <w:t>d. in Slovenskih železnic, d. o. o.</w:t>
      </w:r>
    </w:p>
    <w:p w14:paraId="031DED1B" w14:textId="19A3BB5D" w:rsidR="00E03671" w:rsidRDefault="00E03671" w:rsidP="00E03671">
      <w:pPr>
        <w:pStyle w:val="Vir"/>
      </w:pPr>
      <w:r>
        <w:t>Vir: Ministrstvo za obrambo</w:t>
      </w:r>
    </w:p>
    <w:p w14:paraId="6A07E8CC" w14:textId="307C293D" w:rsidR="00D60169" w:rsidRDefault="00D60169" w:rsidP="009B34F6">
      <w:pPr>
        <w:pStyle w:val="Naslov2"/>
      </w:pPr>
      <w:r>
        <w:t>Poročilo o delu Inšpektorata za javni sektor v letu 2025</w:t>
      </w:r>
    </w:p>
    <w:p w14:paraId="1EBD1041" w14:textId="77777777" w:rsidR="00D60169" w:rsidRDefault="00D60169" w:rsidP="00D60169">
      <w:r>
        <w:t xml:space="preserve">Vlada Republike Slovenije se je seznanila s Poročilom o delu Inšpektorata za javni sektor za leto 2025. Poročilo med drugim vsebuje pregled dela inšpektorata, podatke o nadzorih, ugotovljenih kršitvah in izrečenih ukrepih ter zaključne ugotovitve in predloge. Obe inšpekciji, to sta Upravna inšpekcija in Inšpekcija za sistem javnih uslužbencev in plačni sistem, sta v letu 2025 rešili 1.133 inšpekcijskih zadev ter v rešenih zadevah opravili 503 inšpekcijskih pregledov. </w:t>
      </w:r>
    </w:p>
    <w:p w14:paraId="562562CE" w14:textId="77777777" w:rsidR="00D60169" w:rsidRDefault="00D60169" w:rsidP="00D60169"/>
    <w:p w14:paraId="734C66D4" w14:textId="77777777" w:rsidR="00D60169" w:rsidRDefault="00D60169" w:rsidP="00D60169">
      <w:r>
        <w:t xml:space="preserve">Upravna inšpekcija je v letu 2025 obravnavala številne prijave in vprašanja v zvezi z uporabo Zakona o splošnem upravnem postopku, Uredbe o upravnem poslovanju ter predpisov s področja dostopa do informacij javnega značaja. S svojim delom je prispevala k izboljšanju zakonitosti upravnega odločanja ter k večji pravilnosti in učinkovitosti upravnega poslovanja v javnem sektorju. V zvezi z nadzorom upravnih postopkov so bile najpogosteje ugotovljene nepravilnosti pri izdelovanju odločb v zvezi s sestavnimi deli odločb, kršitve temeljnih načel Zakona o splošnem upravnem postopku (ZUP), kršitve spoštovanja rokov za odločanje ter kršitve poslovanja z vlogami strank, izdelovanju zapisnikov in izdajanju pooblastil po ZUP za vodenje in odločanje v upravnem postopku. </w:t>
      </w:r>
    </w:p>
    <w:p w14:paraId="5511C5BB" w14:textId="77777777" w:rsidR="00D60169" w:rsidRDefault="00D60169" w:rsidP="00D60169"/>
    <w:p w14:paraId="25DB745F" w14:textId="77777777" w:rsidR="00D60169" w:rsidRDefault="00D60169" w:rsidP="00D60169">
      <w:r>
        <w:t xml:space="preserve">Inšpekcija za sistem javnih uslužbencev in plačni sistem je v letu 2025 izvajala nadzor nad pravilnostjo izvajanja predpisov, ki urejajo sistem javnih uslužbencev ter plačni sistem v javnem sektorju. Nadzori so bili usmerjeni predvsem v preverjanje pravilnosti prevedbe zaposlenih v nov plačni sistem, pravilnosti obračuna in izplačevanja plač javnih uslužbencev ter zakonitosti zaposlovanja, s čimer je </w:t>
      </w:r>
      <w:r>
        <w:lastRenderedPageBreak/>
        <w:t xml:space="preserve">inšpekcija prispevala k večji </w:t>
      </w:r>
      <w:proofErr w:type="gramStart"/>
      <w:r>
        <w:t>transparentnosti</w:t>
      </w:r>
      <w:proofErr w:type="gramEnd"/>
      <w:r>
        <w:t xml:space="preserve"> in zakonitosti delovanja javnega sektorja. V zvezi z nadzorom izvajanja Zakona o javnih uslužbencih (ZJU) so bile najpogosteje ugotovljene nepravilnosti pri sistemiziranju delovnih mest, nepravilnosti pri izvedbi postopka javnega natečaja, nepravilnosti pri določitvi prejemkov in povračilu stroškov iz delovnega razmerja, nepravilnosti pri izvedbi postopka za zasedbo položajnega uradniškega delovnega mesta in nepravilnosti pri izdajanju posamičnih individualnih aktov. </w:t>
      </w:r>
    </w:p>
    <w:p w14:paraId="6F0C2764" w14:textId="77777777" w:rsidR="00D60169" w:rsidRDefault="00D60169" w:rsidP="00D60169"/>
    <w:p w14:paraId="39397FBA" w14:textId="40502116" w:rsidR="00CF4260" w:rsidRDefault="00D60169" w:rsidP="00D60169">
      <w:r>
        <w:t xml:space="preserve">Inšpektorji so izvajali sistemske inšpekcijske nadzore, prioritetne inšpekcijske nadzore na podlagi prejetih pobud oziroma prijav ter inšpekcijske nadzore na podlagi ostalih prejetih pobud in prijav, ki so bile obravnavane po vrstnem redu </w:t>
      </w:r>
      <w:proofErr w:type="gramStart"/>
      <w:r>
        <w:t>prispetja</w:t>
      </w:r>
      <w:proofErr w:type="gramEnd"/>
      <w:r>
        <w:t>. Poleg navedenega so 13 inšpekcijskih nadzorov uvedli tudi na lastno pobudo oziroma na podlagi osebne zaznave, kar kaže na proaktiven pristop in zavezanost k izboljševanju učinkovitosti inšpekcijskega nadzora.</w:t>
      </w:r>
    </w:p>
    <w:p w14:paraId="61BB0FFD" w14:textId="77777777" w:rsidR="00D60169" w:rsidRDefault="00D60169" w:rsidP="00D60169">
      <w:pPr>
        <w:spacing w:line="240" w:lineRule="auto"/>
        <w:jc w:val="both"/>
        <w:rPr>
          <w:rFonts w:cs="Arial"/>
          <w:szCs w:val="20"/>
        </w:rPr>
      </w:pPr>
    </w:p>
    <w:p w14:paraId="2CEDE73D" w14:textId="171D7FC3" w:rsidR="00D60169" w:rsidRDefault="00D60169" w:rsidP="00D60169">
      <w:pPr>
        <w:spacing w:line="240" w:lineRule="auto"/>
        <w:jc w:val="both"/>
        <w:rPr>
          <w:rFonts w:cs="Arial"/>
          <w:szCs w:val="20"/>
        </w:rPr>
      </w:pPr>
      <w:r>
        <w:rPr>
          <w:rFonts w:cs="Arial"/>
          <w:szCs w:val="20"/>
        </w:rPr>
        <w:t xml:space="preserve">Poročilo bo objavljeno na </w:t>
      </w:r>
      <w:hyperlink r:id="rId13" w:history="1">
        <w:r w:rsidRPr="00623293">
          <w:rPr>
            <w:rStyle w:val="Hiperpovezava"/>
            <w:rFonts w:cs="Arial"/>
            <w:szCs w:val="20"/>
          </w:rPr>
          <w:t>spletni strani Inšpektorata za javni sektor</w:t>
        </w:r>
      </w:hyperlink>
      <w:r>
        <w:rPr>
          <w:rFonts w:cs="Arial"/>
          <w:szCs w:val="20"/>
        </w:rPr>
        <w:t>.</w:t>
      </w:r>
    </w:p>
    <w:p w14:paraId="74C0C876" w14:textId="77777777" w:rsidR="00D60169" w:rsidRDefault="00D60169" w:rsidP="00D60169">
      <w:pPr>
        <w:pStyle w:val="Vir"/>
      </w:pPr>
      <w:r>
        <w:t>Vir: Ministrstvo za javno upravo</w:t>
      </w:r>
    </w:p>
    <w:p w14:paraId="29D895C0" w14:textId="0FDBC87B" w:rsidR="000B41E4" w:rsidRDefault="000B41E4" w:rsidP="000B41E4">
      <w:pPr>
        <w:pStyle w:val="Naslov2"/>
      </w:pPr>
      <w:r>
        <w:t>Seznanitev z evalvacijo o uresničevanju znanstvenoraziskovalne in inovacijske strategije</w:t>
      </w:r>
    </w:p>
    <w:p w14:paraId="1320D013" w14:textId="78DD58E2" w:rsidR="000B41E4" w:rsidRDefault="000B41E4" w:rsidP="000B41E4">
      <w:r>
        <w:t>Vlada se je seznanila s končnim poročilom »Evalvacija uresničevanja Resolucije o znanstvenoraziskovalni in inovacijski strategiji Slovenije 2030« za obdobje 2022–2024</w:t>
      </w:r>
      <w:proofErr w:type="gramStart"/>
      <w:r>
        <w:t>,</w:t>
      </w:r>
      <w:proofErr w:type="gramEnd"/>
      <w:r>
        <w:t xml:space="preserve"> in ga poslala v seznanitev Državnemu zboru Republike Slovenije.</w:t>
      </w:r>
    </w:p>
    <w:p w14:paraId="65B8D865" w14:textId="77777777" w:rsidR="000B41E4" w:rsidRDefault="000B41E4" w:rsidP="000B41E4"/>
    <w:p w14:paraId="6CDB1A6D" w14:textId="5EA7C837" w:rsidR="000B41E4" w:rsidRDefault="000B41E4" w:rsidP="000B41E4">
      <w:r>
        <w:t xml:space="preserve">Ministrstvo za visoko šolstvo, znanost in inovacije skupaj z Ministrstvom za gospodarstvo, turizem in šport v okviru Načrta za okrevanje in odpornost izvaja projekt »Podpora razvoju skupnega sistema spremljanja in </w:t>
      </w:r>
      <w:proofErr w:type="gramStart"/>
      <w:r>
        <w:t>evalvirana</w:t>
      </w:r>
      <w:proofErr w:type="gramEnd"/>
      <w:r>
        <w:t xml:space="preserve"> na področju raziskav, razvoja in inovacij, ki ga financira Evropska unija. V okviru projekta je bila izvedena Evalvacija uresničevanja Resolucije o znanstvenoraziskovalni in inovacijski strategiji Slovenije 2030, ki sta jo izvedla Inštitut za ekonomska raziskovanja (IER) in soizvajalec Univerza v Ljubljani, Fakulteta za družbene vede (UL FDV). </w:t>
      </w:r>
    </w:p>
    <w:p w14:paraId="1B66DEE6" w14:textId="77777777" w:rsidR="000B41E4" w:rsidRDefault="000B41E4" w:rsidP="000B41E4"/>
    <w:p w14:paraId="2C91CA46" w14:textId="7F52828A" w:rsidR="000B41E4" w:rsidRDefault="000B41E4" w:rsidP="000B41E4">
      <w:r>
        <w:t xml:space="preserve">Evalvacija se je izvajala v obdobju od oktobra 2024 do novembra 2025 in zajema obdobje izvajanja Resolucije o </w:t>
      </w:r>
      <w:proofErr w:type="gramStart"/>
      <w:r>
        <w:t>znanstvenoraziskovalne</w:t>
      </w:r>
      <w:proofErr w:type="gramEnd"/>
      <w:r>
        <w:t xml:space="preserve"> in inovacijske strategije 2030 (ReZrIS30). Rezultat izvedene evalvacije je končno poročilo s presojo uspešnosti in učinkovitosti ter priporočila za izboljšanje izvajanja ReZrIS30 v prihodnje. </w:t>
      </w:r>
    </w:p>
    <w:p w14:paraId="2573A342" w14:textId="7009B0E0" w:rsidR="00CF4260" w:rsidRDefault="000B41E4" w:rsidP="000B41E4">
      <w:pPr>
        <w:pStyle w:val="Vir"/>
      </w:pPr>
      <w:r>
        <w:t>Vir: Ministrstvo za visoko šolstvo, znanost in inovacije</w:t>
      </w:r>
    </w:p>
    <w:p w14:paraId="19B770A6" w14:textId="1F76E227" w:rsidR="00EE36C0" w:rsidRDefault="00EE36C0" w:rsidP="00EE36C0">
      <w:pPr>
        <w:pStyle w:val="Naslov2"/>
      </w:pPr>
      <w:r>
        <w:t>Vlada sprejela mnenje o zahtevi Višjega sodišča v Mariboru za oceno ustavnosti 101. člena Zakona o izvršbi in zavarovanju (ZIZ)</w:t>
      </w:r>
    </w:p>
    <w:p w14:paraId="3A46023C" w14:textId="77777777" w:rsidR="00EE36C0" w:rsidRDefault="00EE36C0" w:rsidP="00EE36C0">
      <w:r>
        <w:t>Vlada Republike Slovenije je sprejela mnenje o zahtevi Višjega sodišča v Mariboru za oceno ustavnosti 101. člena Zakona o izvršbi in zavarovanju (ZIZ).</w:t>
      </w:r>
    </w:p>
    <w:p w14:paraId="2AD087AC" w14:textId="77777777" w:rsidR="00EE36C0" w:rsidRDefault="00EE36C0" w:rsidP="00EE36C0"/>
    <w:p w14:paraId="1CF19D17" w14:textId="77777777" w:rsidR="00EE36C0" w:rsidRDefault="00EE36C0" w:rsidP="00EE36C0">
      <w:r>
        <w:t>Višje sodišče v Mariboru je prekinilo pritožbeni postopek ter vložilo zahtevo za oceno ustavnosti 101. člena ZIZ, ki ureja prejemke, ki so izvzeti iz izvršbe na denarno terjatev. Predlagatelj meni, da se s tem, ko določba ne omogoča, da so iz izvršbe izvzeta tudi sredstva, ki jih dolžniku nakažejo ustanove, lahko posega v ustavno varovane pravice dolžnika.</w:t>
      </w:r>
    </w:p>
    <w:p w14:paraId="7C243965" w14:textId="77777777" w:rsidR="00EE36C0" w:rsidRDefault="00EE36C0" w:rsidP="00EE36C0"/>
    <w:p w14:paraId="14BAC0D2" w14:textId="77777777" w:rsidR="00EE36C0" w:rsidRDefault="00EE36C0" w:rsidP="00EE36C0">
      <w:r>
        <w:t xml:space="preserve">Vlada Republike Slovenije meni, da izvzetje prejemka, ki ni vnaprej določen s predvidenimi stalnimi </w:t>
      </w:r>
      <w:proofErr w:type="gramStart"/>
      <w:r>
        <w:t>kriteriji</w:t>
      </w:r>
      <w:proofErr w:type="gramEnd"/>
      <w:r>
        <w:t xml:space="preserve"> glede višine in kroga upravičencev, četudi je njegov zatrjevani namen zagotoviti preživitveni minimum posameznega upravičenca, ni primerno, dejstvo, da ZIZ takšnega prejemka ne določa med prejemki, ki so izvzeti iz izvršbe, pa ni neustavno. Vlada Republike Slovenije še </w:t>
      </w:r>
      <w:proofErr w:type="gramStart"/>
      <w:r>
        <w:t>izpostavlja</w:t>
      </w:r>
      <w:proofErr w:type="gramEnd"/>
      <w:r>
        <w:t xml:space="preserve">, da bi takšna ureditev predstavljala tudi neenako obravnavanje tako dolžnikov kot tudi upnikov, saj </w:t>
      </w:r>
      <w:r>
        <w:lastRenderedPageBreak/>
        <w:t>(zasebne) ustanove niso zavezane, da takšne prejemke izplačujejo vsem osebam, ki izpolnjujejo pogoje, ki jih same določijo.</w:t>
      </w:r>
    </w:p>
    <w:p w14:paraId="5B83E5C5" w14:textId="77777777" w:rsidR="00EE36C0" w:rsidRDefault="00EE36C0" w:rsidP="00EE36C0"/>
    <w:p w14:paraId="6E129A38" w14:textId="77777777" w:rsidR="00EE36C0" w:rsidRDefault="00EE36C0" w:rsidP="00EE36C0">
      <w:r>
        <w:t>Glede na navedeno Vlada Republike Slovenije meni, da zahteva za oceno ustavnosti ni utemeljena.</w:t>
      </w:r>
    </w:p>
    <w:p w14:paraId="35A792B8" w14:textId="5AB34683" w:rsidR="00CF4260" w:rsidRDefault="00EE36C0" w:rsidP="00EE36C0">
      <w:pPr>
        <w:pStyle w:val="Vir"/>
      </w:pPr>
      <w:r>
        <w:t>Vir: Ministrstvo za pravosodje</w:t>
      </w:r>
    </w:p>
    <w:p w14:paraId="6121157D" w14:textId="487CE58A" w:rsidR="008C34B8" w:rsidRDefault="008C34B8" w:rsidP="008C34B8">
      <w:pPr>
        <w:pStyle w:val="Naslov2"/>
      </w:pPr>
      <w:r>
        <w:t>Stališče RS k predlogu uredbe o carinah in kvotah za uvoz iz ZDA</w:t>
      </w:r>
    </w:p>
    <w:p w14:paraId="047D9502" w14:textId="77777777" w:rsidR="008C34B8" w:rsidRDefault="008C34B8" w:rsidP="008C34B8">
      <w:r>
        <w:t xml:space="preserve">Vlada je sprejela predlog stališča Republike Slovenije glede predloga evropske uredbe o prilagoditvi carin za uvoz nekaterega blaga s poreklom iz ZDA in odprtju tarifnih kvot za uvoz nekaterega blaga s poreklom iz ZDA. </w:t>
      </w:r>
    </w:p>
    <w:p w14:paraId="60CA0EEB" w14:textId="77777777" w:rsidR="008C34B8" w:rsidRDefault="008C34B8" w:rsidP="008C34B8"/>
    <w:p w14:paraId="42AB391E" w14:textId="77777777" w:rsidR="008C34B8" w:rsidRDefault="008C34B8" w:rsidP="008C34B8">
      <w:proofErr w:type="gramStart"/>
      <w:r>
        <w:t>Transatlantsko</w:t>
      </w:r>
      <w:proofErr w:type="gramEnd"/>
      <w:r>
        <w:t xml:space="preserve"> partnerstvo je strateškega pomena s političnega, varnostnega in gospodarskega vidika. Slovenija se v luči implementacije politične zaveze predsednice Evropske komisije Ursule von der Leyen, 27. julija 2025 in Skupne izjave EU – ZDA z dne 21. avgusta 2025 načeloma strinja s predlogom uredbe, ki predvideva ukinitev carinskih dajatev na uvoz industrijskih in manj občutljivih kmetijskih izdelkov iz ZDA ter znižanje oziroma ukinitev carinskih dajatev v okviru tarifnih kvot na uvoz občutljivih kmetijskih izdelkov.</w:t>
      </w:r>
    </w:p>
    <w:p w14:paraId="3DBB1561" w14:textId="77777777" w:rsidR="008C34B8" w:rsidRDefault="008C34B8" w:rsidP="008C34B8"/>
    <w:p w14:paraId="4D301024" w14:textId="77777777" w:rsidR="008C34B8" w:rsidRDefault="008C34B8" w:rsidP="008C34B8">
      <w:r>
        <w:t>Slovenija ob tem podpira tudi vzpostavitev zaščitnega mehanizma za zaščito domače industrije EU v primeru povečanja uvoza blaga iz ZDA v obliki začasne ukinitve trgovinskih koncesij te uredbe.</w:t>
      </w:r>
    </w:p>
    <w:p w14:paraId="47E8101E" w14:textId="77777777" w:rsidR="008C34B8" w:rsidRDefault="008C34B8" w:rsidP="008C34B8"/>
    <w:p w14:paraId="2CBF1CFA" w14:textId="77777777" w:rsidR="008C34B8" w:rsidRDefault="008C34B8" w:rsidP="008C34B8">
      <w:r>
        <w:t>Prav tako pa poudarja, da morajo vsi uvoženi proizvodi s poreklom iz ZDA na skupni trg EU izpolnjevati sanitarne in fitosanitarne standarde EU za kmetijske in živilske proizvode in opozarja na izpad proračunskih sredstev EU iz naslova pobranih carin ter poudarja, da morajo gospodarske koristi predloga uredbe presegati izgubo za proračun EU.</w:t>
      </w:r>
    </w:p>
    <w:p w14:paraId="3AC760A3" w14:textId="77777777" w:rsidR="008C34B8" w:rsidRDefault="008C34B8" w:rsidP="008C34B8"/>
    <w:p w14:paraId="0DD32170" w14:textId="77777777" w:rsidR="008C34B8" w:rsidRDefault="008C34B8" w:rsidP="008C34B8">
      <w:r>
        <w:t xml:space="preserve">ZDA so se v skupni izjavi zavezale glede 15 odstotnih carinskih dajatev na uvoz izdelkov iz EU. Ta zaveza se izvaja od 7. avgusta 2025 na podlagi izvršnega odloka ZDA z dne 31. julija 2025. Za nekatere izdelke iz EU, kot so redki naravni viri (vključno s pluto), zrakoplovi in deli zrakoplovov, generična zdravila ter njihove sestavine pa ostajajo v veljavi dosedanje tako imenovane carinske stopnje za države z največjimi ugodnostmi (angleško Most </w:t>
      </w:r>
      <w:proofErr w:type="spellStart"/>
      <w:r>
        <w:t>Favoured</w:t>
      </w:r>
      <w:proofErr w:type="spellEnd"/>
      <w:r>
        <w:t xml:space="preserve"> Nation - MFN). EU in ZDA bodo preučile, da bi se na ta seznam izdelkov vključili tudi drugi sektorji in izdelki, ki so pomembni za njuni gospodarstvi in vrednostne verige. </w:t>
      </w:r>
    </w:p>
    <w:p w14:paraId="77B67F74" w14:textId="77777777" w:rsidR="008C34B8" w:rsidRDefault="008C34B8" w:rsidP="008C34B8"/>
    <w:p w14:paraId="2F448711" w14:textId="77777777" w:rsidR="008C34B8" w:rsidRDefault="008C34B8" w:rsidP="008C34B8">
      <w:r>
        <w:t xml:space="preserve">EU je v okviru skupne izjave izrazila namero, da odpravi carinske dajatve na uvoz industrijskih izdelkov s poreklom iz ZDA in zagotovi preferencialni dostop do trga za nekatere kmetijske izdelke. Predlagana uredba pomeni implementacijo zaveze iz skupne izjave. </w:t>
      </w:r>
    </w:p>
    <w:p w14:paraId="7AA09EE9" w14:textId="77777777" w:rsidR="008C34B8" w:rsidRDefault="008C34B8" w:rsidP="008C34B8">
      <w:pPr>
        <w:pStyle w:val="Vir"/>
      </w:pPr>
      <w:r>
        <w:t>Vir: Ministrstvo za gospodarstvo, turizem in šport</w:t>
      </w:r>
    </w:p>
    <w:p w14:paraId="6C59E03D" w14:textId="48DE5CE1" w:rsidR="00142CB9" w:rsidRDefault="00142CB9" w:rsidP="00142CB9">
      <w:pPr>
        <w:pStyle w:val="Naslov2"/>
      </w:pPr>
      <w:r>
        <w:t>Vlada sprejela stališče Slovenije do predloga začasnega sklada za razogljičenje</w:t>
      </w:r>
    </w:p>
    <w:p w14:paraId="4688EB76" w14:textId="77777777" w:rsidR="00142CB9" w:rsidRDefault="00142CB9" w:rsidP="00142CB9">
      <w:r>
        <w:t xml:space="preserve">Vlada je sprejela stališče Republike Slovenije do predloga uredbe Evropskega parlamenta in Sveta o ustanovitvi začasnega sklada za razogljičenje. </w:t>
      </w:r>
    </w:p>
    <w:p w14:paraId="0DBDFB1E" w14:textId="77777777" w:rsidR="00142CB9" w:rsidRDefault="00142CB9" w:rsidP="00142CB9"/>
    <w:p w14:paraId="4C575AEE" w14:textId="77777777" w:rsidR="00142CB9" w:rsidRDefault="00142CB9" w:rsidP="00142CB9">
      <w:r>
        <w:t xml:space="preserve">Republika Slovenija se zaveda potreb po ohranjanju in krepitvi konkurenčnosti evropske industrije in gospodarstva. Zaveda se, da so potrebne dolgoročne rešitve, ki bodo zagotavljale ciljno usmerjeno finančno podporo energetsko intenzivnim panogam, ki so izpostavljene povečanemu tveganju selitve virov CO2. Zaveda se tudi, da je za take zahtevne naložbe za prehod na čisto energijo in na </w:t>
      </w:r>
      <w:proofErr w:type="gramStart"/>
      <w:r>
        <w:t>podnebno nevtralne proizvodne procese</w:t>
      </w:r>
      <w:proofErr w:type="gramEnd"/>
      <w:r>
        <w:t xml:space="preserve"> potrebna predvidljivost in stabilnost. </w:t>
      </w:r>
    </w:p>
    <w:p w14:paraId="4E483CAB" w14:textId="77777777" w:rsidR="00142CB9" w:rsidRDefault="00142CB9" w:rsidP="00142CB9"/>
    <w:p w14:paraId="3E72310A" w14:textId="39018FAD" w:rsidR="00142CB9" w:rsidRDefault="00142CB9" w:rsidP="00142CB9">
      <w:r>
        <w:t xml:space="preserve">Slovenija do predloga v predlagani obliki zavzema previden pristop, saj opozarja na nejasen spodbujevalni učinek ukrepa, dodatne administrativne obremenitve za države članice ter možne negativne posledice za financiranje izvajanja mehanizma CBAM. V nadaljnjih pogajanjih bo Slovenija zagovarjala rešitve, ki bodo učinkovito podprle razogljičenje industrije, ob tem pa ostale finančno vzdržne in administrativno izvedljive. </w:t>
      </w:r>
    </w:p>
    <w:p w14:paraId="3A380728" w14:textId="3DD01457" w:rsidR="00CF4260" w:rsidRDefault="00142CB9" w:rsidP="00142CB9">
      <w:pPr>
        <w:pStyle w:val="Vir"/>
      </w:pPr>
      <w:r>
        <w:t>Vir: Ministrstvo za okolje, podnebje in energijo</w:t>
      </w:r>
    </w:p>
    <w:p w14:paraId="452AA219" w14:textId="4F0C3897" w:rsidR="00013859" w:rsidRDefault="00013859" w:rsidP="00013859">
      <w:pPr>
        <w:pStyle w:val="Naslov2"/>
      </w:pPr>
      <w:r>
        <w:t>Vlada podprla prenovo pravil Evropske unije na področju gensko spremenjenih mikroorganizmov in obdelave organov</w:t>
      </w:r>
    </w:p>
    <w:p w14:paraId="0D30D588" w14:textId="77777777" w:rsidR="00013859" w:rsidRDefault="00013859" w:rsidP="00013859">
      <w:r>
        <w:t xml:space="preserve">Vlada Republike Slovenija je podprla </w:t>
      </w:r>
      <w:proofErr w:type="gramStart"/>
      <w:r>
        <w:t>direktive</w:t>
      </w:r>
      <w:proofErr w:type="gramEnd"/>
      <w:r>
        <w:t xml:space="preserve"> Evropskega parlamenta in Sveta o spremembi direktiv v zvezi z dajanjem gensko spremenjenih mikroorganizmov v promet in obdelavo organov. </w:t>
      </w:r>
    </w:p>
    <w:p w14:paraId="257C6CE4" w14:textId="77777777" w:rsidR="00013859" w:rsidRDefault="00013859" w:rsidP="00013859"/>
    <w:p w14:paraId="316A404B" w14:textId="77777777" w:rsidR="00013859" w:rsidRDefault="00013859" w:rsidP="00013859">
      <w:r>
        <w:t>Predlog je del svežnja o biotehnologiji in prinaša posodobitve zakonodaje na področju gensko spremenjenih mikroorganizmov ter obdelave človeških organov. Slovenija podpira prenovo obstoječega zakonodajnega okvira, pri čemer poudarja, da ta ne sme voditi v zniževanje že doseženih standardov biološke varnosti in mora še naprej zagotavljati najvišjo raven kakovosti ter varnosti organov.</w:t>
      </w:r>
    </w:p>
    <w:p w14:paraId="54315270" w14:textId="77777777" w:rsidR="00013859" w:rsidRDefault="00013859" w:rsidP="00013859"/>
    <w:p w14:paraId="033480B0" w14:textId="77777777" w:rsidR="00013859" w:rsidRDefault="00013859" w:rsidP="00013859">
      <w:r>
        <w:t xml:space="preserve">Na področju gensko spremenjenih mikroorganizmov Slovenija podpira cilje posodobitve zakonodaje, vendar opozarja na potrebo po dodatni vsebinski in pravni natančnosti. Vlada Republike Slovenije se bo še naprej zavzemala za jasnejšo opredelitev meril za oceno tveganja, ustreznejšo ureditev trajanja dovoljenj, učinkovitejši nadzor po dajanju proizvodov na trg, večjo </w:t>
      </w:r>
      <w:proofErr w:type="gramStart"/>
      <w:r>
        <w:t>transparentnost</w:t>
      </w:r>
      <w:proofErr w:type="gramEnd"/>
      <w:r>
        <w:t xml:space="preserve"> ter večjo vlogo držav članic pri odločanju o varnosti novih biotehnoloških proizvodov.</w:t>
      </w:r>
    </w:p>
    <w:p w14:paraId="103985EE" w14:textId="77777777" w:rsidR="00013859" w:rsidRDefault="00013859" w:rsidP="00013859"/>
    <w:p w14:paraId="09D3B277" w14:textId="77777777" w:rsidR="00013859" w:rsidRDefault="00013859" w:rsidP="00013859">
      <w:r>
        <w:t>Glede sprememb na področju obdelave organov Slovenija izraža načelno podporo predlaganim rešitvam, ob poudarku na pravni varnosti, usklajenosti z drugo zakonodajo Evropske unije ter zagotavljanju visoke ravni kakovosti in varnosti. Ob tem poudarja, da novi postopki ne smejo povzročati nesorazmernih administrativnih obremenitev ali ovirati pravočasne izvedbe presaditev.</w:t>
      </w:r>
    </w:p>
    <w:p w14:paraId="19722FC9" w14:textId="77777777" w:rsidR="00013859" w:rsidRDefault="00013859" w:rsidP="00013859"/>
    <w:p w14:paraId="05748FFF" w14:textId="4CA00078" w:rsidR="00CF4260" w:rsidRDefault="00013859" w:rsidP="00013859">
      <w:r>
        <w:t>Republika Slovenija bo v nadaljnjih pogajanjih konstruktivno sodelovala pri iskanju rešitev, ki bodo podpirale razvoj biotehnologije in medicinske stroke ob hkratnem zagotavljanju visoke ravni varovanja zdravja ljudi in okolja.</w:t>
      </w:r>
    </w:p>
    <w:p w14:paraId="1014A259" w14:textId="77777777" w:rsidR="00013859" w:rsidRDefault="00013859" w:rsidP="00013859">
      <w:pPr>
        <w:pStyle w:val="Vir"/>
      </w:pPr>
      <w:r>
        <w:t>Vir: Ministrstvo za zdravje</w:t>
      </w:r>
    </w:p>
    <w:p w14:paraId="4788AAD1" w14:textId="6F6CE0D1" w:rsidR="00013859" w:rsidRDefault="00013859" w:rsidP="00013859">
      <w:pPr>
        <w:pStyle w:val="Naslov2"/>
      </w:pPr>
      <w:r>
        <w:t>Vlada podprla posodobitev evropskega okvira za nadzor predhodnih sestavin za prepovedane droge</w:t>
      </w:r>
    </w:p>
    <w:p w14:paraId="7163E779" w14:textId="77777777" w:rsidR="00013859" w:rsidRDefault="00013859" w:rsidP="00013859">
      <w:r>
        <w:t>Vlada Republike Slovenije je podprla posodobitev novega evropskega pravnega okvira za nadzor predhodnih sestavin za prepovedane droge, saj ta krepi preprečevanje zlorab teh snovi, hkrati pa poenostavlja njihovo zakonito uporabo v industriji, farmaciji in drugih dejavnostih.</w:t>
      </w:r>
    </w:p>
    <w:p w14:paraId="20B3F6AF" w14:textId="77777777" w:rsidR="00013859" w:rsidRDefault="00013859" w:rsidP="00013859"/>
    <w:p w14:paraId="330B5671" w14:textId="77777777" w:rsidR="00013859" w:rsidRDefault="00013859" w:rsidP="00013859">
      <w:r>
        <w:t xml:space="preserve">Predhodne sestavine za prepovedane droge so kemikalije z zakonito uporabo, ki pa se lahko zlorabijo za nezakonito proizvodnjo prepovedanih drog. Zaradi pojava novih, tako imenovanih </w:t>
      </w:r>
      <w:proofErr w:type="gramStart"/>
      <w:r>
        <w:t>dizajnerskih</w:t>
      </w:r>
      <w:proofErr w:type="gramEnd"/>
      <w:r>
        <w:t xml:space="preserve"> drog, obstoječi sistem nadzora na ravni Evropske unije ni več dovolj učinkovit, zato je njegova posodobitev nujna.</w:t>
      </w:r>
    </w:p>
    <w:p w14:paraId="54FFEFBC" w14:textId="77777777" w:rsidR="00013859" w:rsidRDefault="00013859" w:rsidP="00013859"/>
    <w:p w14:paraId="799CF275" w14:textId="77777777" w:rsidR="00013859" w:rsidRDefault="00013859" w:rsidP="00013859">
      <w:r>
        <w:t xml:space="preserve">Posodobitev združuje dve obstoječi uredbi v enoten pravni okvir, uvaja novo kategorijo </w:t>
      </w:r>
      <w:proofErr w:type="gramStart"/>
      <w:r>
        <w:t>dizajnerskih</w:t>
      </w:r>
      <w:proofErr w:type="gramEnd"/>
      <w:r>
        <w:t xml:space="preserve"> predhodnih sestavin, krepi nadzor, tudi nad spletno prodajo, ter predvideva digitalizacijo postopkov za </w:t>
      </w:r>
      <w:r>
        <w:lastRenderedPageBreak/>
        <w:t>izdajo dovoljenj in licenc. Pomembna novost je tudi opredeljevanje teh snovi z generično kemijsko strukturo, kar bo omogočilo hitrejši in celovitejši odziv na pojav novih snovi na trgu.</w:t>
      </w:r>
    </w:p>
    <w:p w14:paraId="150E79AD" w14:textId="77777777" w:rsidR="00013859" w:rsidRDefault="00013859" w:rsidP="00013859"/>
    <w:p w14:paraId="675EAF65" w14:textId="77777777" w:rsidR="00013859" w:rsidRDefault="00013859" w:rsidP="00013859">
      <w:r>
        <w:t xml:space="preserve">Slovenija podpira okrepljen nadzor nad </w:t>
      </w:r>
      <w:proofErr w:type="gramStart"/>
      <w:r>
        <w:t>dizajnerskimi</w:t>
      </w:r>
      <w:proofErr w:type="gramEnd"/>
      <w:r>
        <w:t xml:space="preserve"> drogami in širitev nadzora na njihove predhodne sestavine. Ob tem bo digitalizacija postopkov povečala učinkovitost, preglednost in sodelovanje med pristojnimi deležniki ter zmanjšala administrativne stroške.</w:t>
      </w:r>
    </w:p>
    <w:p w14:paraId="367BB5D2" w14:textId="77777777" w:rsidR="00013859" w:rsidRDefault="00013859" w:rsidP="00013859"/>
    <w:p w14:paraId="0FC5B158" w14:textId="42FB03FE" w:rsidR="00CF4260" w:rsidRDefault="00013859" w:rsidP="00013859">
      <w:r>
        <w:t xml:space="preserve">Ob tem Republika Slovenija poudarja, da morajo biti predlagane rešitve </w:t>
      </w:r>
      <w:proofErr w:type="gramStart"/>
      <w:r>
        <w:t>enostavne</w:t>
      </w:r>
      <w:proofErr w:type="gramEnd"/>
      <w:r>
        <w:t>, učinkovite in sorazmerne ter ne smejo povzročati nepotrebnih bremen za zakonite uporabnike. V nadaljnjih pogajanjih se bo zavzemala za pragmatične rešitve, ki bodo omogočale učinkovit nadzor ob hkratnem omejevanju obremenitev za gospodarstvo in jasnih pravilih za izvajanje v praksi.</w:t>
      </w:r>
    </w:p>
    <w:p w14:paraId="42B10D4E" w14:textId="244FDBC8" w:rsidR="00013859" w:rsidRDefault="00013859" w:rsidP="00013859">
      <w:pPr>
        <w:pStyle w:val="Vir"/>
      </w:pPr>
      <w:r w:rsidRPr="00013859">
        <w:t>Vir: Ministrstvo za zdravje</w:t>
      </w:r>
    </w:p>
    <w:p w14:paraId="57895F04" w14:textId="186D16F1" w:rsidR="007E7C51" w:rsidRDefault="007E7C51" w:rsidP="007E7C51">
      <w:pPr>
        <w:pStyle w:val="Naslov2"/>
      </w:pPr>
      <w:r>
        <w:t xml:space="preserve">Vlada imenovala družbo Plinovodi za pridruženega partnerja v </w:t>
      </w:r>
      <w:proofErr w:type="gramStart"/>
      <w:r>
        <w:t>Evropsko</w:t>
      </w:r>
      <w:proofErr w:type="gramEnd"/>
      <w:r>
        <w:t xml:space="preserve"> mrežo operaterjev vodikovih omrežij</w:t>
      </w:r>
    </w:p>
    <w:p w14:paraId="75C364A3" w14:textId="1EF116B4" w:rsidR="007E7C51" w:rsidRDefault="007E7C51" w:rsidP="007E7C51">
      <w:r>
        <w:t xml:space="preserve">Vlada je sprejela sklep, da družbo Plinovodi d. o. o. imenuje za pridruženega partnerja v </w:t>
      </w:r>
      <w:proofErr w:type="gramStart"/>
      <w:r>
        <w:t>Evropsko</w:t>
      </w:r>
      <w:proofErr w:type="gramEnd"/>
      <w:r>
        <w:t xml:space="preserve"> mrežo operaterjev vodikovih omrežij (ENNOH). </w:t>
      </w:r>
    </w:p>
    <w:p w14:paraId="63F8C5C3" w14:textId="77777777" w:rsidR="007E7C51" w:rsidRDefault="007E7C51" w:rsidP="007E7C51"/>
    <w:p w14:paraId="59C7B01E" w14:textId="77777777" w:rsidR="007E7C51" w:rsidRDefault="007E7C51" w:rsidP="007E7C51">
      <w:r>
        <w:t>Ministrstvo za okolje, podnebje in energijo bo o sklepu vlade obvestilo ENNOH, Evropsko komisijo in Agencijo Evropske unije za sodelovanje energetskih regulatorjev o imenovanju.</w:t>
      </w:r>
    </w:p>
    <w:p w14:paraId="5CBC466A" w14:textId="77777777" w:rsidR="007E7C51" w:rsidRDefault="007E7C51" w:rsidP="007E7C51"/>
    <w:p w14:paraId="3DE63057" w14:textId="77777777" w:rsidR="007E7C51" w:rsidRDefault="007E7C51" w:rsidP="007E7C51">
      <w:r>
        <w:t xml:space="preserve">Gre za pomemben korak pri vključevanju Slovenije v evropsko načrtovanje razvoja vodikove infrastrukture ter pri zastopanju nacionalnih interesov pri oblikovanju prihodnjega notranjega trga vodika v Evropski uniji. </w:t>
      </w:r>
    </w:p>
    <w:p w14:paraId="42D95FA8" w14:textId="77777777" w:rsidR="007E7C51" w:rsidRDefault="007E7C51" w:rsidP="007E7C51"/>
    <w:p w14:paraId="28379902" w14:textId="77777777" w:rsidR="007E7C51" w:rsidRDefault="007E7C51" w:rsidP="007E7C51">
      <w:r>
        <w:t xml:space="preserve">Uredba (EU) 2024/1789 določa, da lahko država članica, ki še ni imenovala operaterja vodikovega prenosnega omrežja, vendar v okviru nacionalnih strateških dokumentov načrtuje razvoj vodikove infrastrukture, imenuje subjekt kot pridruženega partnerja v ENNOH. Slovenija pogoje za to izpolnjuje, saj v Celovitem nacionalnem energetskem in podnebnem načrtu predvideva razvoj vodikovega prenosnega omrežja. </w:t>
      </w:r>
    </w:p>
    <w:p w14:paraId="77F5A78F" w14:textId="77777777" w:rsidR="007E7C51" w:rsidRDefault="007E7C51" w:rsidP="007E7C51"/>
    <w:p w14:paraId="2629FDE1" w14:textId="77777777" w:rsidR="007E7C51" w:rsidRDefault="007E7C51" w:rsidP="007E7C51">
      <w:r>
        <w:t xml:space="preserve">Ker Slovenija še ni prenesla </w:t>
      </w:r>
      <w:proofErr w:type="gramStart"/>
      <w:r>
        <w:t>Direktive</w:t>
      </w:r>
      <w:proofErr w:type="gramEnd"/>
      <w:r>
        <w:t xml:space="preserve"> (EU) 2024/1788 v svoj pravni red, postopek certificiranja operaterja vodikovega prenosnega omrežja še ni mogoč. Imenovanje pridruženega partnerja zato omogoča, da Slovenija že v prehodnem obdobju aktivno sodeluje pri pripravi evropskih pravil, tehničnih usmeritev in razvoju čezmejnega vodikovega omrežja. </w:t>
      </w:r>
    </w:p>
    <w:p w14:paraId="33FD6DFE" w14:textId="77777777" w:rsidR="007E7C51" w:rsidRDefault="007E7C51" w:rsidP="007E7C51"/>
    <w:p w14:paraId="1C71672B" w14:textId="6F6AF7B3" w:rsidR="007E7C51" w:rsidRDefault="007E7C51" w:rsidP="007E7C51">
      <w:r>
        <w:t xml:space="preserve">Družba Plinovodi d. o. o. že od začetka sodeluje v procesu ustanavljanja ENNOH ter v njegovih delovnih skupinah in organih. Zaradi strokovnega znanja in dosedanjega sodelovanja je ustrezna izbira za zastopanje Slovenije do imenovanja operaterja vodikovega prenosnega omrežja. </w:t>
      </w:r>
    </w:p>
    <w:p w14:paraId="303635EC" w14:textId="458F9172" w:rsidR="00CF4260" w:rsidRDefault="007E7C51" w:rsidP="007E7C51">
      <w:pPr>
        <w:pStyle w:val="Vir"/>
      </w:pPr>
      <w:r>
        <w:t>Vir: Ministrstvo za okolje, podnebje in energijo</w:t>
      </w:r>
    </w:p>
    <w:p w14:paraId="703240BC" w14:textId="77777777" w:rsidR="0033799C" w:rsidRDefault="0033799C" w:rsidP="0033799C">
      <w:pPr>
        <w:pStyle w:val="Naslov2"/>
      </w:pPr>
      <w:r>
        <w:t>Vlada izdala Uredbo o programih storitev obveznega zdravstvenega zavarovanja, zmogljivostih, potrebnih za njegovo izvajanje, in obsegu sredstev za leto 2026</w:t>
      </w:r>
    </w:p>
    <w:p w14:paraId="03E737FB" w14:textId="77777777" w:rsidR="0033799C" w:rsidRDefault="0033799C" w:rsidP="0033799C">
      <w:r>
        <w:t>Uredba o programih storitev obveznega zdravstvenega zavarovanja, zmogljivostih, potrebnih za njegovo izvajanje, in obsegu sredstev vsako leto določa širitve programov na določenih področjih, opredeljuje način financiranja teh programov in vključuje obveznosti izvajalcev zdravstvene dejavnosti ter Zavoda za zdravstveno zavarovanje Slovenije v zvezi z izvajanjem storitev, ki so plačane iz sredstev obveznega zdravstvenega zavarovanja.</w:t>
      </w:r>
    </w:p>
    <w:p w14:paraId="585B4EE1" w14:textId="77777777" w:rsidR="0033799C" w:rsidRDefault="0033799C" w:rsidP="0033799C"/>
    <w:p w14:paraId="41EDFE81" w14:textId="77777777" w:rsidR="0033799C" w:rsidRDefault="0033799C" w:rsidP="0033799C">
      <w:r>
        <w:lastRenderedPageBreak/>
        <w:t xml:space="preserve">Uredba za leto 2026 celovito ureja načrtovanje, vrednotenje, financiranje in izvajanje programov obveznega zdravstvenega zavarovanja ter razmerja med izvajalci zdravstvene dejavnosti in ZZZS. </w:t>
      </w:r>
    </w:p>
    <w:p w14:paraId="624982DD" w14:textId="77777777" w:rsidR="0033799C" w:rsidRDefault="0033799C" w:rsidP="0033799C"/>
    <w:p w14:paraId="392E369F" w14:textId="77777777" w:rsidR="0033799C" w:rsidRDefault="0033799C" w:rsidP="0033799C">
      <w:r>
        <w:t xml:space="preserve">Ključni cilj uredbe je izboljšati dostopnost do zdravstvenih storitev in zagotoviti bolj realno vrednotenje dela izvajalcev. Zato uvaja ciljno usmerjene izboljšave na področjih, kjer so potrebe največje. </w:t>
      </w:r>
    </w:p>
    <w:p w14:paraId="3CF23F8A" w14:textId="77777777" w:rsidR="0033799C" w:rsidRDefault="0033799C" w:rsidP="0033799C"/>
    <w:p w14:paraId="347C5971" w14:textId="77777777" w:rsidR="0033799C" w:rsidRDefault="0033799C" w:rsidP="0033799C">
      <w:r>
        <w:t xml:space="preserve">Uredba za leto 2026 izboljšuje financiranje več programov, med drugim paliativne oskrbe, kjer se nadgrajuje delovanje mobilnih </w:t>
      </w:r>
      <w:proofErr w:type="gramStart"/>
      <w:r>
        <w:t>timov</w:t>
      </w:r>
      <w:proofErr w:type="gramEnd"/>
      <w:r>
        <w:t xml:space="preserve"> za odrasle in oskrba otrok, presejalnih programov ZORA in SVIT, programa ZDAJ za otroke, mladostnike in študente, hkrati pa krepi področje duševnega zdravja in zgodnje obravnave otrok. </w:t>
      </w:r>
    </w:p>
    <w:p w14:paraId="50894D91" w14:textId="77777777" w:rsidR="0033799C" w:rsidRDefault="0033799C" w:rsidP="0033799C"/>
    <w:p w14:paraId="21800265" w14:textId="7F829B35" w:rsidR="0033799C" w:rsidRDefault="0033799C" w:rsidP="0033799C">
      <w:r>
        <w:t xml:space="preserve">Pomemben del uredbe predstavljajo tudi širitve programov. Povečuje se število </w:t>
      </w:r>
      <w:proofErr w:type="gramStart"/>
      <w:r>
        <w:t>timov</w:t>
      </w:r>
      <w:proofErr w:type="gramEnd"/>
      <w:r>
        <w:t xml:space="preserve"> v družinski medicini, pediatriji in ginekologiji, dodatne kapacitete se zagotavljajo tudi v nujni medicinski pomoči in centrih za duševno zdravje. Na </w:t>
      </w:r>
      <w:proofErr w:type="gramStart"/>
      <w:r>
        <w:t>sekundarni</w:t>
      </w:r>
      <w:proofErr w:type="gramEnd"/>
      <w:r>
        <w:t xml:space="preserve"> ravni se širijo zmogljivosti pri programih, za katere je Ministrstvo za zdravje zagotovilo diagnostično opremo ali prostore, vključno z magnetno resonanco, neakutno bolnišnično obravnavo, angiografijo in robotskimi posegi.</w:t>
      </w:r>
    </w:p>
    <w:p w14:paraId="28A1AC59" w14:textId="77777777" w:rsidR="0033799C" w:rsidRDefault="0033799C" w:rsidP="0033799C"/>
    <w:p w14:paraId="46E894F6" w14:textId="3E71A3B2" w:rsidR="0033799C" w:rsidRDefault="0033799C" w:rsidP="0033799C">
      <w:r>
        <w:t xml:space="preserve">Na novo se uvaja financiranje klinične prehrane kot samostojne specialistične dejavnosti, z jasno opredeljenim naborom storitev in cenami. Prav tako se uvaja nadzorovana zdravstvena obravnava v varovanih oddelkih socialnovarstvenih zavodov za </w:t>
      </w:r>
      <w:proofErr w:type="gramStart"/>
      <w:r>
        <w:t>paciente</w:t>
      </w:r>
      <w:proofErr w:type="gramEnd"/>
      <w:r>
        <w:t xml:space="preserve">, ki ne potrebujejo več hospitalizacije, vendar še vedno potrebujejo strokovni nadzor. </w:t>
      </w:r>
    </w:p>
    <w:p w14:paraId="68FCDB32" w14:textId="77777777" w:rsidR="0033799C" w:rsidRDefault="0033799C" w:rsidP="0033799C"/>
    <w:p w14:paraId="63A78B04" w14:textId="5D5D8D26" w:rsidR="0033799C" w:rsidRDefault="0033799C" w:rsidP="0033799C">
      <w:r>
        <w:t xml:space="preserve">Uredba uvaja tudi spremembe pri plačevanju prvih pregledov v specialistični dejavnosti. Dodatno nagrajuje izvajalce, ki presegajo </w:t>
      </w:r>
      <w:proofErr w:type="gramStart"/>
      <w:r>
        <w:t>plan</w:t>
      </w:r>
      <w:proofErr w:type="gramEnd"/>
      <w:r>
        <w:t xml:space="preserve"> prvih pregledov.</w:t>
      </w:r>
    </w:p>
    <w:p w14:paraId="503A0B38" w14:textId="2D8CF6A4" w:rsidR="00AC4282" w:rsidRDefault="0033799C" w:rsidP="0033799C">
      <w:pPr>
        <w:pStyle w:val="Vir"/>
      </w:pPr>
      <w:r>
        <w:t>Vir: Ministrstvo za zdravje</w:t>
      </w:r>
    </w:p>
    <w:p w14:paraId="5B57DB86" w14:textId="1390FF9F" w:rsidR="00CE5F24" w:rsidRDefault="00CE5F24" w:rsidP="00CE5F24">
      <w:pPr>
        <w:pStyle w:val="Naslov2"/>
      </w:pPr>
      <w:r>
        <w:t xml:space="preserve">Soglasje k pobudi Mestne občine Novo mesto za načrtovanje v območju DPN za avtocesto na odseku Hrastje–Lešnica </w:t>
      </w:r>
    </w:p>
    <w:p w14:paraId="54F53364" w14:textId="77777777" w:rsidR="00CE5F24" w:rsidRDefault="00CE5F24" w:rsidP="00CE5F24">
      <w:r>
        <w:t>Vlada Republike Slovenije je izdala Mestni občini Novo mesto soglasje za pripravo občinskega podrobnega prostorskega načrta v območju državnega prostorskega načrta, sprejetega z Uredbo o lokacijskem načrtu za avtocesto na odseku Hrastje–Lešnica. Mestna občina Novo mesto izdeluje OPPN za prostorsko ureditev skupnega državnega in lokalnega pomena za polnilni park visoke moči v Novem mestu. Z načrtovanjem z OPPN občina v delih posega v območje veljavnega državnega prostorskega načrta za avtocesto na odseku Hrastje–Lešnica, za kar mora v skladu z veljavno zakonodajo pridobiti soglasje vlade.</w:t>
      </w:r>
    </w:p>
    <w:p w14:paraId="5DC15F0A" w14:textId="77777777" w:rsidR="00CE5F24" w:rsidRDefault="00CE5F24" w:rsidP="00CE5F24"/>
    <w:p w14:paraId="5E67E90F" w14:textId="77777777" w:rsidR="00CE5F24" w:rsidRDefault="00CE5F24" w:rsidP="00CE5F24">
      <w:r>
        <w:t xml:space="preserve">Ministrstvo za naravne vire in prostor je preverilo skladnost pobude občine s prostorskimi ureditvami, ki so predmet državnega prostorskega načrta. Preverilo je zemljišča, ki jih je občina navedla v pobudi, z vidika potreb po poseganju nanje, po predhodni vsebinski uskladitvi občinske pobude z upravljavci. Vlada RS tako ugotavlja, da so predlagane prostorske ureditve lokalnega pomena v skladu s prostorskimi ureditvami, ki so predmet državnega prostorskega načrta, in s tem izpolnjeni pogoji za izdajo soglasja k pobudi Mestne občine Novo mesto. Soglasje vlade ne šteje za mnenje nosilca urejanja prostora k osnutku oziroma predlogu občinskega prostorskega izvedbenega akta </w:t>
      </w:r>
      <w:proofErr w:type="gramStart"/>
      <w:r>
        <w:t>niti</w:t>
      </w:r>
      <w:proofErr w:type="gramEnd"/>
      <w:r>
        <w:t xml:space="preserve"> za mnenje za sprejetje takega akta.</w:t>
      </w:r>
    </w:p>
    <w:p w14:paraId="2EAEDFD1" w14:textId="5364C9E7" w:rsidR="0061291B" w:rsidRDefault="00CE5F24" w:rsidP="00CE5F24">
      <w:pPr>
        <w:pStyle w:val="Vir"/>
      </w:pPr>
      <w:r>
        <w:t>Vir: Ministrstvo za naravne vire in prostor</w:t>
      </w:r>
    </w:p>
    <w:p w14:paraId="66818B17" w14:textId="3E2F7588" w:rsidR="001A37B9" w:rsidRDefault="001A37B9" w:rsidP="001A37B9">
      <w:pPr>
        <w:pStyle w:val="Naslov2"/>
      </w:pPr>
      <w:r>
        <w:t>Imenovanje članov inovacijskega sveta ARIS</w:t>
      </w:r>
    </w:p>
    <w:p w14:paraId="3471173A" w14:textId="5D30DAAF" w:rsidR="001A37B9" w:rsidRDefault="001A37B9" w:rsidP="001A37B9">
      <w:r>
        <w:t xml:space="preserve">Vlada je v inovacijski svet Javne agencije za znanstvenoraziskovalno in inovacijsko dejavnost Republike Slovenije (ARIS) na predlog Razvojnega Sveta Republike Slovenije imenovala: Andrejo </w:t>
      </w:r>
      <w:r>
        <w:lastRenderedPageBreak/>
        <w:t xml:space="preserve">Lampe, predstavnico razvojno inovacijskih partnerstev, mag. Roberta Blatnika, predstavnika podpornega okolja za inovacije, dr. Aleksandro Lobnik, predstavnico Inženirske akademije Slovenije, Marka Kirna, predstavnika SID banke, mag. Majo Tomanič Vidovič, predstavnico Slovenskega podjetniškega sklada, Željko </w:t>
      </w:r>
      <w:proofErr w:type="spellStart"/>
      <w:r>
        <w:t>Kelkedi</w:t>
      </w:r>
      <w:proofErr w:type="spellEnd"/>
      <w:r>
        <w:t>, predstavnico Gospodarske zbornice Slovenije in dr. Matjaža Finšgarja, predstavnika Rektorske konference Slovenije ter Koordinacije samostojnih raziskovalnih inštitutov Slovenije.</w:t>
      </w:r>
    </w:p>
    <w:p w14:paraId="2A228604" w14:textId="77777777" w:rsidR="001A37B9" w:rsidRDefault="001A37B9" w:rsidP="001A37B9"/>
    <w:p w14:paraId="7194DE1D" w14:textId="36425779" w:rsidR="001A37B9" w:rsidRDefault="001A37B9" w:rsidP="001A37B9">
      <w:r>
        <w:t>Dvoletni mandat sedanjemu inovacijskemu svetu ARIS poteče maja 2026. Ministrstvo za visoko šolstvo, znanost in inovacije je v skladu z Zakonom o znanstvenoraziskovalni in inovacijski dejavnosti na predlog Razvojnega sveta Republike Slovenije vladi v imenovanje predlagalo člane inovacijskega sveta v navedeni sestavi za naslednje mandatno obdobje dveh let, in sicer od dneva konstituiranja inovacijskega sveta dalje.</w:t>
      </w:r>
    </w:p>
    <w:p w14:paraId="2607602B" w14:textId="7E746844" w:rsidR="001A37B9" w:rsidRDefault="001A37B9" w:rsidP="001A37B9"/>
    <w:p w14:paraId="7719FAC3" w14:textId="74E8E789" w:rsidR="001A37B9" w:rsidRDefault="001A37B9" w:rsidP="001A37B9">
      <w:r>
        <w:t>Inovacijski svet ARIS je najvišje strokovno telo ARIS na področju inovacijske dejavnosti. Obravnava vprašanja s področja inovacijske dejavnosti in razvoja programov in ukrepov za spodbujanje tehnološkega razvoja in inovativnosti.</w:t>
      </w:r>
    </w:p>
    <w:p w14:paraId="0EA10FA8" w14:textId="3AB61156" w:rsidR="00CF4260" w:rsidRDefault="001A37B9" w:rsidP="001A37B9">
      <w:pPr>
        <w:pStyle w:val="Vir"/>
      </w:pPr>
      <w:r>
        <w:t>Vir: Ministrstvo za visoko šolstvo, znanost in inovacije</w:t>
      </w:r>
    </w:p>
    <w:p w14:paraId="7EB76F6A" w14:textId="0744F8EB" w:rsidR="000F6FB0" w:rsidRDefault="000F6FB0" w:rsidP="000F6FB0">
      <w:pPr>
        <w:pStyle w:val="Naslov2"/>
      </w:pPr>
      <w:r>
        <w:t>Vlada razrešila in imenovala člana sveta Zavoda za varstvo kulturne dediščine Slovenije</w:t>
      </w:r>
    </w:p>
    <w:p w14:paraId="78FABD7F" w14:textId="5D9480CB" w:rsidR="000F6FB0" w:rsidRDefault="000F6FB0" w:rsidP="000F6FB0">
      <w:r>
        <w:t>Vlada je na današnji seji v svetu Javnega zavoda Republike Slovenije za varstvo kulturne dediščine razrešila člana Marka Jakliča kot predstavnika ustanovitelja. Za preostanek mandata sveta zavoda, do 24. aprila 2029, je Vlada Republike Slovenije kot predstavnika ustanovitelja imenovala Boruta Vidmarja.</w:t>
      </w:r>
    </w:p>
    <w:p w14:paraId="02A5257E" w14:textId="77777777" w:rsidR="000F6FB0" w:rsidRDefault="000F6FB0" w:rsidP="000F6FB0"/>
    <w:p w14:paraId="4644B6A9" w14:textId="3770EF9D" w:rsidR="000F6FB0" w:rsidRDefault="000F6FB0" w:rsidP="000F6FB0">
      <w:r>
        <w:t>Do razrešitve je prišlo na podlagi odstopne izjave dosedanjega člana sveta. Ministrstvo za kulturo je za imenovanje novega člana izvedlo javni poziv za sodelovanje v svetu zavoda, namenjen strokovnjaku s področja finančnih zadev. Do roka sta prispeli dve popolni prijavi.</w:t>
      </w:r>
    </w:p>
    <w:p w14:paraId="41DF08F5" w14:textId="77777777" w:rsidR="000F6FB0" w:rsidRDefault="000F6FB0" w:rsidP="000F6FB0"/>
    <w:p w14:paraId="55203F3E" w14:textId="149C0E58" w:rsidR="000F6FB0" w:rsidRDefault="000F6FB0" w:rsidP="000F6FB0">
      <w:r>
        <w:t>Predlagani kandidat izpolnjuje pogoje za imenovanje ter ima dolgoletne izkušnje na področju financ, notranjega nadzora, vodenja organizacij in upravljanja javnih zavodov. S tem imenovanjem se zagotavlja nemoteno delovanje sveta zavoda ter krepi strokovna podpora njegovemu upravljanju na področju finančnih zadev.</w:t>
      </w:r>
    </w:p>
    <w:p w14:paraId="307FA90C" w14:textId="77777777" w:rsidR="000F6FB0" w:rsidRDefault="000F6FB0" w:rsidP="000F6FB0"/>
    <w:p w14:paraId="7D577353" w14:textId="3B4A04AA" w:rsidR="000F6FB0" w:rsidRDefault="000F6FB0" w:rsidP="000F6FB0">
      <w:r>
        <w:t xml:space="preserve">Borut Vidmar je univerzitetni diplomirani ekonomist z več kot dvaindvajsetimi leti delovnih izkušenj na področju financ, notranjega nadzora, vodenja organizacij in upravljanja javnih zavodov. Poklicno pot je začel v gospodarstvu in bančnem sektorju, kjer je deloval kot analitik kreditne sposobnosti, sodeloval pri </w:t>
      </w:r>
      <w:proofErr w:type="gramStart"/>
      <w:r>
        <w:t>kontrolingu</w:t>
      </w:r>
      <w:proofErr w:type="gramEnd"/>
      <w:r>
        <w:t xml:space="preserve"> in finančnem načrtovanju ter vodil odnose z večjimi domačimi in mednarodnimi strankami v bančnih in finančnih institucijah. Kasneje je opravljal tudi vodstvene naloge v </w:t>
      </w:r>
      <w:proofErr w:type="gramStart"/>
      <w:r>
        <w:t>borzno-posredniški</w:t>
      </w:r>
      <w:proofErr w:type="gramEnd"/>
      <w:r>
        <w:t xml:space="preserve"> hiši, kjer je bil odgovoren za organizacijo dela in vodenje oddelka spremljanja služb. Leta 2009 se je zaposlil na Uradu Republike Slovenije za nadzor proračuna, kjer je do leta 2024 kot notranji revizor in podsekretar izvajal notranje revizije porabe javnih sredstev, presojal zakonitost, smotrnost in učinkovitost poslovanja ter sodeloval pri izboljševanju sistemskih rešitev na področju javnofinančnega nadzora. Leta 2011 je pridobil certifikat notranjega revizorja v skladu z Zakonom o javnih financah.</w:t>
      </w:r>
    </w:p>
    <w:p w14:paraId="025FDA9A" w14:textId="03992D01" w:rsidR="000F6FB0" w:rsidRDefault="000F6FB0" w:rsidP="000F6FB0">
      <w:r>
        <w:t xml:space="preserve">Od leta 2024 opravlja </w:t>
      </w:r>
      <w:proofErr w:type="gramStart"/>
      <w:r>
        <w:t>funkcijo</w:t>
      </w:r>
      <w:proofErr w:type="gramEnd"/>
      <w:r>
        <w:t xml:space="preserve"> direktorja Doma starejših Hrastnik, kjer je odgovoren za celovito vodenje javnega zavoda, pripravo letnih in srednjeročnih finančnih načrtov, organizacijo poslovanja ter izvajanje postopkov javnega naročanja. Posebno pomemben del njegovega dela predstavlja vodenje zahtevnega </w:t>
      </w:r>
      <w:proofErr w:type="gramStart"/>
      <w:r>
        <w:t>investicijskega</w:t>
      </w:r>
      <w:proofErr w:type="gramEnd"/>
      <w:r>
        <w:t xml:space="preserve"> projekta izgradnje novega doma starejših ter sočasna finančna sanacija zavoda in optimizacija zadolževanja.</w:t>
      </w:r>
      <w:r w:rsidR="002F44FE">
        <w:t xml:space="preserve"> </w:t>
      </w:r>
      <w:r>
        <w:t xml:space="preserve">Poleg poklicnih izkušenj ima bogate organizacijske in vodstvene kompetence, pridobljene tudi z vodenjem različnih društev, zavodov, turistične dejavnosti ter EU projektov s področja izobraževanja in mladine. Aktivno uporablja angleški, srbohrvaški in italijanski </w:t>
      </w:r>
      <w:r>
        <w:lastRenderedPageBreak/>
        <w:t>jezik, dobro obvlada informacijska orodja ter izkazuje interes za učinkovito, pregledno in odgovorno upravljanje javnih organizacij, zlasti na področju financ in notranjega nadzora, kar predstavlja pomembno dodano vrednost za delovanje sveta Javnega zavoda Republike Slovenije za varstvo kulturne dediščine.</w:t>
      </w:r>
    </w:p>
    <w:p w14:paraId="3251E843" w14:textId="77777777" w:rsidR="000F6FB0" w:rsidRDefault="000F6FB0" w:rsidP="000F6FB0">
      <w:pPr>
        <w:pStyle w:val="Vir"/>
      </w:pPr>
      <w:r>
        <w:t>Vir: Ministrstvo za kulturo</w:t>
      </w:r>
    </w:p>
    <w:p w14:paraId="1D64FC6C" w14:textId="7362023F" w:rsidR="00604548" w:rsidRDefault="00604548" w:rsidP="00604548">
      <w:pPr>
        <w:pStyle w:val="Naslov2"/>
      </w:pPr>
      <w:r>
        <w:t xml:space="preserve">Vlada sprejela besedilo javnega poziva za predlaganje kandidatov za zastopnika </w:t>
      </w:r>
      <w:proofErr w:type="gramStart"/>
      <w:r>
        <w:t>pacientovih</w:t>
      </w:r>
      <w:proofErr w:type="gramEnd"/>
      <w:r>
        <w:t xml:space="preserve"> pravic na območju območnih enot NIJZ</w:t>
      </w:r>
    </w:p>
    <w:p w14:paraId="64686F36" w14:textId="77777777" w:rsidR="00604548" w:rsidRDefault="00604548" w:rsidP="00604548">
      <w:r>
        <w:t xml:space="preserve">Vlada Republike Slovenije je sprejela besedilo javnega poziva za predlaganje kandidatov za zastopnika </w:t>
      </w:r>
      <w:proofErr w:type="gramStart"/>
      <w:r>
        <w:t>pacientovih</w:t>
      </w:r>
      <w:proofErr w:type="gramEnd"/>
      <w:r>
        <w:t xml:space="preserve"> pravic na območju območnih enot Nacionalnega inštituta za javno zdravje Maribor, Murska Sobota in Kranj, ki bo objavljen v dnevnem časopisju in na spletni strani Ministrstva za zdravje.</w:t>
      </w:r>
    </w:p>
    <w:p w14:paraId="157F4AFA" w14:textId="77777777" w:rsidR="00604548" w:rsidRDefault="00604548" w:rsidP="00604548"/>
    <w:p w14:paraId="4F6C22EC" w14:textId="77777777" w:rsidR="00604548" w:rsidRDefault="00604548" w:rsidP="00604548">
      <w:r>
        <w:t xml:space="preserve">Za navedena območja se zdajšnjim zastopnikom </w:t>
      </w:r>
      <w:proofErr w:type="gramStart"/>
      <w:r>
        <w:t>pacientovih</w:t>
      </w:r>
      <w:proofErr w:type="gramEnd"/>
      <w:r>
        <w:t xml:space="preserve"> pravic mandati iztečejo letos, zato je treba objaviti javni poziv, na podlagi katerega se bo izmed predlaganih kandidatov izbralo in imenovalo nove zastopnike pacientovih pravic. V skladu z drugim odstavkom 89. člena Zakona o </w:t>
      </w:r>
      <w:proofErr w:type="gramStart"/>
      <w:r>
        <w:t>pacientovih</w:t>
      </w:r>
      <w:proofErr w:type="gramEnd"/>
      <w:r>
        <w:t xml:space="preserve"> pravicah je priprava javnega poziva v pristojnosti vlade. Postopek izbire opravi Ministrstvo za zdravje na podlagi objavljenega javnega poziva, predlagane kandidate pa potem imenuje Vlada Republike Slovenije. </w:t>
      </w:r>
    </w:p>
    <w:p w14:paraId="25AB82FF" w14:textId="0284AA3B" w:rsidR="00CF4260" w:rsidRDefault="00604548" w:rsidP="00604548">
      <w:pPr>
        <w:pStyle w:val="Vir"/>
      </w:pPr>
      <w:r>
        <w:t>Vir: Ministrstvo za zdravje</w:t>
      </w:r>
    </w:p>
    <w:p w14:paraId="2B7A3ED2" w14:textId="77777777" w:rsidR="0061291B" w:rsidRDefault="0061291B" w:rsidP="0061291B"/>
    <w:sectPr w:rsidR="0061291B"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155775"/>
    <w:multiLevelType w:val="hybridMultilevel"/>
    <w:tmpl w:val="97505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7E594D"/>
    <w:multiLevelType w:val="hybridMultilevel"/>
    <w:tmpl w:val="A6129D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1"/>
  </w:num>
  <w:num w:numId="2" w16cid:durableId="984821814">
    <w:abstractNumId w:val="7"/>
  </w:num>
  <w:num w:numId="3" w16cid:durableId="150218247">
    <w:abstractNumId w:val="0"/>
  </w:num>
  <w:num w:numId="4" w16cid:durableId="1026903286">
    <w:abstractNumId w:val="8"/>
  </w:num>
  <w:num w:numId="5" w16cid:durableId="231817878">
    <w:abstractNumId w:val="3"/>
  </w:num>
  <w:num w:numId="6" w16cid:durableId="2110814889">
    <w:abstractNumId w:val="12"/>
  </w:num>
  <w:num w:numId="7" w16cid:durableId="695153758">
    <w:abstractNumId w:val="4"/>
  </w:num>
  <w:num w:numId="8" w16cid:durableId="853298866">
    <w:abstractNumId w:val="6"/>
  </w:num>
  <w:num w:numId="9" w16cid:durableId="1789348953">
    <w:abstractNumId w:val="2"/>
  </w:num>
  <w:num w:numId="10" w16cid:durableId="1415012333">
    <w:abstractNumId w:val="9"/>
  </w:num>
  <w:num w:numId="11" w16cid:durableId="886650520">
    <w:abstractNumId w:val="5"/>
  </w:num>
  <w:num w:numId="12" w16cid:durableId="1852333199">
    <w:abstractNumId w:val="1"/>
  </w:num>
  <w:num w:numId="13" w16cid:durableId="1976711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13859"/>
    <w:rsid w:val="000318E4"/>
    <w:rsid w:val="00045B44"/>
    <w:rsid w:val="00050A56"/>
    <w:rsid w:val="000610D5"/>
    <w:rsid w:val="00076DF7"/>
    <w:rsid w:val="00085D04"/>
    <w:rsid w:val="00087069"/>
    <w:rsid w:val="00087A14"/>
    <w:rsid w:val="000928C7"/>
    <w:rsid w:val="00097B85"/>
    <w:rsid w:val="000B1D39"/>
    <w:rsid w:val="000B41E4"/>
    <w:rsid w:val="000D5520"/>
    <w:rsid w:val="000E0657"/>
    <w:rsid w:val="000F6FB0"/>
    <w:rsid w:val="00110932"/>
    <w:rsid w:val="00110B8F"/>
    <w:rsid w:val="00111A16"/>
    <w:rsid w:val="00113F85"/>
    <w:rsid w:val="0012724F"/>
    <w:rsid w:val="0013016C"/>
    <w:rsid w:val="0013151B"/>
    <w:rsid w:val="00142CB9"/>
    <w:rsid w:val="001602C9"/>
    <w:rsid w:val="00161638"/>
    <w:rsid w:val="0016530C"/>
    <w:rsid w:val="001673A5"/>
    <w:rsid w:val="00173343"/>
    <w:rsid w:val="001A37B9"/>
    <w:rsid w:val="001B01DD"/>
    <w:rsid w:val="001B42F9"/>
    <w:rsid w:val="001C3560"/>
    <w:rsid w:val="001C5F19"/>
    <w:rsid w:val="001D4277"/>
    <w:rsid w:val="001D69D6"/>
    <w:rsid w:val="001F51BC"/>
    <w:rsid w:val="001F7F63"/>
    <w:rsid w:val="00203CAB"/>
    <w:rsid w:val="00203F5F"/>
    <w:rsid w:val="00215140"/>
    <w:rsid w:val="00220CDD"/>
    <w:rsid w:val="0022511A"/>
    <w:rsid w:val="00231021"/>
    <w:rsid w:val="00236C0A"/>
    <w:rsid w:val="002501CE"/>
    <w:rsid w:val="002856E5"/>
    <w:rsid w:val="002C0766"/>
    <w:rsid w:val="002C36A6"/>
    <w:rsid w:val="002C765D"/>
    <w:rsid w:val="002D5B5D"/>
    <w:rsid w:val="002E3F96"/>
    <w:rsid w:val="002F3BE7"/>
    <w:rsid w:val="002F44FE"/>
    <w:rsid w:val="00302938"/>
    <w:rsid w:val="00310D07"/>
    <w:rsid w:val="0032428F"/>
    <w:rsid w:val="0033519E"/>
    <w:rsid w:val="0033799C"/>
    <w:rsid w:val="00346E22"/>
    <w:rsid w:val="00351E1E"/>
    <w:rsid w:val="00357DC0"/>
    <w:rsid w:val="00361255"/>
    <w:rsid w:val="00363A41"/>
    <w:rsid w:val="00381018"/>
    <w:rsid w:val="003847C8"/>
    <w:rsid w:val="00385208"/>
    <w:rsid w:val="003877EB"/>
    <w:rsid w:val="00390DF7"/>
    <w:rsid w:val="0039662C"/>
    <w:rsid w:val="003A3742"/>
    <w:rsid w:val="003D64D8"/>
    <w:rsid w:val="003E17B6"/>
    <w:rsid w:val="003E1B89"/>
    <w:rsid w:val="003E6170"/>
    <w:rsid w:val="003F4CC5"/>
    <w:rsid w:val="00415527"/>
    <w:rsid w:val="00431C65"/>
    <w:rsid w:val="00432937"/>
    <w:rsid w:val="00435CF5"/>
    <w:rsid w:val="004403EC"/>
    <w:rsid w:val="00447B57"/>
    <w:rsid w:val="0045565C"/>
    <w:rsid w:val="00455B63"/>
    <w:rsid w:val="00460370"/>
    <w:rsid w:val="00465AB5"/>
    <w:rsid w:val="00472762"/>
    <w:rsid w:val="004A00A8"/>
    <w:rsid w:val="004A7BFC"/>
    <w:rsid w:val="004A7CAD"/>
    <w:rsid w:val="004B4753"/>
    <w:rsid w:val="004B7346"/>
    <w:rsid w:val="004C3F67"/>
    <w:rsid w:val="004C721D"/>
    <w:rsid w:val="00514121"/>
    <w:rsid w:val="00522637"/>
    <w:rsid w:val="00527867"/>
    <w:rsid w:val="00527AA5"/>
    <w:rsid w:val="005314D7"/>
    <w:rsid w:val="00531A40"/>
    <w:rsid w:val="00544398"/>
    <w:rsid w:val="005458D4"/>
    <w:rsid w:val="005515BD"/>
    <w:rsid w:val="005740C1"/>
    <w:rsid w:val="0059143B"/>
    <w:rsid w:val="005A570D"/>
    <w:rsid w:val="005B5886"/>
    <w:rsid w:val="005C1523"/>
    <w:rsid w:val="005C7596"/>
    <w:rsid w:val="005E1ABB"/>
    <w:rsid w:val="00604548"/>
    <w:rsid w:val="0061291B"/>
    <w:rsid w:val="00614FFD"/>
    <w:rsid w:val="00626A98"/>
    <w:rsid w:val="006274BB"/>
    <w:rsid w:val="00634EFA"/>
    <w:rsid w:val="00635D43"/>
    <w:rsid w:val="006367B9"/>
    <w:rsid w:val="0064180E"/>
    <w:rsid w:val="0066249C"/>
    <w:rsid w:val="0067375D"/>
    <w:rsid w:val="00676F03"/>
    <w:rsid w:val="006906AF"/>
    <w:rsid w:val="00693BA3"/>
    <w:rsid w:val="006B3F12"/>
    <w:rsid w:val="006C1B31"/>
    <w:rsid w:val="006F29FA"/>
    <w:rsid w:val="0070324C"/>
    <w:rsid w:val="0071171B"/>
    <w:rsid w:val="007120FD"/>
    <w:rsid w:val="007130E1"/>
    <w:rsid w:val="00716545"/>
    <w:rsid w:val="00717E59"/>
    <w:rsid w:val="007219B5"/>
    <w:rsid w:val="0073796B"/>
    <w:rsid w:val="00750D01"/>
    <w:rsid w:val="0075264D"/>
    <w:rsid w:val="007643A0"/>
    <w:rsid w:val="007669A3"/>
    <w:rsid w:val="00767A18"/>
    <w:rsid w:val="00781345"/>
    <w:rsid w:val="00784E57"/>
    <w:rsid w:val="0079749C"/>
    <w:rsid w:val="007A6460"/>
    <w:rsid w:val="007B0ADD"/>
    <w:rsid w:val="007B515F"/>
    <w:rsid w:val="007C21FB"/>
    <w:rsid w:val="007C734B"/>
    <w:rsid w:val="007D5B1C"/>
    <w:rsid w:val="007E198F"/>
    <w:rsid w:val="007E5D82"/>
    <w:rsid w:val="007E7C51"/>
    <w:rsid w:val="007F5D6B"/>
    <w:rsid w:val="007F6EE3"/>
    <w:rsid w:val="007F6EF7"/>
    <w:rsid w:val="00801A29"/>
    <w:rsid w:val="00804409"/>
    <w:rsid w:val="008220A3"/>
    <w:rsid w:val="008244C0"/>
    <w:rsid w:val="008336E7"/>
    <w:rsid w:val="00836E94"/>
    <w:rsid w:val="00844BB8"/>
    <w:rsid w:val="00847AD3"/>
    <w:rsid w:val="00851FE1"/>
    <w:rsid w:val="008522C0"/>
    <w:rsid w:val="008624E8"/>
    <w:rsid w:val="0088720B"/>
    <w:rsid w:val="008A16D8"/>
    <w:rsid w:val="008B6738"/>
    <w:rsid w:val="008B7AF2"/>
    <w:rsid w:val="008C0D30"/>
    <w:rsid w:val="008C34B8"/>
    <w:rsid w:val="008C4231"/>
    <w:rsid w:val="008C4BFB"/>
    <w:rsid w:val="008D49BD"/>
    <w:rsid w:val="00905C96"/>
    <w:rsid w:val="009174DA"/>
    <w:rsid w:val="00933061"/>
    <w:rsid w:val="00933087"/>
    <w:rsid w:val="00945B27"/>
    <w:rsid w:val="009540E4"/>
    <w:rsid w:val="00974186"/>
    <w:rsid w:val="009771F0"/>
    <w:rsid w:val="00983241"/>
    <w:rsid w:val="009900DE"/>
    <w:rsid w:val="009A41AA"/>
    <w:rsid w:val="009B34F6"/>
    <w:rsid w:val="009B3707"/>
    <w:rsid w:val="009C2C98"/>
    <w:rsid w:val="009C2D77"/>
    <w:rsid w:val="009C562E"/>
    <w:rsid w:val="009D10D1"/>
    <w:rsid w:val="009F37F4"/>
    <w:rsid w:val="009F4DB0"/>
    <w:rsid w:val="00A0155A"/>
    <w:rsid w:val="00A06971"/>
    <w:rsid w:val="00A30052"/>
    <w:rsid w:val="00A34FC4"/>
    <w:rsid w:val="00A445DF"/>
    <w:rsid w:val="00A521C4"/>
    <w:rsid w:val="00A5415F"/>
    <w:rsid w:val="00A60A37"/>
    <w:rsid w:val="00A60FBF"/>
    <w:rsid w:val="00A67305"/>
    <w:rsid w:val="00A726C3"/>
    <w:rsid w:val="00A7412B"/>
    <w:rsid w:val="00AB1DC2"/>
    <w:rsid w:val="00AC4282"/>
    <w:rsid w:val="00AD1AFD"/>
    <w:rsid w:val="00AE6CD6"/>
    <w:rsid w:val="00AF2612"/>
    <w:rsid w:val="00AF5FC8"/>
    <w:rsid w:val="00B022E5"/>
    <w:rsid w:val="00B06EAB"/>
    <w:rsid w:val="00B3190C"/>
    <w:rsid w:val="00B406EF"/>
    <w:rsid w:val="00B43836"/>
    <w:rsid w:val="00B47F61"/>
    <w:rsid w:val="00B53301"/>
    <w:rsid w:val="00B53594"/>
    <w:rsid w:val="00B602CF"/>
    <w:rsid w:val="00B60F58"/>
    <w:rsid w:val="00B70F5B"/>
    <w:rsid w:val="00B753A8"/>
    <w:rsid w:val="00B84862"/>
    <w:rsid w:val="00B903E5"/>
    <w:rsid w:val="00B94D8D"/>
    <w:rsid w:val="00BA743D"/>
    <w:rsid w:val="00BB1111"/>
    <w:rsid w:val="00BB4431"/>
    <w:rsid w:val="00BB73C0"/>
    <w:rsid w:val="00BE5C43"/>
    <w:rsid w:val="00C3152B"/>
    <w:rsid w:val="00C354D9"/>
    <w:rsid w:val="00C365A8"/>
    <w:rsid w:val="00C43D34"/>
    <w:rsid w:val="00C458C2"/>
    <w:rsid w:val="00C666AC"/>
    <w:rsid w:val="00C977F5"/>
    <w:rsid w:val="00C97F7B"/>
    <w:rsid w:val="00CA5624"/>
    <w:rsid w:val="00CB7ADA"/>
    <w:rsid w:val="00CC3123"/>
    <w:rsid w:val="00CC3530"/>
    <w:rsid w:val="00CC37B3"/>
    <w:rsid w:val="00CE21D5"/>
    <w:rsid w:val="00CE45D7"/>
    <w:rsid w:val="00CE5F24"/>
    <w:rsid w:val="00CF099E"/>
    <w:rsid w:val="00CF4260"/>
    <w:rsid w:val="00D10EB4"/>
    <w:rsid w:val="00D14EEC"/>
    <w:rsid w:val="00D22282"/>
    <w:rsid w:val="00D42266"/>
    <w:rsid w:val="00D60146"/>
    <w:rsid w:val="00D60169"/>
    <w:rsid w:val="00D60A92"/>
    <w:rsid w:val="00D64FA4"/>
    <w:rsid w:val="00D650E2"/>
    <w:rsid w:val="00D7373E"/>
    <w:rsid w:val="00D74A82"/>
    <w:rsid w:val="00D85532"/>
    <w:rsid w:val="00D9208E"/>
    <w:rsid w:val="00D95BC6"/>
    <w:rsid w:val="00D966FF"/>
    <w:rsid w:val="00D97B4B"/>
    <w:rsid w:val="00DA3B4D"/>
    <w:rsid w:val="00DA3BD5"/>
    <w:rsid w:val="00DA5C0D"/>
    <w:rsid w:val="00DA5D7A"/>
    <w:rsid w:val="00DB55BA"/>
    <w:rsid w:val="00DE199D"/>
    <w:rsid w:val="00DE1B54"/>
    <w:rsid w:val="00DE27BA"/>
    <w:rsid w:val="00E02AB3"/>
    <w:rsid w:val="00E03671"/>
    <w:rsid w:val="00E05EEE"/>
    <w:rsid w:val="00E14AAE"/>
    <w:rsid w:val="00E20351"/>
    <w:rsid w:val="00E2036F"/>
    <w:rsid w:val="00E3207D"/>
    <w:rsid w:val="00E3507E"/>
    <w:rsid w:val="00E6065F"/>
    <w:rsid w:val="00E65986"/>
    <w:rsid w:val="00E7132A"/>
    <w:rsid w:val="00E83E60"/>
    <w:rsid w:val="00E86C78"/>
    <w:rsid w:val="00E948BD"/>
    <w:rsid w:val="00EA1AF3"/>
    <w:rsid w:val="00EC012E"/>
    <w:rsid w:val="00ED2EC7"/>
    <w:rsid w:val="00EE35F8"/>
    <w:rsid w:val="00EE36C0"/>
    <w:rsid w:val="00EF1263"/>
    <w:rsid w:val="00F01966"/>
    <w:rsid w:val="00F03257"/>
    <w:rsid w:val="00F20884"/>
    <w:rsid w:val="00F21123"/>
    <w:rsid w:val="00F21419"/>
    <w:rsid w:val="00F21BAD"/>
    <w:rsid w:val="00F23144"/>
    <w:rsid w:val="00F240E9"/>
    <w:rsid w:val="00F30E33"/>
    <w:rsid w:val="00F31222"/>
    <w:rsid w:val="00F42BC7"/>
    <w:rsid w:val="00F462C7"/>
    <w:rsid w:val="00F92545"/>
    <w:rsid w:val="00F93A56"/>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15:docId w15:val="{0516F0ED-D03B-4BF2-9A36-3C7ABBB1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rsid w:val="00D60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drzavni-organi/organi-v-sestavi/inspektorat-za-javni-sektor/o-inspektorat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2.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4.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5668</Words>
  <Characters>32312</Characters>
  <Application>Microsoft Office Word</Application>
  <DocSecurity>0</DocSecurity>
  <Lines>269</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Bence Kozole</dc:creator>
  <cp:keywords/>
  <dc:description/>
  <cp:lastModifiedBy>Sonja Bence Kozole</cp:lastModifiedBy>
  <cp:revision>4</cp:revision>
  <dcterms:created xsi:type="dcterms:W3CDTF">2026-04-16T09:39:00Z</dcterms:created>
  <dcterms:modified xsi:type="dcterms:W3CDTF">2026-04-16T11:28:00Z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