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5A6A6583" w:rsidR="0073796B" w:rsidRPr="0039662C" w:rsidRDefault="00D74A82" w:rsidP="0039662C">
      <w:pPr>
        <w:pStyle w:val="Naslov1"/>
      </w:pPr>
      <w:r>
        <w:t>1</w:t>
      </w:r>
      <w:r w:rsidR="00CC3530">
        <w:t>9</w:t>
      </w:r>
      <w:r w:rsidR="00161638">
        <w:t>7</w:t>
      </w:r>
      <w:r w:rsidR="0073796B" w:rsidRPr="0039662C">
        <w:t xml:space="preserve">. </w:t>
      </w:r>
      <w:r>
        <w:t>red</w:t>
      </w:r>
      <w:r w:rsidR="00F03257">
        <w:t xml:space="preserve">na </w:t>
      </w:r>
      <w:r w:rsidR="0073796B" w:rsidRPr="0039662C">
        <w:t>seja Vlade Republike Slovenije</w:t>
      </w:r>
    </w:p>
    <w:p w14:paraId="27F30B92" w14:textId="2E65BCB4" w:rsidR="0073796B" w:rsidRDefault="00161638" w:rsidP="008B7AF2">
      <w:pPr>
        <w:pStyle w:val="DatumSZJ"/>
      </w:pPr>
      <w:r>
        <w:t>9</w:t>
      </w:r>
      <w:r w:rsidR="002856E5">
        <w:t>.</w:t>
      </w:r>
      <w:r w:rsidR="008220A3">
        <w:t xml:space="preserve"> </w:t>
      </w:r>
      <w:r w:rsidR="00B94D8D">
        <w:t xml:space="preserve">april </w:t>
      </w:r>
      <w:r w:rsidR="0073796B" w:rsidRPr="008B7AF2">
        <w:t>202</w:t>
      </w:r>
      <w:r w:rsidR="00F03257">
        <w:t>6</w:t>
      </w:r>
    </w:p>
    <w:p w14:paraId="6BA3CD29" w14:textId="67F09087" w:rsidR="001E2FA6" w:rsidRPr="001E2FA6" w:rsidRDefault="001E2FA6" w:rsidP="001E2FA6">
      <w:pPr>
        <w:pStyle w:val="Naslov2"/>
      </w:pPr>
      <w:r w:rsidRPr="001E2FA6">
        <w:t>Novela Uredbe o izvajanju intervencije naložbe v dvig produktivnosti in tehnološki razvoj ter intervencije naložbe v prilagoditev na podnebne spremembe pri trajnih nasadih</w:t>
      </w:r>
    </w:p>
    <w:p w14:paraId="2AFCB37D" w14:textId="77777777" w:rsidR="001E2FA6" w:rsidRDefault="001E2FA6" w:rsidP="001E2FA6">
      <w:r>
        <w:t>Vlada je izdala novelo Uredbe o izvajanju intervencije naložbe v dvig produktivnosti in tehnološki razvoj, vključno z digitalizacijo kmetijskih gospodarstev, ter intervencije naložbe v prilagoditev na podnebne spremembe pri trajnih nasadih iz strateškega načrta skupne kmetijske politike 2023–2027 in jo objavi v Uradnem listu Republike Slovenije.</w:t>
      </w:r>
    </w:p>
    <w:p w14:paraId="3B7E7968" w14:textId="77777777" w:rsidR="001E2FA6" w:rsidRDefault="001E2FA6" w:rsidP="001E2FA6"/>
    <w:p w14:paraId="7E04710E" w14:textId="39D41D50" w:rsidR="001E2FA6" w:rsidRDefault="001E2FA6" w:rsidP="001E2FA6">
      <w:r>
        <w:t>Novela Uredbe se sprejema predvsem zaradi 4. spremembe Strateškega načrta skupne kmetijske politike 2023–2027 in novega Zakona o kmetijstvu (ZKme-2).</w:t>
      </w:r>
    </w:p>
    <w:p w14:paraId="0B7223F8" w14:textId="77777777" w:rsidR="001E2FA6" w:rsidRDefault="001E2FA6" w:rsidP="001E2FA6"/>
    <w:p w14:paraId="34DA9A91" w14:textId="47239022" w:rsidR="001E2FA6" w:rsidRDefault="001E2FA6" w:rsidP="001E2FA6">
      <w:r>
        <w:t xml:space="preserve">Pri intervenciji naložbe v dvig produktivnosti in tehnološki razvoj, vključno z digitalizacijo kmetijskih gospodarstev, se za naložbe v preventivne mehanizme za zmanjšanje negativnih vplivov podnebnih sprememb pri trajnih nasadih določa stopnja podpore v višini 75 odstotkov upravičenih stroškov naložbe. Med takšne naložbe sodijo: nakup in postavitev mreže proti toči, nakup kmetijske mehanizacije, namenjene </w:t>
      </w:r>
      <w:proofErr w:type="spellStart"/>
      <w:r>
        <w:t>protislanski</w:t>
      </w:r>
      <w:proofErr w:type="spellEnd"/>
      <w:r>
        <w:t xml:space="preserve"> zaščiti, izgradnja namakalnih sistemov ter nakup in postavitev namakalne opreme oziroma opreme za oroševanje trajnih nasadov. Poleg tega se omogoča, da je naložba v nakup kmetijske mehanizacije, namenjene </w:t>
      </w:r>
      <w:proofErr w:type="spellStart"/>
      <w:r>
        <w:t>protislanski</w:t>
      </w:r>
      <w:proofErr w:type="spellEnd"/>
      <w:r>
        <w:t xml:space="preserve"> zaščiti, lahko tudi samostojna naložba in ne zgolj v povezavi z naložbo v ureditev trajnega nasada. Novela določa tudi, da če se z javnim razpisom določi, da mora imeti vlagatelj najmanj 50 odstotkov standardnega prihodka iz reje drobnice in krmnih rastlin za pašne živali glede na celotni standardni prihodek, mora imeti hkrati več kot 50 odstotkov standardnega prihodka iz reje drobnice glede na standardni prihodek iz vseh rejnih živali. Tem vlagateljem se lahko odobri največ 300.000 evrov javne podpore za naložbe, namenjene prilagoditvi kmetovanja na gorskih območjih.</w:t>
      </w:r>
    </w:p>
    <w:p w14:paraId="41686C5D" w14:textId="77777777" w:rsidR="001E2FA6" w:rsidRDefault="001E2FA6" w:rsidP="001E2FA6"/>
    <w:p w14:paraId="5E1214C2" w14:textId="77777777" w:rsidR="001E2FA6" w:rsidRDefault="001E2FA6" w:rsidP="001E2FA6">
      <w:r>
        <w:t>Pri intervenciji naložbe v prilagoditev na podnebne spremembe pri trajnih nasadih se uvaja enotna stopnja javne podpore v višini 75 odstotkov upravičenih stroškov naložbe (sedaj znaša od 50 do 75 odstotkov).</w:t>
      </w:r>
    </w:p>
    <w:p w14:paraId="76B342AC" w14:textId="77777777" w:rsidR="001E2FA6" w:rsidRDefault="001E2FA6" w:rsidP="001E2FA6"/>
    <w:p w14:paraId="5611A569" w14:textId="77777777" w:rsidR="001E2FA6" w:rsidRDefault="001E2FA6" w:rsidP="001E2FA6">
      <w:r>
        <w:t>V skladu z ZKme-2 se na novo določajo učinki prenosa družinske kmetije zaradi smrti njenega nosilca na pravice in obveznosti iz odločbe o pravici do sredstev. Novemu nosilcu družinske kmetije ni treba izpolnjevati vseh pogojev oziroma obveznosti iz intervencij, ampak le tiste, ki so določene z uredbo.</w:t>
      </w:r>
    </w:p>
    <w:p w14:paraId="405126F0" w14:textId="7E03A0C1" w:rsidR="008231AA" w:rsidRDefault="001E2FA6" w:rsidP="001E2FA6">
      <w:pPr>
        <w:pStyle w:val="Vir"/>
      </w:pPr>
      <w:r>
        <w:t>Vir: Ministrstvo za kmetijstvo, gozdarstvo in prehrano</w:t>
      </w:r>
    </w:p>
    <w:p w14:paraId="2FECCFE1" w14:textId="3B69FFA6" w:rsidR="002050A6" w:rsidRDefault="002050A6" w:rsidP="002050A6">
      <w:pPr>
        <w:pStyle w:val="Naslov2"/>
      </w:pPr>
      <w:r>
        <w:t>Vlada sprejela uredbo o spremembi določb glede elektronske identifikacije</w:t>
      </w:r>
    </w:p>
    <w:p w14:paraId="2AEFB72B" w14:textId="77777777" w:rsidR="002050A6" w:rsidRDefault="002050A6" w:rsidP="002050A6">
      <w:r>
        <w:t>Vlada Republike Slovenije je na današnji seji sprejela uredbo o spremembi Uredbe o določitvi sredstev elektronske identifikacije in uporabi centralne storitve za spletno prijavo in elektronski podpis.</w:t>
      </w:r>
    </w:p>
    <w:p w14:paraId="57E4555D" w14:textId="4952AA96" w:rsidR="002050A6" w:rsidRDefault="002050A6" w:rsidP="002050A6">
      <w:r>
        <w:t>Predlagana sprememba uredbe izhaja iz zahteve za uskladitev  z  Zakonom o elektronski identifikaciji in storitvah zaupanja (ZEISZ), kot je bil spremenjen z novelo ZEISZ-A, ter z Zakonom o osebni izkaznici. Ključna zakonska novost je odprava spodnje starostne omejitve za pridobitev osebne elektronske identitete. To pomeni, da lahko posameznik elektronsko identiteto pridobi že ob rojstvu, kar se odraža tudi v spremembi uredbe, v kateri se črta spodnja starostna omejitev za pridobitev sredstva nizke ravni zanesljivosti na osebni izkaznici.</w:t>
      </w:r>
    </w:p>
    <w:p w14:paraId="6D6A318B" w14:textId="3FA34ADB" w:rsidR="002050A6" w:rsidRDefault="002050A6" w:rsidP="002050A6">
      <w:pPr>
        <w:pStyle w:val="Vir"/>
      </w:pPr>
      <w:r w:rsidRPr="002050A6">
        <w:lastRenderedPageBreak/>
        <w:t>Vir: Ministrstvo za digitalno preobrazbo</w:t>
      </w:r>
    </w:p>
    <w:p w14:paraId="7E06D357" w14:textId="7D09BE08" w:rsidR="007D7186" w:rsidRDefault="007D7186" w:rsidP="007D7186">
      <w:pPr>
        <w:pStyle w:val="Naslov2"/>
      </w:pPr>
      <w:r>
        <w:t>Dopolnjena Uredba o plačah javnih uslužbencev plačne skupine B</w:t>
      </w:r>
    </w:p>
    <w:p w14:paraId="3C1F5B41" w14:textId="77777777" w:rsidR="007D7186" w:rsidRDefault="007D7186" w:rsidP="007D7186">
      <w:r>
        <w:t>Vlada Republike Slovenije je izdala Uredbo o dopolnitvi Uredbe o plačah javnih uslužbencev plačne skupine B in jo objavi v Uradnem listu Republike Slovenije.</w:t>
      </w:r>
    </w:p>
    <w:p w14:paraId="19FC9632" w14:textId="77777777" w:rsidR="007D7186" w:rsidRDefault="007D7186" w:rsidP="007D7186"/>
    <w:p w14:paraId="0A1ABDE1" w14:textId="77777777" w:rsidR="007D7186" w:rsidRDefault="007D7186" w:rsidP="007D7186">
      <w:r>
        <w:t>Uredba se dopolnjuje zaradi ustanovitve Javnega zavoda za razvoj sodobne plesne umetnosti, ki je nov javni zavod na področju kulture. Za sklenitev pogodbe o zaposlitvi z direktorjem je treba delovno mesto direktorja uvrstiti v ustrezni plačni razred.</w:t>
      </w:r>
    </w:p>
    <w:p w14:paraId="3EF31FAE" w14:textId="77777777" w:rsidR="007D7186" w:rsidRDefault="007D7186" w:rsidP="007D7186"/>
    <w:p w14:paraId="10131FDE" w14:textId="77777777" w:rsidR="007D7186" w:rsidRDefault="007D7186" w:rsidP="007D7186">
      <w:r>
        <w:t>Uredba začne veljati naslednji dan po objavi v Uradnem listu.</w:t>
      </w:r>
    </w:p>
    <w:p w14:paraId="2ADA0875" w14:textId="48BA5054" w:rsidR="008231AA" w:rsidRDefault="007D7186" w:rsidP="007D7186">
      <w:pPr>
        <w:pStyle w:val="Vir"/>
      </w:pPr>
      <w:r>
        <w:t>Vir: Ministrstvo za javno upravo</w:t>
      </w:r>
    </w:p>
    <w:p w14:paraId="09B332D4" w14:textId="48BA7C4A" w:rsidR="004C2260" w:rsidRDefault="004C2260" w:rsidP="004C2260">
      <w:pPr>
        <w:pStyle w:val="Naslov2"/>
      </w:pPr>
      <w:r>
        <w:t>Vlada podaljšala začasni ukrep v zavodih za prestajanje kazni zapora</w:t>
      </w:r>
    </w:p>
    <w:p w14:paraId="4985E689" w14:textId="77777777" w:rsidR="004C2260" w:rsidRDefault="004C2260" w:rsidP="004C2260">
      <w:r>
        <w:t>Vlada Republike Slovenije je izdala Odlok o podaljšanju trajanja začasnega ukrepa za premostitev zaostrenih varnostnih razmer zaradi kadrovskih ali prostorskih težav v zavodih za prestajanje kazni zapora.</w:t>
      </w:r>
    </w:p>
    <w:p w14:paraId="30E9E904" w14:textId="77777777" w:rsidR="004C2260" w:rsidRDefault="004C2260" w:rsidP="004C2260"/>
    <w:p w14:paraId="080DBA17" w14:textId="189D10BA" w:rsidR="008231AA" w:rsidRDefault="004C2260" w:rsidP="004C2260">
      <w:r>
        <w:t>Z odlokom se začasni ukrep opravljanja del in nalog pravosodnega policista s strani delavca uprave, ki je bil v preteklosti zaposlen na delovnem mestu pravosodni policist, podaljša za nadaljnje tri mesece, to je do 12. julija 2026.</w:t>
      </w:r>
    </w:p>
    <w:p w14:paraId="7D5CBFA4" w14:textId="48BFD973" w:rsidR="004C2260" w:rsidRDefault="004C2260" w:rsidP="004C2260">
      <w:pPr>
        <w:pStyle w:val="Vir"/>
      </w:pPr>
      <w:r w:rsidRPr="004C2260">
        <w:t>Vir: Ministrstvo za pravosodje</w:t>
      </w:r>
    </w:p>
    <w:p w14:paraId="320C377C" w14:textId="306C9A95" w:rsidR="000D1095" w:rsidRDefault="000D1095" w:rsidP="000D1095">
      <w:pPr>
        <w:pStyle w:val="Naslov2"/>
      </w:pPr>
      <w:r>
        <w:t>Vlada potrdila izpolnitev obveznosti ravnanja z odpadnimi nagrobnimi svečami</w:t>
      </w:r>
    </w:p>
    <w:p w14:paraId="7992F5F6" w14:textId="77777777" w:rsidR="000D1095" w:rsidRDefault="000D1095" w:rsidP="000D1095">
      <w:r>
        <w:t>Vlada je sprejela sklep o izpolnitvi celoletne obveznosti ravnanja z odpadnimi nagrobnimi svečami za leto 2025. Sklep temelji na podatkih o količinah nagrobnih sveč, danih na trg, in prikazuje deleže, ki so jih posamezni nosilci načrtov dosegli pri prevzemanju in predelavi odpadnih nagrobnih sveč. V letu 2025 je bilo na trg danih več kot 3,4 milijona kilogramov nagrobnih sveč, od tega velika večina klasičnih sveč z gorenjem vložka.</w:t>
      </w:r>
    </w:p>
    <w:p w14:paraId="15F2D2BC" w14:textId="77777777" w:rsidR="000D1095" w:rsidRDefault="000D1095" w:rsidP="000D1095"/>
    <w:p w14:paraId="1F8B2D39" w14:textId="77777777" w:rsidR="000D1095" w:rsidRDefault="000D1095" w:rsidP="000D1095">
      <w:r>
        <w:t>Sistem razširjene odgovornosti proizvajalcev določa, da proizvajalci na svoje stroške poskrbijo za zbiranje in predelavo teh odpadkov. Takšen pristop zmanjšuje obremenitve okolja in zagotavlja ustrezno ravnanje z odpadnimi nagrobnimi svečami.</w:t>
      </w:r>
    </w:p>
    <w:p w14:paraId="39529CA7" w14:textId="77777777" w:rsidR="000D1095" w:rsidRDefault="000D1095" w:rsidP="000D1095"/>
    <w:p w14:paraId="31508E4E" w14:textId="77777777" w:rsidR="000D1095" w:rsidRDefault="000D1095" w:rsidP="000D1095">
      <w:r>
        <w:t>Sklep ne določa novih obveznosti, temveč omogoča pregled nad njihovim izpolnjevanjem. V primeru odstopanj se nosilci medsebojno finančno izravnajo, kar prispeva k učinkovitemu delovanju sistema.</w:t>
      </w:r>
    </w:p>
    <w:p w14:paraId="11DA89F5" w14:textId="7A7025CB" w:rsidR="008231AA" w:rsidRDefault="000D1095" w:rsidP="000D1095">
      <w:pPr>
        <w:pStyle w:val="Vir"/>
      </w:pPr>
      <w:r>
        <w:t>Vir: Ministrstvo za okolje, podnebje in energijo</w:t>
      </w:r>
    </w:p>
    <w:p w14:paraId="3AC42DAE" w14:textId="1ACC7974" w:rsidR="00784CE3" w:rsidRDefault="00784CE3" w:rsidP="00784CE3">
      <w:pPr>
        <w:pStyle w:val="Naslov2"/>
      </w:pPr>
      <w:r>
        <w:t>Sprejet akcijski načrt za področje preprečevanja nasilja v družini in nad ženskami</w:t>
      </w:r>
    </w:p>
    <w:p w14:paraId="4D16E195" w14:textId="77777777" w:rsidR="00784CE3" w:rsidRDefault="00784CE3" w:rsidP="00784CE3">
      <w:r>
        <w:t>Vlada Republike Slovenije je sprejela Akcijski načrt za izvajanje Resolucije o nacionalnem programu preprečevanja nasilja v družini in nasilja nad ženskami 2024–2029, za obdobje 2026-2027.</w:t>
      </w:r>
    </w:p>
    <w:p w14:paraId="6DF4DDCB" w14:textId="77777777" w:rsidR="00784CE3" w:rsidRDefault="00784CE3" w:rsidP="00784CE3"/>
    <w:p w14:paraId="6821A407" w14:textId="77777777" w:rsidR="00784CE3" w:rsidRDefault="00784CE3" w:rsidP="00784CE3">
      <w:r>
        <w:t xml:space="preserve">Aprila 2024 je bila sprejeta Resolucija o nacionalnem programu preprečevanja nasilja v družini in nasilja nad ženskami 2024-2029 (resolucija). Zakon o preprečevanju nasilja v družini predvideva izvedbene akte resolucije t. i. akcijske načrte, ki za posamezno področje opredelijo potrebne aktivnosti </w:t>
      </w:r>
      <w:r>
        <w:lastRenderedPageBreak/>
        <w:t xml:space="preserve">za obdobje dveh let. Tako je medresorska delovna skupina za pripravo akcijskih načrtov oblikovala predlog Akcijskega načrta za izvajanje Resolucije o nacionalnem programu preprečevanja nasilja v družini in nasilja nad ženskami 2024–2029, za obdobje 2026-2027. </w:t>
      </w:r>
    </w:p>
    <w:p w14:paraId="01D8EBDF" w14:textId="65EDA00B" w:rsidR="00784CE3" w:rsidRDefault="00784CE3" w:rsidP="00784CE3">
      <w:r>
        <w:t>Akcijski načrt zasleduje naslednje cilje (v okviru katerih opredeljuje ukrepe, nosilce ukrepa, kazalnike, leto realizacije ter višino sredstev):</w:t>
      </w:r>
    </w:p>
    <w:p w14:paraId="79DD7C36" w14:textId="7E029BFB" w:rsidR="00784CE3" w:rsidRDefault="00784CE3" w:rsidP="00784CE3">
      <w:pPr>
        <w:pStyle w:val="Odstavekseznama"/>
        <w:numPr>
          <w:ilvl w:val="0"/>
          <w:numId w:val="12"/>
        </w:numPr>
      </w:pPr>
      <w:r>
        <w:t>krepitev in dvig kakovosti programov s področja nasilja v družini in nasilja nad ženskami,</w:t>
      </w:r>
    </w:p>
    <w:p w14:paraId="40F31848" w14:textId="4213BE26" w:rsidR="00784CE3" w:rsidRDefault="00784CE3" w:rsidP="00784CE3">
      <w:pPr>
        <w:pStyle w:val="Odstavekseznama"/>
        <w:numPr>
          <w:ilvl w:val="0"/>
          <w:numId w:val="12"/>
        </w:numPr>
      </w:pPr>
      <w:r>
        <w:t>izboljšana obravnava, položaj in zaščita žrtev tovrstnega nasilja,</w:t>
      </w:r>
    </w:p>
    <w:p w14:paraId="48F76BE1" w14:textId="31FC5656" w:rsidR="00784CE3" w:rsidRDefault="00784CE3" w:rsidP="00784CE3">
      <w:pPr>
        <w:pStyle w:val="Odstavekseznama"/>
        <w:numPr>
          <w:ilvl w:val="0"/>
          <w:numId w:val="12"/>
        </w:numPr>
      </w:pPr>
      <w:r>
        <w:t>(še) večja strokovnost osebja, ki se pri svojem delu srečuje s problematiko nasilja v družini in nad ženskami,</w:t>
      </w:r>
    </w:p>
    <w:p w14:paraId="56F27BE4" w14:textId="6570A0B5" w:rsidR="00784CE3" w:rsidRDefault="00784CE3" w:rsidP="00784CE3">
      <w:pPr>
        <w:pStyle w:val="Odstavekseznama"/>
        <w:numPr>
          <w:ilvl w:val="0"/>
          <w:numId w:val="12"/>
        </w:numPr>
      </w:pPr>
      <w:r>
        <w:t>boljša ozaveščenost družbe in ničelna toleranca do nasilja v družini in nasilja nad ženskami,</w:t>
      </w:r>
    </w:p>
    <w:p w14:paraId="2F87BBE9" w14:textId="710061BE" w:rsidR="00784CE3" w:rsidRDefault="00784CE3" w:rsidP="00784CE3">
      <w:pPr>
        <w:pStyle w:val="Odstavekseznama"/>
        <w:numPr>
          <w:ilvl w:val="0"/>
          <w:numId w:val="12"/>
        </w:numPr>
      </w:pPr>
      <w:r>
        <w:t>izboljšani predpisi na področju preprečevanja nasilja v družini in nasilja nad ženskami,</w:t>
      </w:r>
    </w:p>
    <w:p w14:paraId="0540AA92" w14:textId="7F1F4054" w:rsidR="00784CE3" w:rsidRDefault="00784CE3" w:rsidP="00784CE3">
      <w:pPr>
        <w:pStyle w:val="Odstavekseznama"/>
        <w:numPr>
          <w:ilvl w:val="0"/>
          <w:numId w:val="12"/>
        </w:numPr>
      </w:pPr>
      <w:r>
        <w:t>izboljšave na področju spremljanja nasilja v družini in nasilja nad ženskami,</w:t>
      </w:r>
    </w:p>
    <w:p w14:paraId="662460DC" w14:textId="4BA09651" w:rsidR="008231AA" w:rsidRDefault="00784CE3" w:rsidP="00784CE3">
      <w:pPr>
        <w:pStyle w:val="Odstavekseznama"/>
        <w:numPr>
          <w:ilvl w:val="0"/>
          <w:numId w:val="12"/>
        </w:numPr>
      </w:pPr>
      <w:r>
        <w:t>izboljšana organizacija področja, sodelovanje deležnikov in trajnostno delovanje sistema.</w:t>
      </w:r>
    </w:p>
    <w:p w14:paraId="303C6943" w14:textId="77777777" w:rsidR="00784CE3" w:rsidRDefault="008231AA" w:rsidP="00784CE3">
      <w:pPr>
        <w:pStyle w:val="Vir"/>
      </w:pPr>
      <w:r>
        <w:t xml:space="preserve"> </w:t>
      </w:r>
      <w:r w:rsidR="00784CE3">
        <w:t>Vir: Ministrstvo za delo, družino, socialne zadeve in enake možnosti</w:t>
      </w:r>
    </w:p>
    <w:p w14:paraId="1D2A20C7" w14:textId="6AE0F1E2" w:rsidR="001F3E8A" w:rsidRDefault="001F3E8A" w:rsidP="001F3E8A">
      <w:pPr>
        <w:pStyle w:val="Naslov2"/>
      </w:pPr>
      <w:r>
        <w:t>Usmeritve za izvajanje državnega nadzora nad zakonitostjo dela organov občin</w:t>
      </w:r>
    </w:p>
    <w:p w14:paraId="298C428D" w14:textId="77777777" w:rsidR="001F3E8A" w:rsidRDefault="001F3E8A" w:rsidP="001F3E8A">
      <w:r>
        <w:t>Vlada Republike Slovenije je sprejela usmeritve za izvajanje državnega nadzora nad zakonitostjo dela organov občin. Ob tem je vlada sprejela sklep, da Ministrstvo za javno upravo na podlagi poročil pristojnih ministrstev do konca aprila 2026 pripravi in predloži vladi v seznanitev skupno poročilo o nadzoru nad zakonitostjo dela organov občin v letu 2025. Vlada je sprejela tudi sklep, da morajo ministrstva o izvedenih nadzorih nad delom občin vsaki dve leti poročati Ministrstvu za javno upravo.</w:t>
      </w:r>
    </w:p>
    <w:p w14:paraId="04E1D8E4" w14:textId="77777777" w:rsidR="001F3E8A" w:rsidRDefault="001F3E8A" w:rsidP="001F3E8A"/>
    <w:p w14:paraId="674A691C" w14:textId="77777777" w:rsidR="001F3E8A" w:rsidRDefault="001F3E8A" w:rsidP="001F3E8A">
      <w:r>
        <w:t xml:space="preserve">V letih 2022 in 2023 je Računsko sodišče Republike Slovenije revidiralo učinkovitost poslovanja Ministrstva za javno upravo v delu, ki se nanaša na izvajanje nadzora nad delom občin v letu 2021. Računsko sodišče je ministrstvu izdalo priporočila za izboljšanje učinkovitosti poslovanja, ki so usmerjena v poenotenje postopkov izvajanja državnega nadzora nad zakonitostjo dela organov občin, v skladu z 88. in </w:t>
      </w:r>
      <w:proofErr w:type="spellStart"/>
      <w:r>
        <w:t>88.a</w:t>
      </w:r>
      <w:proofErr w:type="spellEnd"/>
      <w:r>
        <w:t xml:space="preserve"> členom Zakona o lokalni samoupravi in 64. členom Zakona o državni upravi. Gre za nadzor nad usklajenostjo občinskih predpisov (splošnih in posamičnih aktov občin) z ustavo in zakoni.</w:t>
      </w:r>
    </w:p>
    <w:p w14:paraId="2CAF3F8C" w14:textId="77777777" w:rsidR="001F3E8A" w:rsidRDefault="001F3E8A" w:rsidP="001F3E8A"/>
    <w:p w14:paraId="5A25B8AC" w14:textId="77777777" w:rsidR="001F3E8A" w:rsidRDefault="001F3E8A" w:rsidP="001F3E8A">
      <w:r>
        <w:t xml:space="preserve">Na podlagi priporočil Računskega sodišča je Ministrstvo za javno upravo pripravilo usmeritve za izvajanje državnega nadzora nad zakonitostjo dela organov občin z načrtom aktivnosti za izdelavo ocene tveganj pri izvajanju državnega nadzora nad zakonitostjo dela organov občin ter vzorec načrta aktivnosti za izvedbo nadzora državnih organov nad zakonitostjo dela organov občin kot prilogo usmeritev. Usmeritve so pripravljene z namenom lažjega in poenotenega izvajanja nadzora pristojnih ministrstev oziroma državnih organov nad zakonitostjo dela organov občin. </w:t>
      </w:r>
    </w:p>
    <w:p w14:paraId="742A7E04" w14:textId="77777777" w:rsidR="001F3E8A" w:rsidRDefault="001F3E8A" w:rsidP="001F3E8A"/>
    <w:p w14:paraId="1D314FFF" w14:textId="77777777" w:rsidR="001F3E8A" w:rsidRDefault="001F3E8A" w:rsidP="001F3E8A">
      <w:r>
        <w:t>Ker je Računsko sodišče podalo tudi priporočilo, da naj bo poročanje ministrstev o izvajanju nadzorov nad zakonitostjo dela organov občin kontinuirano, bodo pristojna ministrstva o izvedenih nadzorih poročala vsaki dve leti.</w:t>
      </w:r>
    </w:p>
    <w:p w14:paraId="78DF0DFF" w14:textId="07D6BCE3" w:rsidR="008231AA" w:rsidRDefault="001F3E8A" w:rsidP="001F3E8A">
      <w:pPr>
        <w:pStyle w:val="Vir"/>
      </w:pPr>
      <w:r>
        <w:t>Vir: Ministrstvo za javno upravo</w:t>
      </w:r>
    </w:p>
    <w:p w14:paraId="5AAE9DA5" w14:textId="410871B7" w:rsidR="008231AA" w:rsidRDefault="0099327A" w:rsidP="001F3E8A">
      <w:pPr>
        <w:pStyle w:val="Naslov2"/>
      </w:pPr>
      <w:r>
        <w:t>S</w:t>
      </w:r>
      <w:r w:rsidR="008231AA">
        <w:t>oglasj</w:t>
      </w:r>
      <w:r>
        <w:t>e</w:t>
      </w:r>
      <w:r w:rsidR="008231AA">
        <w:t xml:space="preserve"> k pobudi Mestne občine Ljubljana za načrtovanje v območju državnega prostorskega načrta za prenosni plinovod R51B TE-TOL–Fužine/Vevče</w:t>
      </w:r>
    </w:p>
    <w:p w14:paraId="0897A971" w14:textId="77777777" w:rsidR="0099327A" w:rsidRDefault="0099327A" w:rsidP="0099327A">
      <w:r>
        <w:t>Vlada Republike Slovenije je izdala Mestni občini Ljubljana soglasje za pripravo občinskega podrobnega prostorskega načrta v območju državnega prostorskega načrta, sprejetega z Uredbo o državnem prostorskem načrtu za prenosni plinovod R51B TE-TOL–Fužine/Vevče.</w:t>
      </w:r>
    </w:p>
    <w:p w14:paraId="3D4BF7F1" w14:textId="77777777" w:rsidR="0099327A" w:rsidRDefault="0099327A" w:rsidP="0099327A"/>
    <w:p w14:paraId="2673B29E" w14:textId="77777777" w:rsidR="0099327A" w:rsidRDefault="0099327A" w:rsidP="0099327A">
      <w:r>
        <w:lastRenderedPageBreak/>
        <w:t xml:space="preserve">Mestna občina Ljubljana želi Slovenskim železnicam omogočiti preselitev dejavnosti z obstoječih lokacij (Ob Zeleni jami in znotraj območja Železniškega muzeja na Parmovi ulici) na območje ob Zaloški cesti v Mostah, dolgoročno pa s tem združiti dejavnosti Slovenskih železnic. S preselitvijo dejavnosti se zagotovi tudi možnost </w:t>
      </w:r>
      <w:proofErr w:type="spellStart"/>
      <w:r>
        <w:t>reurbanizacije</w:t>
      </w:r>
      <w:proofErr w:type="spellEnd"/>
      <w:r>
        <w:t xml:space="preserve"> prostora po programu občine. Z ureditvami občina  načrtuje poseganje tudi v del območja veljavnega državnega prostorskega načrta za prenosni plinovod R51B TE-TOL–Fužine/Vevče, za kar mora v skladu z veljavno zakonodajo pridobiti soglasje vlade. </w:t>
      </w:r>
    </w:p>
    <w:p w14:paraId="3F98179D" w14:textId="77777777" w:rsidR="0099327A" w:rsidRDefault="0099327A" w:rsidP="0099327A"/>
    <w:p w14:paraId="48CEAF10" w14:textId="77777777" w:rsidR="0099327A" w:rsidRDefault="0099327A" w:rsidP="0099327A">
      <w:r>
        <w:t>Zakon o urejanju prostora v 89. členu določa, da lahko občina na območju državnega prostorskega izvedbenega akta pripravi tudi občinski prostorski izvedbeni akt, če s tem ni onemogočena izvedba ali uporaba ureditev, načrtovanih na državni ravni, ter ob predhodnem soglasju vlade. Pobudo mora občina predhodno uskladiti s pobudnikom priprave državnega akta oziroma z upravljavcem infrastrukture, kadar so ureditve že zgrajene in v uporabi.</w:t>
      </w:r>
    </w:p>
    <w:p w14:paraId="252D06B6" w14:textId="77777777" w:rsidR="0099327A" w:rsidRDefault="0099327A" w:rsidP="0099327A"/>
    <w:p w14:paraId="3C1EC82A" w14:textId="4CA9B261" w:rsidR="0099327A" w:rsidRDefault="0099327A" w:rsidP="0099327A">
      <w:r>
        <w:t>Vlada v postopku preveri skladnost pobude z ureditvami, določenimi v državnem prostorskem aktu, ter na tej podlagi odloči o izdaji soglasja ali zavrnitvi pobude. Ob izdaji soglasja lahko določi tudi pogoje ali usmeritve, ki jih mora občina upoštevati v nadaljnjih postopkih priprave akta.</w:t>
      </w:r>
    </w:p>
    <w:p w14:paraId="03F1B473" w14:textId="77777777" w:rsidR="0099327A" w:rsidRDefault="0099327A" w:rsidP="0099327A">
      <w:r>
        <w:t>Soglasje vlade predstavlja podlago za začetek priprave občinskega prostorskega izvedbenega akta, vendar ne nadomešča mnenj nosilcev urejanja prostora niti ne pomeni soglasja k njegovi končni sprejetosti.</w:t>
      </w:r>
    </w:p>
    <w:p w14:paraId="51666CDF" w14:textId="77777777" w:rsidR="0099327A" w:rsidRDefault="0099327A" w:rsidP="0099327A"/>
    <w:p w14:paraId="6AA4544D" w14:textId="4B6734EE" w:rsidR="0099327A" w:rsidRDefault="0099327A" w:rsidP="0099327A">
      <w:r>
        <w:t>Ministrstvo za naravne vire in prostor je preverilo skladnost pobude občine s prostorskimi ureditvami, ki so predmet državnega prostorskega načrta. Preverilo je zemljišča, ki jih je občina navedla v pobudi, z vidika potreb po poseganju nanje, po predhodni vsebinski uskladitvi občinske pobude z investitorjem DPN oziroma upravljavcem plinovoda.</w:t>
      </w:r>
    </w:p>
    <w:p w14:paraId="15CBFB06" w14:textId="3D42F47A" w:rsidR="0099327A" w:rsidRDefault="0099327A" w:rsidP="0099327A">
      <w:pPr>
        <w:pStyle w:val="Vir"/>
      </w:pPr>
      <w:r>
        <w:t>Vir: Ministrstvo za naravne vire in prostor</w:t>
      </w:r>
    </w:p>
    <w:p w14:paraId="6A2550F9" w14:textId="7DA32247" w:rsidR="009D3BA4" w:rsidRDefault="009D3BA4" w:rsidP="009D3BA4">
      <w:pPr>
        <w:pStyle w:val="Naslov2"/>
      </w:pPr>
      <w:r>
        <w:t xml:space="preserve">Vlada je pooblastila družbo Swiss </w:t>
      </w:r>
      <w:proofErr w:type="spellStart"/>
      <w:r>
        <w:t>Flight</w:t>
      </w:r>
      <w:proofErr w:type="spellEnd"/>
      <w:r>
        <w:t xml:space="preserve"> Services SA za opravljanje aerosnemanj za izdelavo kartografskih publikacij</w:t>
      </w:r>
    </w:p>
    <w:p w14:paraId="0786869F" w14:textId="77777777" w:rsidR="009D3BA4" w:rsidRDefault="009D3BA4" w:rsidP="009D3BA4">
      <w:r>
        <w:t xml:space="preserve">Na podlagi prvega odstavka 31. člena Zakona o obrambi lahko aerosnemanja za izdelavo kartografskih publikacij opravljajo le pravne osebe, ki jih pooblasti vlada. Družba Swiss </w:t>
      </w:r>
      <w:proofErr w:type="spellStart"/>
      <w:r>
        <w:t>Flight</w:t>
      </w:r>
      <w:proofErr w:type="spellEnd"/>
      <w:r>
        <w:t xml:space="preserve"> Services SA je zaprosila za izdajo pooblastila za izvedbo aerosnemanj za posodobitev podatkov, ki so splošni javnosti na voljo prek izdelkov Google </w:t>
      </w:r>
      <w:proofErr w:type="spellStart"/>
      <w:r>
        <w:t>Maps</w:t>
      </w:r>
      <w:proofErr w:type="spellEnd"/>
      <w:r>
        <w:t xml:space="preserve"> in Google </w:t>
      </w:r>
      <w:proofErr w:type="spellStart"/>
      <w:r>
        <w:t>Earth</w:t>
      </w:r>
      <w:proofErr w:type="spellEnd"/>
      <w:r>
        <w:t>.</w:t>
      </w:r>
    </w:p>
    <w:p w14:paraId="4EE73FE0" w14:textId="77777777" w:rsidR="009D3BA4" w:rsidRDefault="009D3BA4" w:rsidP="009D3BA4"/>
    <w:p w14:paraId="188A6478" w14:textId="77777777" w:rsidR="009D3BA4" w:rsidRDefault="009D3BA4" w:rsidP="009D3BA4">
      <w:r>
        <w:t>Snemanja namerava opraviti leta 2026 v ugodnih vremenskih razmerah. Pooblastilo velja za 12 mesecev.</w:t>
      </w:r>
    </w:p>
    <w:p w14:paraId="4EB07348" w14:textId="103D1F3F" w:rsidR="008231AA" w:rsidRDefault="009D3BA4" w:rsidP="009D3BA4">
      <w:pPr>
        <w:pStyle w:val="Vir"/>
      </w:pPr>
      <w:r>
        <w:t>Vir: Ministrstvo za obrambo</w:t>
      </w:r>
    </w:p>
    <w:p w14:paraId="22161F40" w14:textId="4CE5145F" w:rsidR="00643BB0" w:rsidRDefault="00643BB0" w:rsidP="00643BB0">
      <w:pPr>
        <w:pStyle w:val="Naslov2"/>
      </w:pPr>
      <w:r>
        <w:t xml:space="preserve">Vidna vloga Slovenije pri izvajanju </w:t>
      </w:r>
      <w:proofErr w:type="spellStart"/>
      <w:r>
        <w:t>makroregionalnih</w:t>
      </w:r>
      <w:proofErr w:type="spellEnd"/>
      <w:r>
        <w:t xml:space="preserve"> strategij v 2025</w:t>
      </w:r>
    </w:p>
    <w:p w14:paraId="7D0E4CC1" w14:textId="24C7B07D" w:rsidR="00643BB0" w:rsidRDefault="00643BB0" w:rsidP="00643BB0">
      <w:r>
        <w:t xml:space="preserve">Vlada Republike Slovenije je sprejela Poročilo o izvajanju </w:t>
      </w:r>
      <w:proofErr w:type="spellStart"/>
      <w:r>
        <w:t>makroregionalnih</w:t>
      </w:r>
      <w:proofErr w:type="spellEnd"/>
      <w:r>
        <w:t xml:space="preserve"> strategij Evropske unije v letu 2025 in ga pošlje v seznanitev Državnemu zboru. Seznanila se je tudi s seznamom slovenskih predstavnikov ministrstev in ostalih institucij, ki sodelujejo v okviru upravnih organov in tematskih skupin Strategije EU za podonavsko regijo, Strategije EU za jadransko-jonsko regijo in Strategije EU za alpsko regijo.  </w:t>
      </w:r>
    </w:p>
    <w:p w14:paraId="28A374FC" w14:textId="77777777" w:rsidR="00643BB0" w:rsidRDefault="00643BB0" w:rsidP="00643BB0"/>
    <w:p w14:paraId="21CBBE8A" w14:textId="77777777" w:rsidR="00643BB0" w:rsidRDefault="00643BB0" w:rsidP="00643BB0">
      <w:r>
        <w:t xml:space="preserve">Slovenija je v specifičnem položaju, saj je edina država, ki je vključena kar v tri od štirih obstoječih strategij (alpska, podonavska in jadransko-jonska), kar prinaša izjemne priložnosti za sodelovanje in oblikovanje sinergij med makroregijami. Sodelovanje v </w:t>
      </w:r>
      <w:proofErr w:type="spellStart"/>
      <w:r>
        <w:t>makroregionalnih</w:t>
      </w:r>
      <w:proofErr w:type="spellEnd"/>
      <w:r>
        <w:t xml:space="preserve"> strategijah Sloveniji omogoča bolj učinkovito uveljavljanje nacionalnih razvojnih in zunanjepolitičnih interesov, krepitev sodelovanja z </w:t>
      </w:r>
      <w:r>
        <w:lastRenderedPageBreak/>
        <w:t>državami Zahodnega Balkana ter aktivno soustvarjanje politik EU na področjih, ki so za Slovenijo strateškega pomena, zlasti na področju kohezijske politike, povezljivosti, zelenega prehoda in regionalnega razvoja.</w:t>
      </w:r>
    </w:p>
    <w:p w14:paraId="2059898E" w14:textId="77777777" w:rsidR="00643BB0" w:rsidRDefault="00643BB0" w:rsidP="00643BB0"/>
    <w:p w14:paraId="25FEC2C3" w14:textId="77777777" w:rsidR="00643BB0" w:rsidRDefault="00643BB0" w:rsidP="00643BB0">
      <w:r>
        <w:t xml:space="preserve">Slovenija je tudi v letu 2025 pri izvajanju </w:t>
      </w:r>
      <w:proofErr w:type="spellStart"/>
      <w:r>
        <w:t>makroregionalnih</w:t>
      </w:r>
      <w:proofErr w:type="spellEnd"/>
      <w:r>
        <w:t xml:space="preserve"> strategij odigrala vidno vlogo. Pomemben prispevek predstavlja izvajanje strateškega projekta "EUSAIR </w:t>
      </w:r>
      <w:proofErr w:type="spellStart"/>
      <w:r>
        <w:t>Facility</w:t>
      </w:r>
      <w:proofErr w:type="spellEnd"/>
      <w:r>
        <w:t xml:space="preserve"> Point", ki ga vodi Ministrstvo za kohezijo in regionalni razvoj, ter organizacija 10. Tedna sredozemske obale in </w:t>
      </w:r>
      <w:proofErr w:type="spellStart"/>
      <w:r>
        <w:t>makroregionalnih</w:t>
      </w:r>
      <w:proofErr w:type="spellEnd"/>
      <w:r>
        <w:t xml:space="preserve"> strategij v Izoli, ki ga je Evropska komisija prepoznala kot primer dobre prakse povezovanja deležnikov in oblikovanja skupnih rešitev na evropski ravni.</w:t>
      </w:r>
    </w:p>
    <w:p w14:paraId="398272D4" w14:textId="77777777" w:rsidR="00643BB0" w:rsidRDefault="00643BB0" w:rsidP="00643BB0"/>
    <w:p w14:paraId="5C7C0D80" w14:textId="77777777" w:rsidR="00643BB0" w:rsidRDefault="00643BB0" w:rsidP="00643BB0">
      <w:r>
        <w:t xml:space="preserve">Pri izvajanju posameznih strategij so bili v letu 2025 doseženi pomembni vsebinski in institucionalni premiki, zlasti prenova akcijskih načrtov EUSAIR in EUSALP ter okrepitev vloge </w:t>
      </w:r>
      <w:proofErr w:type="spellStart"/>
      <w:r>
        <w:t>makroregionalnih</w:t>
      </w:r>
      <w:proofErr w:type="spellEnd"/>
      <w:r>
        <w:t xml:space="preserve"> strategij pri podpori širitvi EU v okviru EUSDR in EUSAIR. Skupni poudarek vseh strategij je bil na krepitvi energetske in podnebne odpornosti, trajnostni mobilnosti, inovacijah, vključevanju mladih ter izboljšanju upravljanja strategij.</w:t>
      </w:r>
    </w:p>
    <w:p w14:paraId="1E1EC337" w14:textId="77777777" w:rsidR="00643BB0" w:rsidRDefault="00643BB0" w:rsidP="00643BB0"/>
    <w:p w14:paraId="1D33D50C" w14:textId="765944A7" w:rsidR="00643BB0" w:rsidRDefault="00643BB0" w:rsidP="00643BB0">
      <w:proofErr w:type="spellStart"/>
      <w:r>
        <w:t>Makroregionalne</w:t>
      </w:r>
      <w:proofErr w:type="spellEnd"/>
      <w:r>
        <w:t xml:space="preserve"> strategije (MRS) EU povezujejo regije in države, ki tvorijo zaokrožene celote na nekem geografskem območju in se soočajo s podobnimi razvojnimi in drugimi izzivi. Predstavljajo inovativno platformo za transnacionalno povezovanje, kadar je treba poiskati rešitev, ki presega nacionalne okvire. EU MRS so tudi pomemben element širitvene politike EU, saj v podonavski in jadransko-jonski strategiji enakopravno sodelujejo tudi vse države kandidatke za članstvo v EU (razen Turčije).</w:t>
      </w:r>
    </w:p>
    <w:p w14:paraId="4EBA5254" w14:textId="34FBCF5F" w:rsidR="008231AA" w:rsidRDefault="00643BB0" w:rsidP="00643BB0">
      <w:pPr>
        <w:pStyle w:val="Vir"/>
      </w:pPr>
      <w:r>
        <w:t>Vir: Ministrstvo za zunanje in evropske zadeve Republike Slovenije</w:t>
      </w:r>
    </w:p>
    <w:p w14:paraId="360ECE27" w14:textId="70AC800A" w:rsidR="00D32B6A" w:rsidRDefault="00D32B6A" w:rsidP="00D32B6A">
      <w:pPr>
        <w:pStyle w:val="Naslov2"/>
      </w:pPr>
      <w:r>
        <w:t>Poročilo o delu Medresorske delovne skupine za enotni patentni sistem</w:t>
      </w:r>
    </w:p>
    <w:p w14:paraId="4913653C" w14:textId="77777777" w:rsidR="00D32B6A" w:rsidRDefault="00D32B6A" w:rsidP="00D32B6A">
      <w:r>
        <w:t>Vlada je sprejela Končno poročilo o delu Medresorske delovne skupine za enotni patentni sistem (MDS) in ugotovila, da je delovna skupina prenehala z delovanjem.</w:t>
      </w:r>
    </w:p>
    <w:p w14:paraId="081F898A" w14:textId="77777777" w:rsidR="00D32B6A" w:rsidRDefault="00D32B6A" w:rsidP="00D32B6A"/>
    <w:p w14:paraId="3CEC2556" w14:textId="77777777" w:rsidR="00D32B6A" w:rsidRDefault="00D32B6A" w:rsidP="00D32B6A">
      <w:r>
        <w:t>Vlada je 4. julija 2013 s sklepom ustanovila MDS za izvajanje aktivnosti, povezanih z uvedbo enotnega patentnega sistema. Njena temeljna naloga je bila priprava in uskladitev strokovnih podlag za aktivno sodelovanje predstavnikov Republike Slovenije v okviru pripravljalnih aktivnosti za uvedbo enotnega patentnega sistema.</w:t>
      </w:r>
    </w:p>
    <w:p w14:paraId="4A61228B" w14:textId="77777777" w:rsidR="00D32B6A" w:rsidRDefault="00D32B6A" w:rsidP="00D32B6A"/>
    <w:p w14:paraId="0B770138" w14:textId="77777777" w:rsidR="00D32B6A" w:rsidRDefault="00D32B6A" w:rsidP="00D32B6A">
      <w:r>
        <w:t>V delovni skupini je sodelovalo štirinajst članov iz petih organov. Poleg predstavnikov takratnega Ministrstva za gospodarski razvoj in tehnologijo (zdaj Ministrstva za gospodarstvo, turizem in šport) in Urada Republike Slovenije za intelektualno lastnino so sodelovali tudi predstavniki Ministrstva za pravosodje, Ministrstva za zunanje zadeve (zdaj Ministrstva za zunanje in evropske zadeve) ter Ministrstva za finance.</w:t>
      </w:r>
    </w:p>
    <w:p w14:paraId="6F768933" w14:textId="77777777" w:rsidR="00D32B6A" w:rsidRDefault="00D32B6A" w:rsidP="00D32B6A"/>
    <w:p w14:paraId="317A4AC9" w14:textId="77777777" w:rsidR="00D32B6A" w:rsidRDefault="00D32B6A" w:rsidP="00D32B6A">
      <w:r>
        <w:t>Med najpomembnejšimi nalogami delovne skupine so bile priprava gradiv za ratifikacijo Sporazuma o enotnem sodišču za patente in Protokola o začasni uporabi sporazuma ter podpisa Protokola o privilegijih in imunitetah Enotnega sodišča za patente,  aktivnosti v zvezi z ustanovitvijo lokalne ali regionalne enote Enotnega sodišča za patente, vzpostavitev pogojev za začetek delovanja Centra za mediacijo in arbitražo za patente, ki je del Enotnega sodišča za patente, zlasti v času do imenovanja direktorja tega centra ter sodelovanje v Pripravljalnem odboru Enotnega sodišča za patente in sodelovanje v Ožjem odboru Upravnega sveta Evropske patentne organizacije.</w:t>
      </w:r>
    </w:p>
    <w:p w14:paraId="3B93D22B" w14:textId="77777777" w:rsidR="00D32B6A" w:rsidRDefault="00D32B6A" w:rsidP="00D32B6A"/>
    <w:p w14:paraId="30F28A99" w14:textId="77777777" w:rsidR="00D32B6A" w:rsidRDefault="00D32B6A" w:rsidP="00D32B6A">
      <w:r>
        <w:t xml:space="preserve">Sporazum o enotnem sodišču za patente je začel veljati 1. junija 2023, istega dne pa je začel delovati tudi sistem evropskega patenta z enotnim učinkom. S tem so bili doseženi ključni cilji, zaradi katerih je bila delovna skupina ustanovljena. Zato delovna skupina ni več potrebna in je prenehala z </w:t>
      </w:r>
      <w:r>
        <w:lastRenderedPageBreak/>
        <w:t>delovanjem. Center za mediacijo in arbitražo za patente pa sam nadaljuje priprave za vzpostavitev svoje operativnosti.</w:t>
      </w:r>
    </w:p>
    <w:p w14:paraId="63BBD44A" w14:textId="77777777" w:rsidR="00D32B6A" w:rsidRDefault="00D32B6A" w:rsidP="00D32B6A"/>
    <w:p w14:paraId="37CC0A60" w14:textId="77777777" w:rsidR="00D32B6A" w:rsidRDefault="00D32B6A" w:rsidP="00D32B6A">
      <w:r>
        <w:t>Nadaljnje naloge na tem področju izvajata Ministrstvo za pravosodje in Urad Republike Slovenije za intelektualno lastnino, ki ostajata vključena v delovanje sistema.</w:t>
      </w:r>
    </w:p>
    <w:p w14:paraId="6928D187" w14:textId="77777777" w:rsidR="00D32B6A" w:rsidRDefault="00D32B6A" w:rsidP="00D32B6A">
      <w:pPr>
        <w:pStyle w:val="Vir"/>
      </w:pPr>
      <w:r>
        <w:t>Vir: Ministrstvo za gospodarstvo, turizem in šport</w:t>
      </w:r>
    </w:p>
    <w:p w14:paraId="6D399F5A" w14:textId="4A2A4B67" w:rsidR="0003692D" w:rsidRDefault="0003692D" w:rsidP="0003692D">
      <w:pPr>
        <w:pStyle w:val="Naslov2"/>
      </w:pPr>
      <w:r>
        <w:t>Vlada sprejela končno poročilo o delu delovne skupine za pripravo akcijskega načrta na področju intelektualne lastnine</w:t>
      </w:r>
    </w:p>
    <w:p w14:paraId="4EA67A02" w14:textId="77777777" w:rsidR="0003692D" w:rsidRDefault="0003692D" w:rsidP="0003692D">
      <w:r>
        <w:t>Vlada je sprejela končno poročilo o delu Delovne skupine vlade za pripravo Akcijskega načrta za izvajanje Nacionalne strategije intelektualne lastnine do leta 2030 in ugotovila, da je delovna skupina svoje delo zaključila.</w:t>
      </w:r>
    </w:p>
    <w:p w14:paraId="63A38DEB" w14:textId="77777777" w:rsidR="0003692D" w:rsidRDefault="0003692D" w:rsidP="0003692D"/>
    <w:p w14:paraId="14885F7E" w14:textId="77777777" w:rsidR="0003692D" w:rsidRDefault="0003692D" w:rsidP="0003692D">
      <w:r>
        <w:t>Medresorska delovna skupina je bila ustanovljena na podlagi sklepa vlade za pripravo Akcijskega načrta za izvajanje Nacionalne strategije intelektualne lastnine do leta 2030.</w:t>
      </w:r>
    </w:p>
    <w:p w14:paraId="4EC4268F" w14:textId="77777777" w:rsidR="0003692D" w:rsidRDefault="0003692D" w:rsidP="0003692D"/>
    <w:p w14:paraId="56082838" w14:textId="77777777" w:rsidR="0003692D" w:rsidRDefault="0003692D" w:rsidP="0003692D">
      <w:r>
        <w:t>V njenem okviru je sodelovalo 12 članov in 12 namestnikov članov iz 11 organov in institucij. Poleg Ministrstva za gospodarstvo, turizem in šport in Urada Republike Slovenije za intelektualno lastnino so v medresorski delovni skupini sodelovali tudi predstavniki Ministrstva za digitalno preobrazbo, Ministrstva za finance, Ministrstva za javno upravo, Ministrstva za kmetijstvo, gozdarstvo in prehrano, Ministrstva za kulturo, Ministrstva za pravosodje, Ministrstva za visoko šolstvo, znanost in inovacije, Ministrstva za vzgojo in izobraževanje in Javne Agencije za znanstvenoraziskovalno in inovacijsko dejavnost Republike Slovenije.</w:t>
      </w:r>
    </w:p>
    <w:p w14:paraId="11FBD83E" w14:textId="77777777" w:rsidR="0003692D" w:rsidRDefault="0003692D" w:rsidP="0003692D"/>
    <w:p w14:paraId="05A38B95" w14:textId="77777777" w:rsidR="0003692D" w:rsidRDefault="0003692D" w:rsidP="0003692D">
      <w:r>
        <w:t>Vlada Republike Slovenije je akcijski načrt sprejela 19. junija 2025, natanko leto dni po sprejetju Nacionalne strategije intelektualne lastnine do leta 2030.</w:t>
      </w:r>
    </w:p>
    <w:p w14:paraId="6E2E8A6C" w14:textId="77777777" w:rsidR="0003692D" w:rsidRDefault="0003692D" w:rsidP="0003692D"/>
    <w:p w14:paraId="0A815363" w14:textId="77777777" w:rsidR="0003692D" w:rsidRDefault="0003692D" w:rsidP="0003692D">
      <w:r>
        <w:t>Ker je delovna skupina izpolnila nalogo, zaradi katere je bila ustanovljena, obstoj le-te ni več potreben.</w:t>
      </w:r>
    </w:p>
    <w:p w14:paraId="47E712E1" w14:textId="3436CED7" w:rsidR="008231AA" w:rsidRDefault="0003692D" w:rsidP="0003692D">
      <w:pPr>
        <w:pStyle w:val="Vir"/>
      </w:pPr>
      <w:r>
        <w:t>Vir: Ministrstvo za gospodarstvo, turizem in šport</w:t>
      </w:r>
    </w:p>
    <w:p w14:paraId="544B99B7" w14:textId="2E886397" w:rsidR="005E3C50" w:rsidRDefault="005E3C50" w:rsidP="005E3C50">
      <w:pPr>
        <w:pStyle w:val="Naslov2"/>
      </w:pPr>
      <w:r>
        <w:t>Vlada sprejela končno poročilo o delu delovne skupine za pripravo Nacionalne strategije varstva intelektualne lastnine do leta 2030</w:t>
      </w:r>
    </w:p>
    <w:p w14:paraId="1AB09BFB" w14:textId="77777777" w:rsidR="005E3C50" w:rsidRDefault="005E3C50" w:rsidP="005E3C50">
      <w:r>
        <w:t>Vlada je sprejela končno poročilo o delu Delovne skupine vlade za pripravo Nacionalne strategije varstva intelektualne lastnine do leta 2030 in ugotovila, da je delovna skupina svoje delo zaključila.</w:t>
      </w:r>
    </w:p>
    <w:p w14:paraId="045C9E2A" w14:textId="77777777" w:rsidR="005E3C50" w:rsidRDefault="005E3C50" w:rsidP="005E3C50"/>
    <w:p w14:paraId="702C6AA6" w14:textId="77777777" w:rsidR="005E3C50" w:rsidRDefault="005E3C50" w:rsidP="005E3C50">
      <w:r>
        <w:t>Medresorska delovna skupina je bila ustanovljena na podlagi sklepa vlade za pripravo Nacionalne strategije varstva intelektualne lastnine do leta 2030.</w:t>
      </w:r>
    </w:p>
    <w:p w14:paraId="730467C0" w14:textId="77777777" w:rsidR="005E3C50" w:rsidRDefault="005E3C50" w:rsidP="005E3C50"/>
    <w:p w14:paraId="0B0D1DED" w14:textId="77777777" w:rsidR="005E3C50" w:rsidRDefault="005E3C50" w:rsidP="005E3C50">
      <w:r>
        <w:t>V njenem okviru je sodelovalo štiriindvajset članov iz enajst organov in institucij. Poleg Ministrstva za gospodarstvo, turizem in šport in Urada Republike Slovenije za intelektualno lastnino so v medresorski delovni skupini sodelovali tudi predstavniki Kabineta predsednika vlade, Ministrstva za digitalno preobrazbo, Ministrstva za finance, Ministrstva za kmetijstvo, gozdarstvo in prehrano, Ministrstva za kulturo, Ministrstva za pravosodje, Ministrstva za visoko šolstvo, znanost in inovacije, Ministrstva za vzgojo in izobraževanje in Javne agencije za znanstvenoraziskovalno in inovacijsko dejavnost Republike Slovenije.</w:t>
      </w:r>
    </w:p>
    <w:p w14:paraId="1141B33D" w14:textId="77777777" w:rsidR="005E3C50" w:rsidRDefault="005E3C50" w:rsidP="005E3C50"/>
    <w:p w14:paraId="2085F019" w14:textId="77777777" w:rsidR="005E3C50" w:rsidRDefault="005E3C50" w:rsidP="005E3C50">
      <w:r>
        <w:t xml:space="preserve">Pri delu medresorske delovne skupine sta sodelovala tudi predstavnika Pravne fakultete Univerze v Ljubljani in Pravne fakultete Univerze v Mariboru ter predstavnik Koordinacije samostojnih raziskovalnih inštitutov Slovenije. Pri pripravi predloga Nacionalne strategije intelektualne lastnine do </w:t>
      </w:r>
      <w:r>
        <w:lastRenderedPageBreak/>
        <w:t>leta 2030 je medresorski delovni skupini nudila tehnično in strokovno pomoč tudi Svetovna organizacija za intelektualno lastnino (WIPO), predvsem v obliki zagotavljanja zunanje strokovne pomoči.</w:t>
      </w:r>
    </w:p>
    <w:p w14:paraId="4D58A6C1" w14:textId="77777777" w:rsidR="005E3C50" w:rsidRDefault="005E3C50" w:rsidP="005E3C50"/>
    <w:p w14:paraId="5D021261" w14:textId="77777777" w:rsidR="005E3C50" w:rsidRDefault="005E3C50" w:rsidP="005E3C50">
      <w:r>
        <w:t>Vlada Republike Slovenije je Nacionalno strategijo varstva intelektualne lastnine do leta 2030 sprejela 19. junija 2024, delovna skupina pa je z izpolnitvijo nalog, zaradi katerih je bila ustanovljena, prenehala z delovanjem.</w:t>
      </w:r>
    </w:p>
    <w:p w14:paraId="0076ABC1" w14:textId="77777777" w:rsidR="005E3C50" w:rsidRDefault="005E3C50" w:rsidP="005E3C50">
      <w:pPr>
        <w:pStyle w:val="Vir"/>
      </w:pPr>
      <w:r>
        <w:t>Vir: Ministrstvo za gospodarstvo, turizem in šport</w:t>
      </w:r>
    </w:p>
    <w:p w14:paraId="38D16F7E" w14:textId="6A6526C6" w:rsidR="00016B54" w:rsidRDefault="00016B54" w:rsidP="00016B54">
      <w:pPr>
        <w:pStyle w:val="Naslov2"/>
      </w:pPr>
      <w:r>
        <w:t>Sprejeto poročilo o izvajanju Strategije meroslovja v Republiki Sloveniji do 2025</w:t>
      </w:r>
    </w:p>
    <w:p w14:paraId="361E623C" w14:textId="77777777" w:rsidR="00016B54" w:rsidRDefault="00016B54" w:rsidP="00016B54">
      <w:r>
        <w:t xml:space="preserve">Vlada Republike Slovenije je sprejela Poročilo o izvajanju Strategije meroslovja v Republiki Sloveniji do 2025 - Meroslovje za tehnološki preboj. Ob tem velja, da ministrstva pri izvajanju svojih pristojnosti do sprejetja nove strategije upoštevajo cilje veljavnega strategije. </w:t>
      </w:r>
    </w:p>
    <w:p w14:paraId="46AB79A7" w14:textId="77777777" w:rsidR="00016B54" w:rsidRDefault="00016B54" w:rsidP="00016B54"/>
    <w:p w14:paraId="3B66DE0D" w14:textId="77777777" w:rsidR="00016B54" w:rsidRDefault="00016B54" w:rsidP="00016B54">
      <w:r>
        <w:t xml:space="preserve">Poročilo, ki ga je 21. januarja 2026 obravnaval in potrdil Strokovni meroslovni svet, podaja pregled uresničevanja vizije in strateških ciljev nacionalnega meroslovnega sistema v obdobju 2018–2024. Strategija je bila usmerjena v razvoj in vzdrževanje mednarodno primerljivega meroslovnega sistema, ki podpira konkurenčnost gospodarstva, znanost, zakonodajo, varnost, zdravje, varstvo okolja ter zaščito potrošnikov. </w:t>
      </w:r>
    </w:p>
    <w:p w14:paraId="74615F27" w14:textId="77777777" w:rsidR="00016B54" w:rsidRDefault="00016B54" w:rsidP="00016B54"/>
    <w:p w14:paraId="568C517B" w14:textId="77777777" w:rsidR="00016B54" w:rsidRDefault="00016B54" w:rsidP="00016B54">
      <w:r>
        <w:t xml:space="preserve">Ugotovitve poročila kažejo, da nobeden izmed petnajstih strateških ciljev ni v celoti realiziran, šest od petnajstih strateških ciljev je realizirano v pretežni meri, ostalih devet deloma. Da bo večina ciljev realizirana v celoti, je treba pripraviti nov Zakon o meroslovju in zaključiti pripravo enotne povezovalne točke. </w:t>
      </w:r>
    </w:p>
    <w:p w14:paraId="601EAE54" w14:textId="77777777" w:rsidR="00016B54" w:rsidRDefault="00016B54" w:rsidP="00016B54"/>
    <w:p w14:paraId="1412B3C5" w14:textId="77777777" w:rsidR="00016B54" w:rsidRDefault="00016B54" w:rsidP="00016B54">
      <w:r>
        <w:t>Poročilo hkrati potrjuje, da vsi zastavljeni cilji strategije ostajajo aktualni, vključno s podcilji, ki so že bili doseženi, zato je smiselno obstoječo strategijo podaljšati do izpolnitve ciljev. Glede na pospešen tehnološki razvoj pa bo po sprejemu novega Zakona o meroslovju nujna tudi priprava izhodišč za nadgradnjo in dopolnitev strategije.</w:t>
      </w:r>
    </w:p>
    <w:p w14:paraId="5D6B63C0" w14:textId="77777777" w:rsidR="00016B54" w:rsidRDefault="00016B54" w:rsidP="00016B54">
      <w:pPr>
        <w:pStyle w:val="Vir"/>
      </w:pPr>
      <w:r>
        <w:t>Vir: Ministrstvo za gospodarstvo, turizem in šport</w:t>
      </w:r>
    </w:p>
    <w:p w14:paraId="44855F79" w14:textId="4C9B098C" w:rsidR="00AB5366" w:rsidRDefault="00AB5366" w:rsidP="00AB5366">
      <w:pPr>
        <w:pStyle w:val="Naslov2"/>
      </w:pPr>
      <w:r>
        <w:t>Odgovor Zagovorniku načela enakosti glede vzgoje in izobraževanja romskih otrok</w:t>
      </w:r>
    </w:p>
    <w:p w14:paraId="33FF047B" w14:textId="77777777" w:rsidR="00AB5366" w:rsidRDefault="00AB5366" w:rsidP="00AB5366">
      <w:r>
        <w:t>Vlada Republike Slovenije je sprejela odgovor na Posebno poročilo Zagovornika načela enakosti na temo Izzivi pri vzgoji in izobraževanju romskih otrok in mladostnikov.</w:t>
      </w:r>
    </w:p>
    <w:p w14:paraId="595BAC90" w14:textId="77777777" w:rsidR="00AB5366" w:rsidRDefault="00AB5366" w:rsidP="00AB5366"/>
    <w:p w14:paraId="2CF7EDE6" w14:textId="77777777" w:rsidR="00AB5366" w:rsidRDefault="00AB5366" w:rsidP="00AB5366">
      <w:r>
        <w:t xml:space="preserve">Vlada je skladno z določili Zakona o romski skupnosti imenovala delovno skupino za obravnavo romske problematike, katere izvirna naloga je spremljanje uresničevanja Nacionalnega programa ukrepov za Rome za obdobje 2021–2030. Delovna skupina je Uradu vlade za narodnosti naložila, da v sodelovanju z resorji pripravi primerjalno analizo predlaganih kazalnikov za obdobje 2023–2025. Urad bo z deležniki pri vmesni evalvaciji upošteval priporočila Varuha človekovih pravic, Zagovornika načela enakosti ter mednarodna priporočila, standarde in strateške dokumente Evropske komisije, Sveta Evrope. V postopku bo posebna pozornost namenjena novi Strategiji Sveta Evrope za vključevanje Romov in Popotnikov 2026–2030. V okviru vmesne evalvacije bodo v sodelovanju z resornimi ministrstvi in ostalimi institucijami lahko oblikovani tudi predlogi za dopolnitev ali spremembe nacionalnega programa. </w:t>
      </w:r>
    </w:p>
    <w:p w14:paraId="3E6E6560" w14:textId="77777777" w:rsidR="00AB5366" w:rsidRDefault="00AB5366" w:rsidP="00AB5366"/>
    <w:p w14:paraId="2C33DF08" w14:textId="77777777" w:rsidR="00AB5366" w:rsidRDefault="00AB5366" w:rsidP="00AB5366">
      <w:r>
        <w:t xml:space="preserve">Vlada med drugim tudi pojasnjuje, da številni ukrepi že omogočajo brezplačno udeležbo socialno ogroženih otrok v obšolskih dejavnostih, vendar sistem še ni povsem enoten. V okviru razširjenega </w:t>
      </w:r>
      <w:r>
        <w:lastRenderedPageBreak/>
        <w:t xml:space="preserve">programa osnovne šole so številne dejavnosti za učence brezplačne, dodatno pa projekt Skupaj za znanje omogoča organizirane popoldanske aktivnosti, pogosto tudi s prevozom ali spremstvom. </w:t>
      </w:r>
    </w:p>
    <w:p w14:paraId="5CFFF080" w14:textId="77777777" w:rsidR="00AB5366" w:rsidRDefault="00AB5366" w:rsidP="00AB5366"/>
    <w:p w14:paraId="1EC03729" w14:textId="77777777" w:rsidR="00AB5366" w:rsidRDefault="00AB5366" w:rsidP="00AB5366">
      <w:r>
        <w:t xml:space="preserve">Prisotnost romskih pomočnikov v vzgoji in izobraževanju se povečuje, vendar njihova zaposlitev še ni zagotovljena v vseh okoljih, kjer bi bila potrebna. Ključna omejitev ostaja pomanjkanje ustrezno usposobljenih kadrov, saj je število pripadnikov romske skupnosti z ustrezno izobrazbo omejeno. Kljub temu se število pomočnikov povečuje, njihovo financiranje pa se postopno stabilizira, pri čemer se razvoj prednostno usmerja v območja z večjo koncentracijo romskih otrok. Mentorstvo za romske učence se že izvaja v okviru obstoječih programov, zlasti skozi projekt Skupaj za znanje in delo strokovnih služb, vendar sistemsko, posebej vzpostavljeno mentorstvo kot samostojen ukrep ni predvideno. Usposabljanja pedagoških delavcev za delo v raznolikih okoljih se izvajajo kontinuirano kot del profesionalnega razvoja. Potekajo prek različnih programov in vključujejo medkulturne kompetence, delo z učenci iz različnih okolij ter preprečevanje diskriminacije, del aktivnosti se izvaja tudi v sodelovanju z romsko skupnostjo. </w:t>
      </w:r>
    </w:p>
    <w:p w14:paraId="5840FEDE" w14:textId="77777777" w:rsidR="00AB5366" w:rsidRDefault="00AB5366" w:rsidP="00AB5366"/>
    <w:p w14:paraId="61BA39FC" w14:textId="4F10F2D7" w:rsidR="00AB5366" w:rsidRDefault="00AB5366" w:rsidP="00AB5366">
      <w:r>
        <w:t xml:space="preserve">Romski učenci kot državljani Slovenije so že danes upravičeni do vseh splošnih oblik štipendiranja, ki temeljijo na univerzalnih, socialnih ali meritvenih merilih. Državna štipendija, Zoisova štipendija, štipendije za deficitarne poklice in druge oblike podpore so dostopne na podlagi socialno-ekonomskih okoliščin, uspeha ali izbire poklica ne glede na etnično pripadnost. Pri številnih romskih družinah so socialni kriteriji že izpolnjeni, zato obstoječi sistem v praksi zajame mnoge med njimi. Vlada ob tem opozarja, da bi uvedba etnično specifičnih štipendij lahko prinesla tudi določena tveganja. Poleg morebitne stigmatizacije prejemnikov bi tak ukrep zahteval natančno tehtanje sorazmernosti, saj mora biti vsak poseben ukrep jasno utemeljen, ciljno naravnan in oblikovan tako, da ne ustvarja novih razlik. Stališče vlade je, da univerzalno zasnovan štipendijski sistem, ki že vsebuje socialne korektive, zadostuje. </w:t>
      </w:r>
    </w:p>
    <w:p w14:paraId="404F706F" w14:textId="77777777" w:rsidR="00AB5366" w:rsidRDefault="00AB5366" w:rsidP="00AB5366"/>
    <w:p w14:paraId="42991DC7" w14:textId="77777777" w:rsidR="00AB5366" w:rsidRDefault="00AB5366" w:rsidP="00AB5366">
      <w:r>
        <w:t>V prihodnje bo pomembno spremljati, ali univerzalni ukrepi zadostujejo pri zmanjševanju izobraževalnih razlik, ali pa bo treba razmisliti o dopolnitvah, ki bodo bolj neposredno odgovarjale na potrebe romske skupnosti. Ključno je, da se vsak ukrep usmerja v ustvarjanje pogojev, kjer bo vsak mlad človek, ne glede na okoliščine, imel enakovredno priložnost razviti svoje potenciale.</w:t>
      </w:r>
    </w:p>
    <w:p w14:paraId="071831C4" w14:textId="77777777" w:rsidR="00AB5366" w:rsidRDefault="00AB5366" w:rsidP="00AB5366">
      <w:pPr>
        <w:pStyle w:val="Vir"/>
      </w:pPr>
      <w:r>
        <w:t>Vir: Ministrstvo za notranje zadeve</w:t>
      </w:r>
    </w:p>
    <w:p w14:paraId="2438EB91" w14:textId="29B0F69D" w:rsidR="0001381A" w:rsidRPr="00523549" w:rsidRDefault="0001381A" w:rsidP="0001381A">
      <w:pPr>
        <w:pStyle w:val="Naslov2"/>
      </w:pPr>
      <w:r w:rsidRPr="00523549">
        <w:t>Osemnajsto poročilo o realizaciji ukrepov iz enotne zbirke ukrepov za boljše zakonodajno in poslovno okolje ter dvig konkurenčnosti</w:t>
      </w:r>
    </w:p>
    <w:p w14:paraId="6054291A" w14:textId="77777777" w:rsidR="0001381A" w:rsidRPr="00D555B9" w:rsidRDefault="0001381A" w:rsidP="0001381A">
      <w:pPr>
        <w:spacing w:line="240" w:lineRule="auto"/>
        <w:jc w:val="both"/>
        <w:rPr>
          <w:rFonts w:cs="Arial"/>
          <w:szCs w:val="20"/>
        </w:rPr>
      </w:pPr>
      <w:r w:rsidRPr="00D555B9">
        <w:rPr>
          <w:rFonts w:cs="Arial"/>
          <w:szCs w:val="20"/>
        </w:rPr>
        <w:t>Vlada Republike Slovenije se je seznanila z osemnajstim poročilom o realizaciji ukrepov iz Enotne zbirke ukrepov za boljše zakonodajno in poslovno okolje ter dvig konkurenčnosti, s stanjem na dan 31. 12. 2025.</w:t>
      </w:r>
    </w:p>
    <w:p w14:paraId="17B9BBBD" w14:textId="77777777" w:rsidR="0001381A" w:rsidRPr="00D555B9" w:rsidRDefault="0001381A" w:rsidP="0001381A">
      <w:pPr>
        <w:spacing w:line="240" w:lineRule="auto"/>
        <w:jc w:val="both"/>
        <w:rPr>
          <w:rFonts w:cs="Arial"/>
          <w:szCs w:val="20"/>
        </w:rPr>
      </w:pPr>
    </w:p>
    <w:p w14:paraId="4B640DB6" w14:textId="77777777" w:rsidR="0001381A" w:rsidRPr="00D555B9" w:rsidRDefault="0001381A" w:rsidP="0001381A">
      <w:pPr>
        <w:overflowPunct w:val="0"/>
        <w:autoSpaceDE w:val="0"/>
        <w:autoSpaceDN w:val="0"/>
        <w:adjustRightInd w:val="0"/>
        <w:spacing w:line="240" w:lineRule="auto"/>
        <w:jc w:val="both"/>
        <w:textAlignment w:val="baseline"/>
        <w:rPr>
          <w:rFonts w:eastAsia="Calibri" w:cs="Arial"/>
          <w:noProof/>
          <w:szCs w:val="20"/>
        </w:rPr>
      </w:pPr>
      <w:r w:rsidRPr="00D555B9">
        <w:rPr>
          <w:rFonts w:cs="Arial"/>
          <w:szCs w:val="20"/>
        </w:rPr>
        <w:t xml:space="preserve">V skladu s sklepom vlade je Ministrstvo za javno upravo zbralo posamezna poročila organov in pripravilo skupno poročilo. V poročilu je predstavljena trenutna stopnja realizacije ukrepov, ki so bili uvrščeni v Enotno zbirko ukrepov. Predmet osemnajstega poročanja (od 1. 1. 2025 do 31. 12. 2025) so bili ukrepi, ki so bili realizirani v letu 2025, in ukrepi, na katerih so resorji izvajali aktivnosti v letu 2025. </w:t>
      </w:r>
      <w:r w:rsidRPr="00D555B9">
        <w:rPr>
          <w:rFonts w:eastAsia="Calibri" w:cs="Arial"/>
          <w:noProof/>
          <w:szCs w:val="20"/>
        </w:rPr>
        <w:t xml:space="preserve">Leta 2025 je bilo realiziranih 25 ukrepov. </w:t>
      </w:r>
    </w:p>
    <w:p w14:paraId="586EE6F7" w14:textId="77777777" w:rsidR="0001381A" w:rsidRPr="00D555B9" w:rsidRDefault="0001381A" w:rsidP="0001381A">
      <w:pPr>
        <w:overflowPunct w:val="0"/>
        <w:autoSpaceDE w:val="0"/>
        <w:autoSpaceDN w:val="0"/>
        <w:adjustRightInd w:val="0"/>
        <w:spacing w:line="240" w:lineRule="auto"/>
        <w:jc w:val="both"/>
        <w:textAlignment w:val="baseline"/>
        <w:rPr>
          <w:rFonts w:eastAsia="Calibri" w:cs="Arial"/>
          <w:noProof/>
          <w:szCs w:val="20"/>
        </w:rPr>
      </w:pPr>
    </w:p>
    <w:p w14:paraId="319F887E" w14:textId="77777777" w:rsidR="0001381A" w:rsidRPr="00D555B9" w:rsidRDefault="0001381A" w:rsidP="0001381A">
      <w:pPr>
        <w:spacing w:line="240" w:lineRule="auto"/>
        <w:jc w:val="both"/>
        <w:rPr>
          <w:rFonts w:cs="Arial"/>
          <w:bCs/>
          <w:noProof/>
          <w:szCs w:val="20"/>
        </w:rPr>
      </w:pPr>
      <w:r w:rsidRPr="00D555B9">
        <w:rPr>
          <w:rFonts w:cs="Arial"/>
          <w:noProof/>
          <w:szCs w:val="20"/>
        </w:rPr>
        <w:t>Trenutno stanje v enotni zbirku ukrepov je tako naslednje: od skupaj 439 ukrepov je na dan 31. 12. 2025</w:t>
      </w:r>
      <w:r w:rsidRPr="00D555B9">
        <w:rPr>
          <w:rFonts w:cs="Arial"/>
          <w:bCs/>
          <w:noProof/>
          <w:szCs w:val="20"/>
        </w:rPr>
        <w:t xml:space="preserve"> realiziranih 396 ukrepov (90,2 %), delno realiziranih pa 42 ukrepov (9,6 %). Več informacij, realizacija, statistika in letna poročila so objavljena na spletni strani </w:t>
      </w:r>
      <w:hyperlink r:id="rId13" w:history="1">
        <w:r w:rsidRPr="00D555B9">
          <w:rPr>
            <w:rStyle w:val="Hiperpovezava"/>
            <w:rFonts w:cs="Arial"/>
            <w:noProof/>
            <w:szCs w:val="20"/>
          </w:rPr>
          <w:t>Enotna zbirka ukrepov</w:t>
        </w:r>
      </w:hyperlink>
      <w:r w:rsidRPr="00D555B9">
        <w:rPr>
          <w:rFonts w:cs="Arial"/>
          <w:bCs/>
          <w:noProof/>
          <w:szCs w:val="20"/>
        </w:rPr>
        <w:t>.</w:t>
      </w:r>
    </w:p>
    <w:p w14:paraId="50441FCA" w14:textId="77777777" w:rsidR="0001381A" w:rsidRPr="00D555B9" w:rsidRDefault="0001381A" w:rsidP="0001381A">
      <w:pPr>
        <w:spacing w:line="240" w:lineRule="auto"/>
        <w:jc w:val="both"/>
        <w:rPr>
          <w:rFonts w:cs="Arial"/>
          <w:bCs/>
          <w:noProof/>
          <w:szCs w:val="20"/>
        </w:rPr>
      </w:pPr>
    </w:p>
    <w:p w14:paraId="6084764D" w14:textId="77777777" w:rsidR="0001381A" w:rsidRPr="00D555B9" w:rsidRDefault="0001381A" w:rsidP="0001381A">
      <w:pPr>
        <w:spacing w:line="240" w:lineRule="auto"/>
        <w:jc w:val="both"/>
        <w:rPr>
          <w:rFonts w:cs="Arial"/>
          <w:noProof/>
          <w:szCs w:val="20"/>
        </w:rPr>
      </w:pPr>
      <w:r w:rsidRPr="00D555B9">
        <w:rPr>
          <w:rFonts w:cs="Arial"/>
          <w:noProof/>
          <w:szCs w:val="20"/>
        </w:rPr>
        <w:t xml:space="preserve">S ciljem krepitve rasti gospodarstva, povečevanja konkurenčnosti podjetij ter vzpostavitve stabilnega in privlačnega poslovnega okolja je Vlada leta 2013 sprejela </w:t>
      </w:r>
      <w:r w:rsidRPr="00D555B9">
        <w:rPr>
          <w:rFonts w:cs="Arial"/>
          <w:bCs/>
          <w:noProof/>
          <w:szCs w:val="20"/>
        </w:rPr>
        <w:t>Enotno zbirko ukrepov za boljše zakonodajno in poslovno okolje ter dvig konkurenčnosti.</w:t>
      </w:r>
    </w:p>
    <w:p w14:paraId="54BB53B8" w14:textId="77777777" w:rsidR="0001381A" w:rsidRPr="00D555B9" w:rsidRDefault="0001381A" w:rsidP="0001381A">
      <w:pPr>
        <w:spacing w:line="240" w:lineRule="auto"/>
        <w:jc w:val="both"/>
        <w:rPr>
          <w:rFonts w:cs="Arial"/>
          <w:noProof/>
          <w:szCs w:val="20"/>
        </w:rPr>
      </w:pPr>
    </w:p>
    <w:p w14:paraId="31879B54" w14:textId="77777777" w:rsidR="0001381A" w:rsidRPr="00D555B9" w:rsidRDefault="0001381A" w:rsidP="0001381A">
      <w:pPr>
        <w:spacing w:line="240" w:lineRule="auto"/>
        <w:jc w:val="both"/>
        <w:rPr>
          <w:rFonts w:cs="Arial"/>
          <w:noProof/>
          <w:szCs w:val="20"/>
        </w:rPr>
      </w:pPr>
      <w:r w:rsidRPr="00D555B9">
        <w:rPr>
          <w:rFonts w:cs="Arial"/>
          <w:noProof/>
          <w:szCs w:val="20"/>
        </w:rPr>
        <w:lastRenderedPageBreak/>
        <w:t>Osnovni namen Enotne zbirke ukrepov je v tem, da se na enem mestu zagotovi transparentnost čim večjega števila ukrepov, ki jih posamezni organi izvajajo z namenom poenostavljanja poslovnega in zakonodajnega okolja, ki imajo ugodne učinke, bodisi na prebivalstvo, bodisi na poslovne subjekte ali na učinkovitost javne uprave. Z Enotno zbirko ukrepov se zlasti zagotavlja preglednost izvedbe ukrepov s strani nosilnih organov in omogoča izvajanje kvantitativnih ali kvalitativnih evalvacij doseženih učinkov ukrepov.</w:t>
      </w:r>
    </w:p>
    <w:p w14:paraId="3A5EA50E" w14:textId="77777777" w:rsidR="0001381A" w:rsidRDefault="0001381A" w:rsidP="0001381A">
      <w:pPr>
        <w:pStyle w:val="Vir"/>
      </w:pPr>
      <w:r>
        <w:t>Vir: Ministrstvo za javno upravo</w:t>
      </w:r>
    </w:p>
    <w:p w14:paraId="54C96DA6" w14:textId="1AF6B3FA" w:rsidR="00213D0E" w:rsidRDefault="00213D0E" w:rsidP="00213D0E">
      <w:pPr>
        <w:pStyle w:val="Naslov2"/>
      </w:pPr>
      <w:r>
        <w:t>Vlada se seznanila s poročilom o izboljšanju kakovosti okolja na Koroškem</w:t>
      </w:r>
    </w:p>
    <w:p w14:paraId="2F5DFD72" w14:textId="77777777" w:rsidR="00213D0E" w:rsidRDefault="00213D0E" w:rsidP="00213D0E">
      <w:r>
        <w:t>Vlada se je seznanila s poročilom o izvajanju programa ukrepov za izboljšanje kakovosti okolja na območju vrtcev, šol in javnih igrišč v občinah Črna na Koroškem, Mežica, Prevalje, Ravne na Koroškem in Dravograd za leto 2025. Program je namenjen zmanjševanju izpostavljenosti otrok nevarnim snovem v okolju, predvsem težkim kovinam, ki so posledica preteklih industrijskih dejavnosti in poplav leta 2023.</w:t>
      </w:r>
    </w:p>
    <w:p w14:paraId="43D0D33C" w14:textId="77777777" w:rsidR="00213D0E" w:rsidRDefault="00213D0E" w:rsidP="00213D0E"/>
    <w:p w14:paraId="3D446FF3" w14:textId="77777777" w:rsidR="00213D0E" w:rsidRDefault="00213D0E" w:rsidP="00213D0E">
      <w:r>
        <w:t>V letu 2025 so potekale tako pripravljalne kot izvedbene aktivnosti. Na državni ravni je bila pripravljena investicijska dokumentacija ter začeta priprava projektov za sanacijo otroških igrišč, ki bodo izvedeni v naslednjih letih. V Prevaljah je bilo urejenih več kot 35.000 m² zelenih površin, v Črni na Koroškem so potekale ureditve parkov in zelenic, medtem ko so se v nekaterih občinah, zlasti v Mežici, posamezne aktivnosti zaradi obsežnih popoplavnih del zamaknile v leto 2026.</w:t>
      </w:r>
    </w:p>
    <w:p w14:paraId="05879E3D" w14:textId="77777777" w:rsidR="00213D0E" w:rsidRDefault="00213D0E" w:rsidP="00213D0E"/>
    <w:p w14:paraId="3ECE3F49" w14:textId="77777777" w:rsidR="00213D0E" w:rsidRDefault="00213D0E" w:rsidP="00213D0E">
      <w:r>
        <w:t>Rezultati meritev tal kažejo, da je okolje še vedno obremenjeno. V letu 2025 je bilo na 52 lokacijah odvzetih 74 vzorcev tal, pri čemer so bile na številnih lokacijah presežene opozorilne ali kritične vrednosti onesnaževal.</w:t>
      </w:r>
    </w:p>
    <w:p w14:paraId="095EA50C" w14:textId="77777777" w:rsidR="00213D0E" w:rsidRDefault="00213D0E" w:rsidP="00213D0E"/>
    <w:p w14:paraId="0EEE6274" w14:textId="77777777" w:rsidR="00213D0E" w:rsidRDefault="00213D0E" w:rsidP="00213D0E">
      <w:r>
        <w:t>Program se izvaja dolgoročno do leta 2034. Cilj ukrepov je postopno izboljšanje kakovosti okolja ter zmanjšanje tveganj za zdravje ljudi, zlasti otrok, na prizadetih območjih.</w:t>
      </w:r>
    </w:p>
    <w:p w14:paraId="6101E5F8" w14:textId="6A43AC3E" w:rsidR="008231AA" w:rsidRPr="00213D0E" w:rsidRDefault="00213D0E" w:rsidP="00213D0E">
      <w:pPr>
        <w:pStyle w:val="Vir"/>
      </w:pPr>
      <w:r w:rsidRPr="00213D0E">
        <w:t>Vir: Ministrstvo za okolje, podnebje in energijo</w:t>
      </w:r>
    </w:p>
    <w:p w14:paraId="40267C02" w14:textId="64636AFA" w:rsidR="0070292C" w:rsidRDefault="0070292C" w:rsidP="0070292C">
      <w:pPr>
        <w:pStyle w:val="Naslov2"/>
      </w:pPr>
      <w:r>
        <w:t>Vlada o odprtju proračunske postavke pri Ministrstvu za notranje zadeve</w:t>
      </w:r>
    </w:p>
    <w:p w14:paraId="2E08D995" w14:textId="77777777" w:rsidR="0070292C" w:rsidRDefault="0070292C" w:rsidP="0070292C">
      <w:r>
        <w:t>Vlada je na današnji seji sklenila, da se za namen povračila dela stroškov občinam zaradi povečanega nadzora državne meje na Ministrstvu za notranje zadeve (MNZ) odpre nova, istoimenska proračunska postavka.</w:t>
      </w:r>
    </w:p>
    <w:p w14:paraId="248FF675" w14:textId="77777777" w:rsidR="0070292C" w:rsidRDefault="0070292C" w:rsidP="0070292C"/>
    <w:p w14:paraId="41EEAB5D" w14:textId="77777777" w:rsidR="0070292C" w:rsidRDefault="0070292C" w:rsidP="0070292C">
      <w:r>
        <w:t>Sredstva za proračunsko postavko v višini 2 milijona evrov se v letu 2026 zagotovijo s prerazporeditvijo pravic porabe znotraj finančnega načrta MNZ. Sredstva bodo namenjena za pokrivanje obveznosti povračila stroškov občinam zaradi začasne ponovne uvedbe nadzora na notranjih mejah.</w:t>
      </w:r>
    </w:p>
    <w:p w14:paraId="58C253CD" w14:textId="7C30E5D9" w:rsidR="008231AA" w:rsidRDefault="0070292C" w:rsidP="0070292C">
      <w:pPr>
        <w:pStyle w:val="Vir"/>
      </w:pPr>
      <w:r>
        <w:t>Vir: Ministrstvo za finance</w:t>
      </w:r>
    </w:p>
    <w:p w14:paraId="5B28CBE4" w14:textId="434ED98D" w:rsidR="00A07C4C" w:rsidRDefault="00A07C4C" w:rsidP="00A07C4C">
      <w:pPr>
        <w:pStyle w:val="Naslov2"/>
      </w:pPr>
      <w:r>
        <w:t>Vlada v razvojni načrt uvrstila dva projekta za posodobitev elektroenergetskega omrežja</w:t>
      </w:r>
    </w:p>
    <w:p w14:paraId="1B464DF8" w14:textId="77777777" w:rsidR="00A07C4C" w:rsidRDefault="00A07C4C" w:rsidP="00A07C4C">
      <w:r>
        <w:t>Vlada je v veljavni Načrt razvojnih programov 2026–2029 uvrstila dva nova projekta za posodobitev elektroenergetskega omrežja, ki bosta sofinancirana iz Sklada za modernizacijo.</w:t>
      </w:r>
    </w:p>
    <w:p w14:paraId="7329E182" w14:textId="77777777" w:rsidR="00A07C4C" w:rsidRDefault="00A07C4C" w:rsidP="00A07C4C"/>
    <w:p w14:paraId="28BD1DD5" w14:textId="77777777" w:rsidR="00A07C4C" w:rsidRDefault="00A07C4C" w:rsidP="00A07C4C">
      <w:r>
        <w:t>Projekta naslavljata povečane potrebe po zmogljivejšem in bolj prilagodljivem omrežju zaradi rasti obnovljivih virov energije, elektrifikacije ogrevanja, prometa in industrije. Posodobitve bodo omogočile lažje priključevanje novih virov ter izboljšale zanesljivost oskrbe z električno energijo.</w:t>
      </w:r>
    </w:p>
    <w:p w14:paraId="7A2E338A" w14:textId="77777777" w:rsidR="00A07C4C" w:rsidRDefault="00A07C4C" w:rsidP="00A07C4C"/>
    <w:p w14:paraId="597C3A0E" w14:textId="77777777" w:rsidR="00A07C4C" w:rsidRDefault="00A07C4C" w:rsidP="00A07C4C">
      <w:r>
        <w:t>Prvi projekt vključuje posodobitev razdelilno-transformatorske postaje v Vrtojbi, drugi pa izgradnjo daljnovoda med Mursko Soboto in Lendavo. Oba projekta sta usmerjena v krepitev omrežja na območjih z večjimi razvojnimi pritiski in potrebami po dodatnih zmogljivostih.</w:t>
      </w:r>
    </w:p>
    <w:p w14:paraId="0DCC0DEB" w14:textId="77777777" w:rsidR="00A07C4C" w:rsidRDefault="00A07C4C" w:rsidP="00A07C4C"/>
    <w:p w14:paraId="683EBA40" w14:textId="77777777" w:rsidR="00A07C4C" w:rsidRDefault="00A07C4C" w:rsidP="00A07C4C">
      <w:r>
        <w:t>Skupna vrednost obeh projektov presega 35 milijonov evrov, pri čemer pomemben del sredstev prispeva evropski Sklad za modernizacijo. Projekta bosta izvedena do leta 2029 in prispevata k dolgoročno zanesljivi in trajnostni oskrbi z električno energijo.</w:t>
      </w:r>
    </w:p>
    <w:p w14:paraId="05C0CBC2" w14:textId="497C06D6" w:rsidR="008231AA" w:rsidRDefault="00A07C4C" w:rsidP="00A07C4C">
      <w:pPr>
        <w:pStyle w:val="Vir"/>
      </w:pPr>
      <w:r>
        <w:t>Vir: Ministrstvo za okolje, podnebje in energijo</w:t>
      </w:r>
    </w:p>
    <w:p w14:paraId="159AE4E9" w14:textId="549AB633" w:rsidR="00386B6B" w:rsidRDefault="00386B6B" w:rsidP="00386B6B">
      <w:pPr>
        <w:pStyle w:val="Naslov2"/>
      </w:pPr>
      <w:r>
        <w:t>V Načrt razvojnih programov uvrščena celostna prenova stavbe ZD Jesenice</w:t>
      </w:r>
    </w:p>
    <w:p w14:paraId="7CBF7E88" w14:textId="77777777" w:rsidR="00386B6B" w:rsidRDefault="00386B6B" w:rsidP="00386B6B">
      <w:r>
        <w:t>V Načrt razvojnih programov za obdobje 2026–2029 je vlada uvrstila nov projekt celostne prenove stavbe Zdravstvenega doma (ZD) Jesenice.</w:t>
      </w:r>
    </w:p>
    <w:p w14:paraId="3ABC3AF5" w14:textId="77777777" w:rsidR="00386B6B" w:rsidRDefault="00386B6B" w:rsidP="00386B6B"/>
    <w:p w14:paraId="59661121" w14:textId="3FAF14C2" w:rsidR="00386B6B" w:rsidRDefault="00386B6B" w:rsidP="00386B6B">
      <w:r>
        <w:t xml:space="preserve">Cilj investicije je celovita prenova in preureditev prostorov za namen vzpostavitve in izvajanja Centra za krepitev zdravja (CKZ), Centra za duševno zdravje odraslih (CDZO) ter nadgradnjo prostorov za izvajanje preventivnih programov. S prenovo objekta se bodo pridobile tri pisarne in šest ambulant za CDZO, več prostorov za CKZ, skupni večnamenski prostori in dvigala. </w:t>
      </w:r>
    </w:p>
    <w:p w14:paraId="2FC005F2" w14:textId="77777777" w:rsidR="00386B6B" w:rsidRDefault="00386B6B" w:rsidP="00386B6B"/>
    <w:p w14:paraId="3BAC0438" w14:textId="622E92BB" w:rsidR="00386B6B" w:rsidRDefault="00386B6B" w:rsidP="00386B6B">
      <w:r>
        <w:t xml:space="preserve">Namen investicije je izboljšanje pogojev za izvajanje dejavnosti, zagotavljanje varnega okolja za uporabnike in zaposlene, spodbujanje celovitega razvoja programov s področja zdravstvenega varstva na primarni ravni ter izboljšanje dostopnosti do programov in storitev. </w:t>
      </w:r>
    </w:p>
    <w:p w14:paraId="433FCE39" w14:textId="77777777" w:rsidR="00386B6B" w:rsidRDefault="00386B6B" w:rsidP="00386B6B"/>
    <w:p w14:paraId="6A8A4EB5" w14:textId="213FB89B" w:rsidR="00386B6B" w:rsidRDefault="00386B6B" w:rsidP="00386B6B">
      <w:r>
        <w:t xml:space="preserve">Ocenjena skupna vrednost investicije znaša 1.865.223,09 evra z DDV. Ministrstvo za zdravje bo sofinanciralo investicijo v višini 1.012.820,23 evra, preostali znesek bosta zagotovila Osnovno zdravstvo Gorenjske in občina Jesenice. Predviden zaključek celotne investicije je v letu 2026. </w:t>
      </w:r>
    </w:p>
    <w:p w14:paraId="78ABA021" w14:textId="56FA568F" w:rsidR="008231AA" w:rsidRDefault="00386B6B" w:rsidP="00386B6B">
      <w:pPr>
        <w:pStyle w:val="Vir"/>
      </w:pPr>
      <w:r>
        <w:t>Vir: Ministrstvo za zdravje</w:t>
      </w:r>
    </w:p>
    <w:p w14:paraId="6B26F8CA" w14:textId="47FFEE5A" w:rsidR="009D3BA4" w:rsidRDefault="009D3BA4" w:rsidP="009D3BA4">
      <w:pPr>
        <w:pStyle w:val="Naslov2"/>
      </w:pPr>
      <w:r>
        <w:t>Vlada je v veljavni Načrt razvojnih programov 2026–2029 uvrstila štiri nove projekte</w:t>
      </w:r>
    </w:p>
    <w:p w14:paraId="509CC559" w14:textId="77777777" w:rsidR="009D3BA4" w:rsidRDefault="009D3BA4" w:rsidP="009D3BA4">
      <w:r>
        <w:t xml:space="preserve">Vlada je v veljavni Načrt razvojnih programov 2026–2029 uvrstila štiri nove projekte Slovenske vojske z nazivom Prehod Slovenske vojske na storitve IP telefonije, Opremljanje specialnih sil Slovenske vojske, Delavnica za konzervacijo in </w:t>
      </w:r>
      <w:proofErr w:type="spellStart"/>
      <w:r>
        <w:t>dekonzervacijo</w:t>
      </w:r>
      <w:proofErr w:type="spellEnd"/>
      <w:r>
        <w:t xml:space="preserve"> Vrhnika in Vojaški sistemi brezpilotnih zrakoplovov – mikro, mini, majhni.</w:t>
      </w:r>
    </w:p>
    <w:p w14:paraId="294BC631" w14:textId="77777777" w:rsidR="009D3BA4" w:rsidRDefault="009D3BA4" w:rsidP="009D3BA4"/>
    <w:p w14:paraId="5AFF1DFD" w14:textId="77777777" w:rsidR="009D3BA4" w:rsidRDefault="009D3BA4" w:rsidP="009D3BA4">
      <w:r>
        <w:t>Namen projekta Prehod Slovenske vojske na storitve IP telefonije je prehod Slovenske vojske s sistema analognih govornih komunikacij na storitve IP telefonije in s tem poenotenje tehničnih rešitev na področju stacionarnih govornih komunikacij med Slovensko vojsko in drugimi deležniki na Ministrstvu za obrambo, ki so na storitve IP telefonije že prešli. Projekt zagotavlja, da bo vsa strojna in programska oprema IP telefonije kompatibilna z že obstoječo strojno in programsko opremo, ki se uporablja na ministrstvu. Izhodiščna vrednost projekta je ocenjena na 2.449.720 evra z DDV.</w:t>
      </w:r>
    </w:p>
    <w:p w14:paraId="082E6B19" w14:textId="77777777" w:rsidR="009D3BA4" w:rsidRDefault="009D3BA4" w:rsidP="009D3BA4"/>
    <w:p w14:paraId="77CF5F0B" w14:textId="77777777" w:rsidR="009D3BA4" w:rsidRDefault="009D3BA4" w:rsidP="009D3BA4">
      <w:r>
        <w:t>Namen projekta Opremljanje specialnih sil Slovenske vojske je zagotoviti opremo za specialne sile Slovenske vojske, ki bo podpirala vzdrževanje njihovih že izgrajenih zmogljivosti kot tudi nadgradnjo, s tem pa bo zagotovljeno, da bodo te zmogljivosti sposobne opravljati naloge tako v nacionalnem okolju kot tudi okviru zavezništva, s čimer bo zagotovljen nadaljnji razvoj specialnih sil Slovenske vojske. Izhodiščna vrednost projekta je ocenjena na 17.733.191,66 evra z DDV.</w:t>
      </w:r>
    </w:p>
    <w:p w14:paraId="697E1557" w14:textId="77777777" w:rsidR="009D3BA4" w:rsidRDefault="009D3BA4" w:rsidP="009D3BA4"/>
    <w:p w14:paraId="25059D9F" w14:textId="77777777" w:rsidR="009D3BA4" w:rsidRDefault="009D3BA4" w:rsidP="009D3BA4">
      <w:r>
        <w:lastRenderedPageBreak/>
        <w:t xml:space="preserve">Namen projekta Delavnica za konzervacijo in </w:t>
      </w:r>
      <w:proofErr w:type="spellStart"/>
      <w:r>
        <w:t>dekonzervacijo</w:t>
      </w:r>
      <w:proofErr w:type="spellEnd"/>
      <w:r>
        <w:t xml:space="preserve"> Vrhnika je, da se s prenovo objekta in nabavo tehnološke opreme zagotovijo optimalni pogoji za izvedbo postopkov konzervacije in </w:t>
      </w:r>
      <w:proofErr w:type="spellStart"/>
      <w:r>
        <w:t>dekonzervacije</w:t>
      </w:r>
      <w:proofErr w:type="spellEnd"/>
      <w:r>
        <w:t xml:space="preserve"> oborožitve Slovenske vojske skladno s predpisi. V delavnici za konzervacijo in </w:t>
      </w:r>
      <w:proofErr w:type="spellStart"/>
      <w:r>
        <w:t>dekonzervacijo</w:t>
      </w:r>
      <w:proofErr w:type="spellEnd"/>
      <w:r>
        <w:t xml:space="preserve"> Vojašnice Ivana Cankarja na Vrhniki niso izpolnjene zahteve predpisov s področja varnosti in zdravja pri delu, ki bi delavcem zagotavljale varno in zdravo delo, zato je treba izvesti vse ukrepe, ki se nanašajo na odpravo pomanjkljivosti. Z ustreznimi ukrepi (gradbeno-obrtniška, instalacijska in elektro dela) in opremo za konzervacijo ter </w:t>
      </w:r>
      <w:proofErr w:type="spellStart"/>
      <w:r>
        <w:t>dekonzervacijo</w:t>
      </w:r>
      <w:proofErr w:type="spellEnd"/>
      <w:r>
        <w:t xml:space="preserve"> oborožitve se bo omogočilo, da se bodo postopki tudi v prihodnje izvajali v obstoječem objektu. Izhodiščna vrednost projekta je ocenjena na 5.378.091,78 evra z DDV.</w:t>
      </w:r>
    </w:p>
    <w:p w14:paraId="637CAFA1" w14:textId="77777777" w:rsidR="009D3BA4" w:rsidRDefault="009D3BA4" w:rsidP="009D3BA4"/>
    <w:p w14:paraId="416AAFA5" w14:textId="77777777" w:rsidR="009D3BA4" w:rsidRDefault="009D3BA4" w:rsidP="009D3BA4">
      <w:r>
        <w:t>Namen projekta Vojaški sistemi brezpilotnih zrakoplovov – mikro, mini, majhni je nadaljevanje izgradnje zmogljivosti sistemov brezpilotnih zrakoplovov (SBPZ) v enotah SV na podlagi dosedanjih izkušenj z usposabljanjem, uporabo in vzdrževanjem SBPZ razreda I kategorije mini v operativnih pogojih v domovini ter na nalogah v mednarodnem okolju. Skozi projekt bodo poleg dodatnih količin že obstoječega razreda mini nabavljeni še SBPZ razreda majhni in mikro. Izgradnja omenjene zmogljivosti bo prispevala k večji obrambni sposobnosti države oz. nacionalni varnosti in vplivala na opravljanje z zakonom določenih nalog obrambe. Izhodiščna vrednost projekta je ocenjena na 122.796.215,44 evra z DDV.</w:t>
      </w:r>
    </w:p>
    <w:p w14:paraId="34E125F5" w14:textId="77777777" w:rsidR="009D3BA4" w:rsidRDefault="009D3BA4" w:rsidP="009D3BA4">
      <w:pPr>
        <w:pStyle w:val="Vir"/>
      </w:pPr>
      <w:r>
        <w:t>Vir: Ministrstvo za obrambo</w:t>
      </w:r>
    </w:p>
    <w:p w14:paraId="22BB75CF" w14:textId="6241FAC6" w:rsidR="009B680F" w:rsidRDefault="009B680F" w:rsidP="009B680F">
      <w:pPr>
        <w:pStyle w:val="Naslov2"/>
      </w:pPr>
      <w:r>
        <w:t xml:space="preserve">Vlada je v veljavnem načrtu razvojnih programov spremenila izhodiščno vrednost projekta izgradnje objekta za povečanje odpornosti in neprekinjeno delovanje </w:t>
      </w:r>
    </w:p>
    <w:p w14:paraId="6D640DF5" w14:textId="52295FDA" w:rsidR="009B680F" w:rsidRDefault="009B680F" w:rsidP="009B680F">
      <w:r>
        <w:t xml:space="preserve">Cilj investicije je izgradnja objekta Ministrstva za obrambo za povečanje odpornosti in zagotovitev neprekinjenega delovanja na lokaciji Vojkova cesta 55, Ljubljana. Na podlagi investicijskega programa se povečuje vrednost investicije za 30,7 % od prvotne izhodiščne vrednosti na novo vrednost, ki znaša 8.500.937,20 evra z DDV. </w:t>
      </w:r>
    </w:p>
    <w:p w14:paraId="32785801" w14:textId="77777777" w:rsidR="009B680F" w:rsidRDefault="009B680F" w:rsidP="009B680F"/>
    <w:p w14:paraId="4DD4FCB3" w14:textId="77777777" w:rsidR="009B680F" w:rsidRDefault="009B680F" w:rsidP="009B680F">
      <w:r>
        <w:t xml:space="preserve">Razlog za povečanje izhodiščne vrednosti projekta izhaja iz dejstva, da je bila ta prvotno določena zgolj na podlagi grobe ocene, pripravljene na osnovi takrat razpoložljivih podatkov. V nadaljevanju je bila za projekt izdelana dodatna investicijska dokumentacija. Na podlagi podrobnega projektantskega popisa del so bile ugotovljene spremembe v obsegu predvidenih del. </w:t>
      </w:r>
    </w:p>
    <w:p w14:paraId="69F5C24F" w14:textId="7EEF2CCD" w:rsidR="008231AA" w:rsidRDefault="009B680F" w:rsidP="009B680F">
      <w:pPr>
        <w:pStyle w:val="Vir"/>
      </w:pPr>
      <w:r>
        <w:t>Vir: Ministrstvo za obrambo</w:t>
      </w:r>
    </w:p>
    <w:p w14:paraId="7E1EFDF1" w14:textId="462D69E1" w:rsidR="009C535B" w:rsidRDefault="009C535B" w:rsidP="009C535B">
      <w:pPr>
        <w:pStyle w:val="Naslov2"/>
      </w:pPr>
      <w:r>
        <w:t xml:space="preserve">Vlada sprejela spremembo vrednosti projekta »Poplavna ureditev v občini Borovnica« </w:t>
      </w:r>
    </w:p>
    <w:p w14:paraId="6FF9F108" w14:textId="77777777" w:rsidR="009C535B" w:rsidRDefault="009C535B" w:rsidP="009C535B">
      <w:r>
        <w:t xml:space="preserve">Vlada je na današnji seji sprejela spremembo izhodiščne vrednosti projekta »Poplavna ureditev v občini Borovnica«, ki je uvrščen v veljavni Načrt razvojnih programov 2026–2029. </w:t>
      </w:r>
    </w:p>
    <w:p w14:paraId="62A0ABA7" w14:textId="77777777" w:rsidR="009C535B" w:rsidRDefault="009C535B" w:rsidP="009C535B">
      <w:r>
        <w:t xml:space="preserve">Izvedba investicije obsega: zamenjavo mostu v Jele, rekonstrukcijo mostu na Mejačevi ulici, ureditev mostu na regionalni cesti Vrhnika - Podpeč, ureditev struge Malence, razbremenilnik Malence, varovanje območij poplavljanja, dvig terena ob regionalni cesti. Iz izdelanih investicijskih dokumentacij izhaja, da se z izvedbo projekta predvsem ščiti obstoječe objekte in morebitne nove objekte, zmanjšuje se stopnja ogroženosti prebivalcev, gospodarskih dejavnosti in kulturne dediščine na posameznem območju. </w:t>
      </w:r>
    </w:p>
    <w:p w14:paraId="48E6074D" w14:textId="77777777" w:rsidR="009C535B" w:rsidRDefault="009C535B" w:rsidP="009C535B"/>
    <w:p w14:paraId="3BB2E273" w14:textId="3918A842" w:rsidR="009C535B" w:rsidRDefault="009C535B" w:rsidP="009C535B">
      <w:r>
        <w:t xml:space="preserve">Dokument identifikacije investicijskega projekta (DIIP) je bil izdelan septembra 2022, dokument predinvesticijske zasnove (PIZ) pa junija 2025. Prvotna ocena vrednosti projekta je bila povzeta iz dokumenta identifikacije investicijskega projekta (DIIP), v času priprave predinvesticijske zasnove (PIZ) pa so bili za nekatere ukrepe projekta že izdelani popisi del z oceno vrednosti iz projektne dokumentacije za izvedbo gradnje (PZI), na podlagi katere se vrednost projekta povečuje za 42%. </w:t>
      </w:r>
      <w:r>
        <w:lastRenderedPageBreak/>
        <w:t xml:space="preserve">Nova ocenjena vrednost projekta znaša 5.492.985,33 evra z DDV. Projekt se bo izvajal skladno s časovnim načrtom v obdobju od 2022 do 2027. </w:t>
      </w:r>
    </w:p>
    <w:p w14:paraId="001D82A4" w14:textId="58A62892" w:rsidR="008231AA" w:rsidRDefault="009C535B" w:rsidP="009C535B">
      <w:pPr>
        <w:pStyle w:val="Vir"/>
      </w:pPr>
      <w:r>
        <w:t>Vir: Ministrstvo za naravne vire in prostor</w:t>
      </w:r>
    </w:p>
    <w:p w14:paraId="4813EB22" w14:textId="4E3B7B24" w:rsidR="005C06C8" w:rsidRDefault="005C06C8" w:rsidP="005C06C8">
      <w:pPr>
        <w:pStyle w:val="Naslov2"/>
      </w:pPr>
      <w:r>
        <w:t xml:space="preserve">Vlada sprejela stališče Republike Slovenije do zakonodajnega svežnja EU za poenostavitev pravil na področju hrane in krme </w:t>
      </w:r>
    </w:p>
    <w:p w14:paraId="39F869DF" w14:textId="77777777" w:rsidR="005C06C8" w:rsidRDefault="005C06C8" w:rsidP="005C06C8">
      <w:r>
        <w:t>Vlada je sprejela stališče do zakonodajnega svežnja Evropske unije za poenostavitev in krepitev pravil na področju varnosti hrane in krme. Sveženj vključuje predloge sprememb uredb in direktiv, ki so usmerjeni v zmanjšanje administrativnih bremen, pospešitev postopkov ter večjo pravno predvidljivost za pristojne organe, proizvajalce in uporabnike.</w:t>
      </w:r>
    </w:p>
    <w:p w14:paraId="0A026DC0" w14:textId="77777777" w:rsidR="005C06C8" w:rsidRDefault="005C06C8" w:rsidP="005C06C8"/>
    <w:p w14:paraId="1A391B25" w14:textId="77777777" w:rsidR="005C06C8" w:rsidRDefault="005C06C8" w:rsidP="005C06C8">
      <w:r>
        <w:t>Republika Slovenija pozdravlja namen in splošni cilj predlaganih sprememb. Podpira ukrepe, ki spodbujajo razvoj trajnostnih, varnih in inovativnih rešitev. Kot posebej pozitivne izpostavlja:</w:t>
      </w:r>
    </w:p>
    <w:p w14:paraId="1BD31D5B" w14:textId="730AB5E1" w:rsidR="005C06C8" w:rsidRDefault="005C06C8" w:rsidP="005C06C8">
      <w:pPr>
        <w:pStyle w:val="Odstavekseznama"/>
        <w:numPr>
          <w:ilvl w:val="0"/>
          <w:numId w:val="14"/>
        </w:numPr>
      </w:pPr>
      <w:r>
        <w:t>krepitev vloge Evropske agencije za varnost hrane (EFSA),</w:t>
      </w:r>
    </w:p>
    <w:p w14:paraId="0D19E768" w14:textId="02A2A548" w:rsidR="005C06C8" w:rsidRDefault="005C06C8" w:rsidP="005C06C8">
      <w:pPr>
        <w:pStyle w:val="Odstavekseznama"/>
        <w:numPr>
          <w:ilvl w:val="0"/>
          <w:numId w:val="14"/>
        </w:numPr>
      </w:pPr>
      <w:r>
        <w:t>racionalizacijo postopkov ocenjevanja fitofarmacevtskih sredstev,</w:t>
      </w:r>
    </w:p>
    <w:p w14:paraId="35CF2EDD" w14:textId="19A70068" w:rsidR="005C06C8" w:rsidRDefault="005C06C8" w:rsidP="005C06C8">
      <w:pPr>
        <w:pStyle w:val="Odstavekseznama"/>
        <w:numPr>
          <w:ilvl w:val="0"/>
          <w:numId w:val="14"/>
        </w:numPr>
      </w:pPr>
      <w:r>
        <w:t>poenostavitve pri odobritvah in vzajemnem priznavanju fitofarmacevtskih sredstev  (FFS),</w:t>
      </w:r>
    </w:p>
    <w:p w14:paraId="6845A2F5" w14:textId="7A470CDD" w:rsidR="005C06C8" w:rsidRDefault="005C06C8" w:rsidP="005C06C8">
      <w:pPr>
        <w:pStyle w:val="Odstavekseznama"/>
        <w:numPr>
          <w:ilvl w:val="0"/>
          <w:numId w:val="14"/>
        </w:numPr>
      </w:pPr>
      <w:r>
        <w:t>bolj usklajene ter pregledne postopke za FFS in krmne dodatke,</w:t>
      </w:r>
    </w:p>
    <w:p w14:paraId="52898691" w14:textId="23817E0C" w:rsidR="005C06C8" w:rsidRDefault="005C06C8" w:rsidP="005C06C8">
      <w:pPr>
        <w:pStyle w:val="Odstavekseznama"/>
        <w:numPr>
          <w:ilvl w:val="0"/>
          <w:numId w:val="14"/>
        </w:numPr>
      </w:pPr>
      <w:r>
        <w:t>odpravo podvajanja obveznosti ter izboljšanje jasnosti in preglednosti pravil,</w:t>
      </w:r>
    </w:p>
    <w:p w14:paraId="00FC424B" w14:textId="0369C5A3" w:rsidR="005C06C8" w:rsidRDefault="005C06C8" w:rsidP="005C06C8">
      <w:pPr>
        <w:pStyle w:val="Odstavekseznama"/>
        <w:numPr>
          <w:ilvl w:val="0"/>
          <w:numId w:val="14"/>
        </w:numPr>
      </w:pPr>
      <w:r>
        <w:t>prilagoditev zakonodaje tehnološkemu razvoju, vključno z uporabo novih tehnologij, kot so droni.</w:t>
      </w:r>
    </w:p>
    <w:p w14:paraId="6887F403" w14:textId="77777777" w:rsidR="005C06C8" w:rsidRDefault="005C06C8" w:rsidP="005C06C8"/>
    <w:p w14:paraId="42A8FCD8" w14:textId="77777777" w:rsidR="005C06C8" w:rsidRDefault="005C06C8" w:rsidP="005C06C8">
      <w:r>
        <w:t>Ob tem Slovenija poudarja, da morajo vse poenostavitve ohraniti visoko raven varovanja zdravja ljudi, živali in okolja ter spoštovati previdnostno načelo. Posebno pozornost bo namenila vprašanjem, kot so določanje mejnih vrednosti ostankov, obravnava fermentacijskih proizvodov z gensko spremenjenimi mikroorganizmi ter časovno neomejene odobritve aktivnih snovi. Ob tem izpostavlja pomen ohranitve vloge držav članic pri izvajanju, nadzoru in upoštevanju nacionalnih posebnosti.</w:t>
      </w:r>
    </w:p>
    <w:p w14:paraId="67F8C308" w14:textId="77777777" w:rsidR="005C06C8" w:rsidRDefault="005C06C8" w:rsidP="005C06C8"/>
    <w:p w14:paraId="4D5EFE92" w14:textId="77777777" w:rsidR="005C06C8" w:rsidRDefault="005C06C8" w:rsidP="005C06C8">
      <w:r>
        <w:t>Slovenija ocenjuje, da je večina predlogov ustrezno zastavljenih, nekateri pa bodo zahtevali dodatno razjasnitev v nadaljnjih fazah zakonodajnega postopka. Ključno bo zagotoviti:</w:t>
      </w:r>
    </w:p>
    <w:p w14:paraId="5058F9C2" w14:textId="518D0B5A" w:rsidR="005C06C8" w:rsidRDefault="005C06C8" w:rsidP="005C06C8">
      <w:pPr>
        <w:pStyle w:val="Odstavekseznama"/>
        <w:numPr>
          <w:ilvl w:val="0"/>
          <w:numId w:val="15"/>
        </w:numPr>
      </w:pPr>
      <w:r>
        <w:t>visoko raven varnosti in zdravja ljudi, živali in okolja,</w:t>
      </w:r>
    </w:p>
    <w:p w14:paraId="007275B3" w14:textId="35E6283A" w:rsidR="005C06C8" w:rsidRDefault="005C06C8" w:rsidP="005C06C8">
      <w:pPr>
        <w:pStyle w:val="Odstavekseznama"/>
        <w:numPr>
          <w:ilvl w:val="0"/>
          <w:numId w:val="15"/>
        </w:numPr>
      </w:pPr>
      <w:r>
        <w:t>pravno predvidljivost,</w:t>
      </w:r>
    </w:p>
    <w:p w14:paraId="421A0EEC" w14:textId="06A96B35" w:rsidR="005C06C8" w:rsidRDefault="005C06C8" w:rsidP="005C06C8">
      <w:pPr>
        <w:pStyle w:val="Odstavekseznama"/>
        <w:numPr>
          <w:ilvl w:val="0"/>
          <w:numId w:val="15"/>
        </w:numPr>
      </w:pPr>
      <w:r>
        <w:t>transparentnost postopkov,</w:t>
      </w:r>
    </w:p>
    <w:p w14:paraId="7CBB44BB" w14:textId="146F13C7" w:rsidR="005C06C8" w:rsidRDefault="005C06C8" w:rsidP="005C06C8">
      <w:pPr>
        <w:pStyle w:val="Odstavekseznama"/>
        <w:numPr>
          <w:ilvl w:val="0"/>
          <w:numId w:val="15"/>
        </w:numPr>
      </w:pPr>
      <w:r>
        <w:t>učinkovito izvajanje zakonodaje v praksi.</w:t>
      </w:r>
    </w:p>
    <w:p w14:paraId="3748ACCD" w14:textId="77777777" w:rsidR="005C06C8" w:rsidRDefault="005C06C8" w:rsidP="005C06C8"/>
    <w:p w14:paraId="7A19F97A" w14:textId="77777777" w:rsidR="005C06C8" w:rsidRDefault="005C06C8" w:rsidP="005C06C8">
      <w:r>
        <w:t>Za uspešno izvajanje predlaganih sprememb bo po oceni Slovenije ključnega pomena pravočasen sprejem ustrezne zakonodaje ter jasna in nedvoumna pravila, ki bodo preprečevala nejasnosti in omogočala enotno in učinkovito uporabo v vseh državah članicah.</w:t>
      </w:r>
    </w:p>
    <w:p w14:paraId="17B53660" w14:textId="5184C8B0" w:rsidR="008231AA" w:rsidRDefault="005C06C8" w:rsidP="005C06C8">
      <w:pPr>
        <w:pStyle w:val="Vir"/>
      </w:pPr>
      <w:r>
        <w:t>Vir: Ministrstvo za kmetijstvo, gozdarstvo in prehrano</w:t>
      </w:r>
    </w:p>
    <w:p w14:paraId="1B2FE6DA" w14:textId="7C38D7BA" w:rsidR="009F085C" w:rsidRDefault="009F085C" w:rsidP="009F085C">
      <w:pPr>
        <w:pStyle w:val="Naslov2"/>
      </w:pPr>
      <w:r>
        <w:t>Podpora sporazumu EU z Gibraltarjem in Veliko Britanijo</w:t>
      </w:r>
    </w:p>
    <w:p w14:paraId="09DC27AC" w14:textId="77777777" w:rsidR="009F085C" w:rsidRDefault="009F085C" w:rsidP="009F085C">
      <w:r>
        <w:t>Vlada Republike Slovenije je sprejela predlog stališča Republike Slovenije k zadevi Predlog sklepa Sveta o podpisu, v imenu Unije, in začasni uporabi Sporazuma v zvezi z Gibraltarjem med Evropsko unijo in Evropsko skupnostjo za atomsko energijo na eni strani ter Združenim kraljestvom Velika Britanija in Severna Irska na drugi strani - 6428/26, in sicer da podpira predlog sklepa Sveta o podpisu Sporazuma med Evropsko unijo in Evropsko skupnostjo za atomsko energijo na eni strani ter Združenim kraljestvom Velika Britanija in Severna Irska na drugi strani glede Gibraltarja.</w:t>
      </w:r>
    </w:p>
    <w:p w14:paraId="5DEAA64F" w14:textId="77777777" w:rsidR="009F085C" w:rsidRDefault="009F085C" w:rsidP="009F085C"/>
    <w:p w14:paraId="0DFB00B7" w14:textId="77777777" w:rsidR="009F085C" w:rsidRDefault="009F085C" w:rsidP="009F085C">
      <w:r>
        <w:t xml:space="preserve">Sporazum predstavlja nadaljnjo ureditev odnosov med Evropsko unijo in Združenim kraljestvom po njegovem izstopu iz Unije ter vzpostavlja pravni okvir za sodelovanje na področjih, ki zaradi </w:t>
      </w:r>
      <w:r>
        <w:lastRenderedPageBreak/>
        <w:t>posebnega statusa Gibraltarja niso bila zajeta v Sporazumu o trgovini in sodelovanju med EU in Združenim kraljestvom. Namen sporazuma je zagotoviti stabilen, celovit in dolgoročno vzdržen okvir sodelovanja, ki bo prispeval k gospodarski in družbeni stabilnosti v regiji ter k predvidljivosti pravnih in gospodarskih razmer.</w:t>
      </w:r>
    </w:p>
    <w:p w14:paraId="7157220D" w14:textId="77777777" w:rsidR="009F085C" w:rsidRDefault="009F085C" w:rsidP="009F085C"/>
    <w:p w14:paraId="36C2480E" w14:textId="77777777" w:rsidR="009F085C" w:rsidRDefault="009F085C" w:rsidP="009F085C">
      <w:r>
        <w:t>Predvideni sporazum je namenjen odpravi fizičnih ovir za pretok oseb in blaga med Gibraltarjem in schengenskim območjem ob hkratnem zagotavljanju varovanja zunanjih meja, celovitosti schengenskega območja ter zaščite enotnega trga Unije. Poseben poudarek je namenjen vzpostavitvi ustreznih zaščitnih mehanizmov in nadzornih postopkov, ki omogočajo učinkovito upravljanje migracij, preprečevanje nezakonitih dejavnosti ter zagotavljanje visoke ravni varnosti.</w:t>
      </w:r>
    </w:p>
    <w:p w14:paraId="56531A53" w14:textId="77777777" w:rsidR="009F085C" w:rsidRDefault="009F085C" w:rsidP="009F085C"/>
    <w:p w14:paraId="4D25C8CE" w14:textId="77777777" w:rsidR="009F085C" w:rsidRDefault="009F085C" w:rsidP="009F085C">
      <w:r>
        <w:t xml:space="preserve">Slovenija ocenjuje, da sporazum predstavlja uravnoteženo rešitev, ki prispeva k stabilnosti v regiji, k učinkovitemu upravljanju meja, k varnosti ter k gospodarskemu sodelovanju, ob hkratnem varovanju interesov in pravnega reda Evropske unije, zato podpira njegov podpis. Predlog stališča RS je bil v odločanje poslan Državnemu zboru RS. </w:t>
      </w:r>
    </w:p>
    <w:p w14:paraId="2AEA4064" w14:textId="611BEA3C" w:rsidR="008231AA" w:rsidRDefault="009F085C" w:rsidP="009F085C">
      <w:pPr>
        <w:pStyle w:val="Vir"/>
      </w:pPr>
      <w:r>
        <w:t>Vir: Ministrstvo za zunanje in evropske zadeve Republike Slovenije</w:t>
      </w:r>
    </w:p>
    <w:p w14:paraId="4809CD66" w14:textId="035D976C" w:rsidR="00DE2316" w:rsidRDefault="00DE2316" w:rsidP="00DE2316">
      <w:pPr>
        <w:pStyle w:val="Naslov2"/>
      </w:pPr>
      <w:r>
        <w:t>Vlada sprejela stališče Republike Slovenije k Akcijskemu načrtu za varnost dronov in protidronsko obrambo</w:t>
      </w:r>
    </w:p>
    <w:p w14:paraId="60DA6DB9" w14:textId="410748F5" w:rsidR="00DE2316" w:rsidRDefault="00DE2316" w:rsidP="00DE2316">
      <w:r>
        <w:t>Vlada je sprejela stališče Republike Slovenije k zadevi Sporočilo Komisije Evropskemu parlamentu in Svetu – Akcijski načrt za varnost dronov in protidronsko obrambo.</w:t>
      </w:r>
    </w:p>
    <w:p w14:paraId="36B0412D" w14:textId="77777777" w:rsidR="00DE2316" w:rsidRDefault="00DE2316" w:rsidP="00DE2316"/>
    <w:p w14:paraId="22C13590" w14:textId="77777777" w:rsidR="00DE2316" w:rsidRDefault="00DE2316" w:rsidP="00DE2316">
      <w:r>
        <w:t>Republika Slovenija pozdravlja pobudo Evropske komisije. Ocenjujemo, da gre za celovito, strateško premišljeno in tehnološko napredno zasnovano pobudo, ki prepoznava potrebo po večplastnem pristopu, in sicer od regulativnih sprememb, izboljšane identifikacije dronov, razvoja U-</w:t>
      </w:r>
      <w:proofErr w:type="spellStart"/>
      <w:r>
        <w:t>space</w:t>
      </w:r>
      <w:proofErr w:type="spellEnd"/>
      <w:r>
        <w:t xml:space="preserve"> kot </w:t>
      </w:r>
      <w:proofErr w:type="spellStart"/>
      <w:r>
        <w:t>dronske</w:t>
      </w:r>
      <w:proofErr w:type="spellEnd"/>
      <w:r>
        <w:t xml:space="preserve"> zračne ureditve in </w:t>
      </w:r>
      <w:proofErr w:type="spellStart"/>
      <w:r>
        <w:t>večsenzorskega</w:t>
      </w:r>
      <w:proofErr w:type="spellEnd"/>
      <w:r>
        <w:t xml:space="preserve"> zaznavanja do skupnega evropskega odziva in krepitve industrijske baze. Poleg registracije dronov predlagamo tudi sistematično registracijo uporabnikov dronov ter uvedbo obveznega obdobnega izobraževanja o novostih na področju zakonodaje in varne uporabe.</w:t>
      </w:r>
    </w:p>
    <w:p w14:paraId="6930A376" w14:textId="77777777" w:rsidR="00DE2316" w:rsidRDefault="00DE2316" w:rsidP="00DE2316"/>
    <w:p w14:paraId="09FBD105" w14:textId="77777777" w:rsidR="00DE2316" w:rsidRDefault="00DE2316" w:rsidP="00DE2316">
      <w:r>
        <w:t>Pri akcijskem načrtu gre za enotno, usklajeno in celovito evropsko strategijo za obvladovanje varnostnih tveganj, ki jih povzročajo zlonamerne ali neodgovorne uporabe dronov. Dokument združuje civilne in vojaške vidike varnosti, krepi pripravljenost držav članic ter spodbuja razvoj evropske industrije dronov in protidronskih sistemov.</w:t>
      </w:r>
    </w:p>
    <w:p w14:paraId="79739D8A" w14:textId="1C8E568E" w:rsidR="008231AA" w:rsidRDefault="00DE2316" w:rsidP="00DE2316">
      <w:pPr>
        <w:pStyle w:val="Vir"/>
      </w:pPr>
      <w:r>
        <w:t>Vir: Ministrstvo za obrambo</w:t>
      </w:r>
    </w:p>
    <w:p w14:paraId="6AD6ED3A" w14:textId="123D3B2F" w:rsidR="001513CC" w:rsidRDefault="001513CC" w:rsidP="001513CC">
      <w:pPr>
        <w:pStyle w:val="Naslov2"/>
      </w:pPr>
      <w:r>
        <w:t>Slovenija tudi letos zagotavlja sredstva za delovanje UNICEF</w:t>
      </w:r>
    </w:p>
    <w:p w14:paraId="0CA1750F" w14:textId="77777777" w:rsidR="001513CC" w:rsidRDefault="001513CC" w:rsidP="001513CC">
      <w:r>
        <w:t>Vlada Republike Slovenije je sklenila, da se za leto 2026 zagotovi za Sklad Združenih narodov za otroke (UNICEF) prispevek v višini 30.400 USD. Finančna sredstva za prispevek zagotovi Ministrstvo za delo, družino, socialne zadeve in enake možnosti in jih nakaže neposredno Skladu Združenih narodov za otroke v New Yorku.</w:t>
      </w:r>
    </w:p>
    <w:p w14:paraId="2500D359" w14:textId="77777777" w:rsidR="001513CC" w:rsidRDefault="001513CC" w:rsidP="001513CC"/>
    <w:p w14:paraId="291482FD" w14:textId="521446A6" w:rsidR="001513CC" w:rsidRDefault="001513CC" w:rsidP="001513CC">
      <w:r>
        <w:t xml:space="preserve">Republika Slovenija nakazuje svoj redni letni prispevek za dejavnost in aktivnosti UNICEF od leta 2002. Slovenija si namreč ves čas aktivno prizadeva za varstvo in promocijo otrokovih pravic, tako na svojem območju kot tudi širše, v mednarodni skupnosti, s plačilom letnega prispevka pa izražamo podporo delovanju UNICEF-a ter priznanje delu in dosežkom te organizacije pri varstvu pravic otrok. Hkrati se na ta način UNICEF-u tudi zahvaljujemo za uspešno sodelovanje. </w:t>
      </w:r>
    </w:p>
    <w:p w14:paraId="6C600D73" w14:textId="77777777" w:rsidR="001513CC" w:rsidRDefault="001513CC" w:rsidP="001513CC"/>
    <w:p w14:paraId="4F213844" w14:textId="2BB8D214" w:rsidR="008231AA" w:rsidRDefault="001513CC" w:rsidP="001513CC">
      <w:r>
        <w:lastRenderedPageBreak/>
        <w:t>Redni letni prispevek za delovanje UNICEF šteje tudi kot uradna razvojna pomoč po metodologiji OECD DAC. Skupaj s prispevkom v višini 100.000 EUR za prehransko varnost otrok v Palestini bo pomembno doprinesel k ugledu in prepoznavnosti Republike Slovenije kot članice Izvršnega odbora UNICEF v obdobje 2025–2027, kamor je bila izvoljena 9. aprila 2024.</w:t>
      </w:r>
    </w:p>
    <w:p w14:paraId="693DE188" w14:textId="77777777" w:rsidR="001513CC" w:rsidRDefault="001513CC" w:rsidP="001513CC">
      <w:pPr>
        <w:pStyle w:val="Vir"/>
      </w:pPr>
      <w:r>
        <w:t>Vir: Ministrstvo za delo, družino, socialne zadeve in enake možnosti</w:t>
      </w:r>
    </w:p>
    <w:p w14:paraId="7750940A" w14:textId="2B367EC3" w:rsidR="00D12531" w:rsidRDefault="00D12531" w:rsidP="00D12531">
      <w:pPr>
        <w:pStyle w:val="Naslov2"/>
      </w:pPr>
      <w:r>
        <w:t>Vlada zagotovila prispevek za Vodno konvencijo</w:t>
      </w:r>
    </w:p>
    <w:p w14:paraId="29C2A94E" w14:textId="54274A29" w:rsidR="00D12531" w:rsidRDefault="00D12531" w:rsidP="00D12531">
      <w:r>
        <w:t xml:space="preserve">Vlada bo v letih 2026 in 2027 zagotovila dodatnih 10.000 evrov na leto za izvajanje aktivnosti v okviru Konvencije o varstvu in rabi čezmejnih vodotokov in mednarodnih jezer (Vodne konvencije). S tem Slovenija utrjuje svojo vlogo predsedujoče države biroju Vodne konvencije ter krepi svojo mednarodno prisotnost na področju upravljanja voda. </w:t>
      </w:r>
    </w:p>
    <w:p w14:paraId="2BE5F159" w14:textId="77777777" w:rsidR="00D12531" w:rsidRDefault="00D12531" w:rsidP="00D12531"/>
    <w:p w14:paraId="2F68BF45" w14:textId="77777777" w:rsidR="00D12531" w:rsidRDefault="00D12531" w:rsidP="00D12531">
      <w:r>
        <w:t>Finančni prispevek bo omogočil nadaljnje aktivno sodelovanje Slovenije pri reševanju ključnih globalnih izzivov, povezanih z vodnimi viri, vključno s podnebnimi spremembami, poplavami in sušami. Prav tako podpira organizacijo mednarodnih dogodkov, razvoj strokovnih rešitev ter sodelovanje z drugimi državami. Z ukrepom Slovenija varuje svoje strateške interese na področju voda, hkrati pa prispeva k trajnostnemu razvoju, večji podnebni odpornosti ter krepitvi mednarodnega sodelovanja in stabilnosti.</w:t>
      </w:r>
    </w:p>
    <w:p w14:paraId="4DAB5D31" w14:textId="7242255B" w:rsidR="008231AA" w:rsidRDefault="00D12531" w:rsidP="00D12531">
      <w:pPr>
        <w:pStyle w:val="Vir"/>
      </w:pPr>
      <w:r>
        <w:t>Vir: Ministrstvo za naravne vire in prostor</w:t>
      </w:r>
    </w:p>
    <w:p w14:paraId="04C73207" w14:textId="263D1D21" w:rsidR="00EE014E" w:rsidRDefault="00EE014E" w:rsidP="00EE014E">
      <w:pPr>
        <w:pStyle w:val="Naslov2"/>
      </w:pPr>
      <w:r>
        <w:t>Informacija o poteku preoblikovanja ITF Ustanove za krepitev človekove varnosti v mednarodno organizacijo</w:t>
      </w:r>
    </w:p>
    <w:p w14:paraId="17D3F3E1" w14:textId="77777777" w:rsidR="00EE014E" w:rsidRDefault="00EE014E" w:rsidP="00EE014E">
      <w:r>
        <w:t>Vlada Republike Slovenije se je seznanila z informacijo o poteku preoblikovanja ITF Ustanove za krepitev človekove varnosti v mednarodno organizacijo.</w:t>
      </w:r>
    </w:p>
    <w:p w14:paraId="393FBE21" w14:textId="77777777" w:rsidR="00EE014E" w:rsidRDefault="00EE014E" w:rsidP="00EE014E"/>
    <w:p w14:paraId="5D6DC517" w14:textId="77777777" w:rsidR="00EE014E" w:rsidRDefault="00EE014E" w:rsidP="00EE014E">
      <w:r>
        <w:t xml:space="preserve">MZEZ je v obdobju zadnjih nekaj let, spodbujen tudi z uspešnim delovanjem ITF, okrepil pogovore v določenih državah donatoricah ITF, ki bi lahko poleg Slovenije sodile v ožji krog potencialnih soustanoviteljic ITF kot mednarodne organizacije. Političen interes za sodelovanje se je izkazal predvsem pri dveh državah, Katarju in Republiki Koreji, ki jima je bilo že posredovano uradno povabilo k (sprva) pristopu podpisa t.i. pisma o nameri za sodelovanje pri preoblikovanju ITF v mednarodno organizacijo v vlogi držav bodočih soustanoviteljic. </w:t>
      </w:r>
    </w:p>
    <w:p w14:paraId="572ED9AC" w14:textId="77777777" w:rsidR="00EE014E" w:rsidRDefault="00EE014E" w:rsidP="00EE014E"/>
    <w:p w14:paraId="3B617EEA" w14:textId="77777777" w:rsidR="00EE014E" w:rsidRDefault="00EE014E" w:rsidP="00EE014E">
      <w:r>
        <w:t xml:space="preserve">ITF Ustanova za krepitev človekove varnosti je humanitarna, neprofitna organizacija in pravna oseba zasebnega prava. Ustanovila jo je Vlada RS 12. 3. 1998, njen prvotni namen pa je bil nuditi pomoč Bosni in Hercegovini pri implementaciji mirovnega sporazuma ter podporo pri </w:t>
      </w:r>
      <w:proofErr w:type="spellStart"/>
      <w:r>
        <w:t>pokonfliktni</w:t>
      </w:r>
      <w:proofErr w:type="spellEnd"/>
      <w:r>
        <w:t xml:space="preserve"> obnovi. ITF ke v zadnjih letih na leto zbral med 15 in 20 milijoni USD donacij, v 2025 rekordnih 45 milijonov USD. ZDA še naprej ostajajo glavni donator, sledi EU ter posamezne države, organizacije in posamezniki. Slovenija je v 2025 namenila 5,8 milijona USD. Še naprej deluje na treh celinah: Evropi, Afriki in Aziji v 18 državah.</w:t>
      </w:r>
    </w:p>
    <w:p w14:paraId="55EFF4FA" w14:textId="604E782C" w:rsidR="008231AA" w:rsidRDefault="00EE014E" w:rsidP="00EE014E">
      <w:pPr>
        <w:pStyle w:val="Vir"/>
      </w:pPr>
      <w:r>
        <w:t>Vir: Ministrstvo za zunanje in evropske zadeve Republike Slovenije</w:t>
      </w:r>
    </w:p>
    <w:p w14:paraId="1DEC75E7" w14:textId="1E2334B7" w:rsidR="00F17EA5" w:rsidRPr="00F17EA5" w:rsidRDefault="00F17EA5" w:rsidP="00F17EA5">
      <w:pPr>
        <w:pStyle w:val="Naslov2"/>
        <w:rPr>
          <w:rStyle w:val="Naslov2Znak"/>
        </w:rPr>
      </w:pPr>
      <w:r>
        <w:t>Seznanitev vlade z osnutkom Letnega poročila o napredku 2026</w:t>
      </w:r>
    </w:p>
    <w:p w14:paraId="61A54CF6" w14:textId="7D7396E8" w:rsidR="00F17EA5" w:rsidRDefault="00F17EA5" w:rsidP="00F17EA5">
      <w:r>
        <w:t>Vlada se je danes seznanila z osnutkom Letnega poročila o napredku 2026. Poročilo, ki ga morajo države članice skladno s prenovljenimi fiskalnimi pravili Evropske unije (EU) pripraviti vsako leto aprila, je ključni dokument pri spremljanju skladnosti s fiskalno zavezo, določeno v Srednjeročnem fiskalno-strukturnem načrtu Republike Slovenije 2025-2028.</w:t>
      </w:r>
    </w:p>
    <w:p w14:paraId="1D865169" w14:textId="77777777" w:rsidR="00F17EA5" w:rsidRDefault="00F17EA5" w:rsidP="00F17EA5"/>
    <w:p w14:paraId="44EDED08" w14:textId="77777777" w:rsidR="00F17EA5" w:rsidRDefault="00F17EA5" w:rsidP="00F17EA5">
      <w:r>
        <w:lastRenderedPageBreak/>
        <w:t>Osnutek Letnega poročila o napredku 2026, ki ga bo vlada poslala Državnemu zboru Republike Slovenije in Fiskalnemu svetu v oceno, temelji na dejanskih podatkih Statističnega urada Republike Slovenije za leto 2025 in ocenah Ministrstva za finance za leto 2026 (scenarij nespremenjene politike). Slednje temeljijo na spomladanski gospodarski napovedi Urada Republike Slovenije za makroekonomske analize in razvoj.</w:t>
      </w:r>
    </w:p>
    <w:p w14:paraId="76AB151C" w14:textId="77777777" w:rsidR="00F17EA5" w:rsidRDefault="00F17EA5" w:rsidP="00F17EA5"/>
    <w:p w14:paraId="1C55BEC5" w14:textId="77777777" w:rsidR="00F17EA5" w:rsidRDefault="00F17EA5" w:rsidP="00F17EA5">
      <w:r>
        <w:t>Osnutek poročila izkazuje nekoliko višjo dejansko rast očiščenih odhodkov od omejitve za leto 2025, ki izhaja iz srednjeročnega fiskalno-strukturnega načrta, vseeno pa je ob upoštevanju nižje rasti očiščenih izdatkov v letu 2024 in nacionalne odstopne klavzule, vezane na izdatke za obrambo, realizacija znotraj dopustnih odstopanj Pakta za stabilnost in rast. Osnutek poročila vključuje tudi ocene fiskalnih agregatov za leto 2026, ki kažejo odstopanja od fiskalnih zavez. V ta namen je vlada naložila predlagateljem finančnih načrtov in Zavodu za zdravstveno zavarovanje Slovenije, da pripravijo predloge zakonov in drugih predpisov ter ukrepov za odpravo odstopanj.</w:t>
      </w:r>
    </w:p>
    <w:p w14:paraId="20845F1D" w14:textId="77777777" w:rsidR="00F17EA5" w:rsidRDefault="00F17EA5" w:rsidP="00F17EA5"/>
    <w:p w14:paraId="02981B8A" w14:textId="1141A352" w:rsidR="00F33152" w:rsidRDefault="00F17EA5" w:rsidP="00F17EA5">
      <w:r>
        <w:t>Končno poročilo bo vlada v roku posredovala Evropski komisiji.</w:t>
      </w:r>
    </w:p>
    <w:p w14:paraId="7A456082" w14:textId="5574F79D" w:rsidR="00F17EA5" w:rsidRDefault="00F17EA5" w:rsidP="00F17EA5">
      <w:pPr>
        <w:pStyle w:val="Vir"/>
      </w:pPr>
      <w:r w:rsidRPr="00F17EA5">
        <w:t>Vir: Ministrstvo za finance</w:t>
      </w:r>
    </w:p>
    <w:p w14:paraId="2F481423" w14:textId="23E258B6" w:rsidR="00A0542B" w:rsidRDefault="00A0542B" w:rsidP="00A0542B">
      <w:pPr>
        <w:pStyle w:val="Naslov2"/>
      </w:pPr>
      <w:r>
        <w:t>Vlada je izdala Uredbo o pravilih za izvajanje tehničnega in finančnega nadzora nad izvajanjem programov postopnega zapiranja Premogovnika Velenje</w:t>
      </w:r>
    </w:p>
    <w:p w14:paraId="4C76D845" w14:textId="77777777" w:rsidR="00A0542B" w:rsidRDefault="00A0542B" w:rsidP="00A0542B">
      <w:r>
        <w:t>Uredba določa celovit, strokoven in neodvisen okvir nadzora nad izvajanjem programov postopnega zapiranja Premogovnika Velenje, kot to zahteva Zakon o postopnem zapiranju Premogovnika Velenje. Namen uredbe je zagotoviti pregledno, zakonito in učinkovito izvajanje vseh tehničnih, finančnih in socialnih vidikov zapiranja, ki bo trajalo do leta 2045.</w:t>
      </w:r>
    </w:p>
    <w:p w14:paraId="0653BE57" w14:textId="77777777" w:rsidR="00A0542B" w:rsidRDefault="00A0542B" w:rsidP="00A0542B"/>
    <w:p w14:paraId="55B9B8F7" w14:textId="77777777" w:rsidR="00A0542B" w:rsidRDefault="00A0542B" w:rsidP="00A0542B">
      <w:r>
        <w:t>Uredba podrobno ureja:</w:t>
      </w:r>
    </w:p>
    <w:p w14:paraId="50F9BFC2" w14:textId="7C86429F" w:rsidR="00A0542B" w:rsidRDefault="00A0542B" w:rsidP="00A0542B">
      <w:pPr>
        <w:pStyle w:val="Odstavekseznama"/>
        <w:numPr>
          <w:ilvl w:val="0"/>
          <w:numId w:val="16"/>
        </w:numPr>
      </w:pPr>
      <w:r>
        <w:t>obseg tehničnega, tehnološkega, finančnega, kadrovsko</w:t>
      </w:r>
      <w:r w:rsidRPr="00A0542B">
        <w:rPr>
          <w:rFonts w:ascii="Cambria Math" w:hAnsi="Cambria Math" w:cs="Cambria Math"/>
        </w:rPr>
        <w:t>‑</w:t>
      </w:r>
      <w:r>
        <w:t>socialnega in dav</w:t>
      </w:r>
      <w:r w:rsidRPr="00A0542B">
        <w:rPr>
          <w:rFonts w:cs="Arial"/>
        </w:rPr>
        <w:t>č</w:t>
      </w:r>
      <w:r>
        <w:t>no</w:t>
      </w:r>
      <w:r w:rsidRPr="00A0542B">
        <w:rPr>
          <w:rFonts w:ascii="Cambria Math" w:hAnsi="Cambria Math" w:cs="Cambria Math"/>
        </w:rPr>
        <w:t>‑</w:t>
      </w:r>
      <w:r>
        <w:t>ekonomskega nadzora,</w:t>
      </w:r>
    </w:p>
    <w:p w14:paraId="183E6220" w14:textId="39DE3391" w:rsidR="00A0542B" w:rsidRDefault="00A0542B" w:rsidP="00A0542B">
      <w:pPr>
        <w:pStyle w:val="Odstavekseznama"/>
        <w:numPr>
          <w:ilvl w:val="0"/>
          <w:numId w:val="16"/>
        </w:numPr>
      </w:pPr>
      <w:r>
        <w:t>način organizacije in poročanja izvajalca nadzora ter njegovo sodelovanje z rudarsko inšpekcijo,</w:t>
      </w:r>
    </w:p>
    <w:p w14:paraId="2C4727A3" w14:textId="7226F066" w:rsidR="00A0542B" w:rsidRDefault="00A0542B" w:rsidP="00A0542B">
      <w:pPr>
        <w:pStyle w:val="Odstavekseznama"/>
        <w:numPr>
          <w:ilvl w:val="0"/>
          <w:numId w:val="16"/>
        </w:numPr>
      </w:pPr>
      <w:r>
        <w:t>pogoje strokovne usposobljenosti in neodvisnosti izvajalca,</w:t>
      </w:r>
    </w:p>
    <w:p w14:paraId="40C87307" w14:textId="2422A11D" w:rsidR="00A0542B" w:rsidRDefault="00A0542B" w:rsidP="00A0542B">
      <w:pPr>
        <w:pStyle w:val="Odstavekseznama"/>
        <w:numPr>
          <w:ilvl w:val="0"/>
          <w:numId w:val="16"/>
        </w:numPr>
      </w:pPr>
      <w:r>
        <w:t>financiranje nadzora iz sredstev programov zapiranja,</w:t>
      </w:r>
    </w:p>
    <w:p w14:paraId="64F1B313" w14:textId="656FB64A" w:rsidR="00A0542B" w:rsidRDefault="00A0542B" w:rsidP="00A0542B">
      <w:pPr>
        <w:pStyle w:val="Odstavekseznama"/>
        <w:numPr>
          <w:ilvl w:val="0"/>
          <w:numId w:val="16"/>
        </w:numPr>
      </w:pPr>
      <w:r>
        <w:t>obveznosti Premogovnika Velenje pri omogočanju nadzora,</w:t>
      </w:r>
    </w:p>
    <w:p w14:paraId="276FD072" w14:textId="02BFDD5F" w:rsidR="00A0542B" w:rsidRDefault="00A0542B" w:rsidP="00A0542B">
      <w:pPr>
        <w:pStyle w:val="Odstavekseznama"/>
        <w:numPr>
          <w:ilvl w:val="0"/>
          <w:numId w:val="16"/>
        </w:numPr>
      </w:pPr>
      <w:r>
        <w:t>izvedbo mednarodnega javnega razpisa za izbor izvajalca.</w:t>
      </w:r>
    </w:p>
    <w:p w14:paraId="079C7883" w14:textId="77777777" w:rsidR="00A0542B" w:rsidRDefault="00A0542B" w:rsidP="00A0542B">
      <w:r>
        <w:t xml:space="preserve"> </w:t>
      </w:r>
    </w:p>
    <w:p w14:paraId="18C7FDED" w14:textId="77777777" w:rsidR="00A0542B" w:rsidRDefault="00A0542B" w:rsidP="00A0542B">
      <w:r>
        <w:t>Z uredbo se celovito operacionalizirajo zakonske določbe, pri čemer se ne uvajajo nove obveznosti, temveč se zakonske določbe natančno razčlenijo in dopolnijo z operativnimi, organizacijskimi in terminskimi pravili, potrebnimi za učinkovito in transparentno izvajanje nadzora nad postopnim zapiranjem rudnika.</w:t>
      </w:r>
    </w:p>
    <w:p w14:paraId="5E2F7488" w14:textId="4B6539C0" w:rsidR="00F33152" w:rsidRDefault="00A0542B" w:rsidP="00A0542B">
      <w:pPr>
        <w:pStyle w:val="Vir"/>
      </w:pPr>
      <w:r>
        <w:t xml:space="preserve">Vir: Ministrstvo za naravne vire in prostor </w:t>
      </w:r>
    </w:p>
    <w:p w14:paraId="06E45072" w14:textId="2FDFEACC" w:rsidR="006A6DCD" w:rsidRDefault="006A6DCD" w:rsidP="006A6DCD">
      <w:pPr>
        <w:pStyle w:val="Naslov2"/>
      </w:pPr>
      <w:r>
        <w:t xml:space="preserve">Vlada sprejela uredbo o koncesijah za odvzem naplavin </w:t>
      </w:r>
    </w:p>
    <w:p w14:paraId="0B0E9CF7" w14:textId="23DB646C" w:rsidR="006A6DCD" w:rsidRDefault="006A6DCD" w:rsidP="006A6DCD">
      <w:r>
        <w:t>Vlada je na današnji seji sprejela uredbo o koncesijah za odvzem naplavin</w:t>
      </w:r>
      <w:r w:rsidRPr="006A6DCD">
        <w:t xml:space="preserve"> </w:t>
      </w:r>
      <w:r>
        <w:t>na delih reke Save, Zgornje Save, Srednje Save, Save Dolinke, Soče, Tolminke, Bače, Drave in Savinje. V skladu z Zakonom o vodah gre za nujno pravno podlago za izvedbo javnega razpisa, na podlagi katerega se podelijo koncesije za odvzem naplavin na določenih odsekih posameznih vodotokov oziroma njihovih pritokov.</w:t>
      </w:r>
    </w:p>
    <w:p w14:paraId="4AA873FD" w14:textId="77777777" w:rsidR="006A6DCD" w:rsidRDefault="006A6DCD" w:rsidP="006A6DCD"/>
    <w:p w14:paraId="3B769CF5" w14:textId="77777777" w:rsidR="006A6DCD" w:rsidRDefault="006A6DCD" w:rsidP="006A6DCD">
      <w:r>
        <w:t xml:space="preserve">Osrednji cilj uredbe je zagotavljanje poplavne varnosti z aktivnim upravljanjem rečnih sedimentov. Odvzem naplavin na novih, strokovno določenih lokacijah, ni namenjen zgolj gospodarskemu </w:t>
      </w:r>
      <w:r>
        <w:lastRenderedPageBreak/>
        <w:t>izkoriščanju, temveč predstavlja nujen ukrep za ohranjanje pretočnosti strug in proaktivno zmanjševanje poplavne ogroženosti. Gre za strateško upravljanje vodotokov, ki je ključno za varovanje ljudi in premoženja.</w:t>
      </w:r>
    </w:p>
    <w:p w14:paraId="507039FF" w14:textId="77777777" w:rsidR="006A6DCD" w:rsidRDefault="006A6DCD" w:rsidP="006A6DCD"/>
    <w:p w14:paraId="7C6DC10D" w14:textId="77777777" w:rsidR="006A6DCD" w:rsidRDefault="006A6DCD" w:rsidP="006A6DCD">
      <w:r>
        <w:t xml:space="preserve">Uredba posodablja obstoječi koncesijski okvir in ga širi na nove odseke rek, kjer strokovne analize kažejo na nujnost odvzema materiala. Akumulacija naplavin na teh odsekih zmanjšuje pretočni profil strug, kar ob visokih vodah bistveno poveča tveganje za razlivanje in katastrofalne poplave. Lokacije so bile določene na podlagi načrtov upravljanja z vodami in analiz tveganj. Sprejem te uredbe je prvi korak, ki omogoča objavo javnega razpisa. </w:t>
      </w:r>
    </w:p>
    <w:p w14:paraId="4637E8C0" w14:textId="199412A0" w:rsidR="006A6DCD" w:rsidRDefault="006A6DCD" w:rsidP="006A6DCD">
      <w:pPr>
        <w:pStyle w:val="Vir"/>
      </w:pPr>
      <w:r>
        <w:t>Vir: Ministrstvo za naravne vire in prostor</w:t>
      </w:r>
    </w:p>
    <w:p w14:paraId="264643E5" w14:textId="6810D020" w:rsidR="00347A9C" w:rsidRDefault="00347A9C" w:rsidP="00347A9C">
      <w:pPr>
        <w:pStyle w:val="Naslov2"/>
      </w:pPr>
      <w:r>
        <w:t>Vlada izdala uredbo o predhodnem soglasju k dvigu cen</w:t>
      </w:r>
    </w:p>
    <w:p w14:paraId="64AD24A8" w14:textId="77777777" w:rsidR="00347A9C" w:rsidRDefault="00347A9C" w:rsidP="00347A9C">
      <w:r>
        <w:t>Vlada je izdala uredbo, ki določa obveznost predhodnega soglasja za dvig cen električne energije in zemeljskega plina za določene skupine odjemalcev. Ukrep je ciljno usmerjen in časovno omejen ter namenjen obvladovanju tveganj zaradi nestabilnih razmer na energetskih trgih.</w:t>
      </w:r>
    </w:p>
    <w:p w14:paraId="61641C5E" w14:textId="77777777" w:rsidR="00347A9C" w:rsidRDefault="00347A9C" w:rsidP="00347A9C"/>
    <w:p w14:paraId="58A12C19" w14:textId="77777777" w:rsidR="00347A9C" w:rsidRDefault="00347A9C" w:rsidP="00347A9C">
      <w:r>
        <w:t>Nenadni in izraziti dvigi cen lahko neposredno ogrozijo socialno varnost gospodinjstev, povečajo tveganje energetske revščine ter vplivajo na dostopnost osnovnih življenjskih dobrin. Z uvedbo predhodnega soglasja vlade se vzpostavlja mehanizem za pravočasno in nadzorovano odzivanje na cenovne pritiske, s čimer se preprečujejo nesorazmerni dvigi cen in ohranja stabilnost življenjskih razmer.</w:t>
      </w:r>
    </w:p>
    <w:p w14:paraId="3A258EC7" w14:textId="77777777" w:rsidR="00347A9C" w:rsidRDefault="00347A9C" w:rsidP="00347A9C"/>
    <w:p w14:paraId="4DE33E03" w14:textId="77777777" w:rsidR="00347A9C" w:rsidRDefault="00347A9C" w:rsidP="00347A9C">
      <w:r>
        <w:t>Uredba prispeva k zaščiti gospodinjstev in drugih ranljivih odjemalcev ter k večji stabilnosti oskrbe z energijo. Hkrati omogoča boljši nadzor nad oblikovanjem cen in zmanjšuje tveganje za dodatne inflacijske pritiske.</w:t>
      </w:r>
    </w:p>
    <w:p w14:paraId="64F8132A" w14:textId="21CECB23" w:rsidR="00F33152" w:rsidRDefault="00347A9C" w:rsidP="00347A9C">
      <w:pPr>
        <w:pStyle w:val="Vir"/>
      </w:pPr>
      <w:r>
        <w:t>Vir: Ministrstvo za okolje, podnebje in energijo</w:t>
      </w:r>
    </w:p>
    <w:p w14:paraId="6A08E338" w14:textId="79ACE9AA" w:rsidR="00347A9C" w:rsidRDefault="00347A9C" w:rsidP="00347A9C">
      <w:pPr>
        <w:pStyle w:val="Naslov2"/>
      </w:pPr>
      <w:r>
        <w:t>Vlada pozvala dobavitelje k pravočasnemu zagotavljanju zalog plina</w:t>
      </w:r>
    </w:p>
    <w:p w14:paraId="4A8D0FD6" w14:textId="77777777" w:rsidR="00347A9C" w:rsidRDefault="00347A9C" w:rsidP="00347A9C">
      <w:r>
        <w:t>Vlada je sprejela sklep, s katerim poziva nosilce bilančnih skupin plina, da nemudoma začnejo sklepati pogodbe o skladiščenju in dobavi plina ter pravočasno zagotovijo zadostne količine plina za prihajajočo ogrevalno sezono.</w:t>
      </w:r>
    </w:p>
    <w:p w14:paraId="20A5590A" w14:textId="77777777" w:rsidR="00347A9C" w:rsidRDefault="00347A9C" w:rsidP="00347A9C"/>
    <w:p w14:paraId="02559560" w14:textId="77777777" w:rsidR="00347A9C" w:rsidRDefault="00347A9C" w:rsidP="00347A9C">
      <w:r>
        <w:t>Nosilci bilančnih skupin morajo skladno z zakonodajo zagotoviti skladiščenje plina v obsegu, ki ustreza najmanj 15 % njihove povprečne letne dobave končnim odjemalcem v zadnjih petih letih. Slovenija nima lastnih skladišč plina, zato morajo dobavitelji potrebne količine zagotoviti v skladiščih v drugih državah članicah. Med nosilci bilančnih skupin v Sloveniji so Adriaplin, Energetika Ljubljana, GEN-I, Geoplin, HSE, Plinarna Maribor in PPD.</w:t>
      </w:r>
    </w:p>
    <w:p w14:paraId="285034F4" w14:textId="77777777" w:rsidR="00347A9C" w:rsidRDefault="00347A9C" w:rsidP="00347A9C"/>
    <w:p w14:paraId="280C4D82" w14:textId="77777777" w:rsidR="00347A9C" w:rsidRDefault="00347A9C" w:rsidP="00347A9C">
      <w:r>
        <w:t>Zaloge plina so ključne za zanesljivo oskrbo v zimskem času, ko se poraba močno poveča. Skladišča se običajno polnijo od pomladi do jeseni, zato je pravočasno sklepanje pogodb ključno za zagotovitev potrebnih količin. Trenutna napolnjenost skladišč v EU je nižja kot v preteklih letih, kar dodatno povečuje pomen zgodnjega ukrepanja.</w:t>
      </w:r>
    </w:p>
    <w:p w14:paraId="7B064F09" w14:textId="77777777" w:rsidR="00347A9C" w:rsidRDefault="00347A9C" w:rsidP="00347A9C"/>
    <w:p w14:paraId="3C13122B" w14:textId="77777777" w:rsidR="00347A9C" w:rsidRDefault="00347A9C" w:rsidP="00347A9C">
      <w:r>
        <w:t>Pravočasno polnjenje skladišč zmanjšuje tveganje za motnje v oskrbi in omejuje vpliv sezonskih nihanj cen. Če se zaloge zagotovijo že pred začetkom kurilne sezone, se dobavitelji izognejo večjim pritiskom na trgu in morebitnim skokom cen v jesenskih mesecih.</w:t>
      </w:r>
    </w:p>
    <w:p w14:paraId="42ACC5E0" w14:textId="77777777" w:rsidR="00347A9C" w:rsidRDefault="00347A9C" w:rsidP="00347A9C"/>
    <w:p w14:paraId="792FFC70" w14:textId="77777777" w:rsidR="00347A9C" w:rsidRDefault="00347A9C" w:rsidP="00347A9C">
      <w:r>
        <w:lastRenderedPageBreak/>
        <w:t>Ukrep je pomemben tudi z vidika energetske varnosti. Geopolitične napetosti in razmere na svetovnih trgih lahko vplivajo na dobavo plina, zato zadostne zaloge omogočajo stabilno oskrbo tudi v primeru motenj. Cilj ukrepa je zagotoviti stabilno, varno in cenovno čim bolj predvidljivo oskrbo s plinom za gospodinjstva in gospodarstvo v zimskem obdobju.</w:t>
      </w:r>
    </w:p>
    <w:p w14:paraId="6783D0E0" w14:textId="40F43B44" w:rsidR="00F33152" w:rsidRDefault="00347A9C" w:rsidP="00347A9C">
      <w:pPr>
        <w:pStyle w:val="Vir"/>
      </w:pPr>
      <w:r>
        <w:t>Vir: Ministrstvo za okolje, podnebje in energijo</w:t>
      </w:r>
    </w:p>
    <w:p w14:paraId="52651C67" w14:textId="2CACB354" w:rsidR="00E6784A" w:rsidRDefault="00E6784A" w:rsidP="00E6784A">
      <w:pPr>
        <w:pStyle w:val="Naslov2"/>
      </w:pPr>
      <w:r>
        <w:t>Socialni načrt za podnebje 2026-2032</w:t>
      </w:r>
    </w:p>
    <w:p w14:paraId="01E855FA" w14:textId="77777777" w:rsidR="00004AA3" w:rsidRDefault="00004AA3" w:rsidP="00004AA3">
      <w:r>
        <w:t xml:space="preserve">Vlada se je danes seznanila tudi z osnutkom Socialnega načrta za podnebje za obdobje 2026–2032, ki predstavlja ključen korak k pravičnemu zelenemu prehodu v Sloveniji. Načrt odpira dostop do skoraj 480 milijonov evrov sredstev, namenjenih neposredno pomoči najranljivejšim. </w:t>
      </w:r>
    </w:p>
    <w:p w14:paraId="49370095" w14:textId="77777777" w:rsidR="00004AA3" w:rsidRDefault="00004AA3" w:rsidP="00004AA3"/>
    <w:p w14:paraId="5E1E26C7" w14:textId="77777777" w:rsidR="00004AA3" w:rsidRDefault="00004AA3" w:rsidP="00004AA3">
      <w:r>
        <w:t xml:space="preserve">V ospredju ukrepov je boj proti energetski revščini, ki postaja eno ključnih družbenih vprašanj. Cilj načrta je, da nihče ne ostane brez dostopa do osnovnih energetskih storitev zaradi rasti cen ali prehoda v nizkoogljično družbo. </w:t>
      </w:r>
    </w:p>
    <w:p w14:paraId="45C2782F" w14:textId="77777777" w:rsidR="00004AA3" w:rsidRDefault="00004AA3" w:rsidP="00004AA3"/>
    <w:p w14:paraId="50897F63" w14:textId="77777777" w:rsidR="00004AA3" w:rsidRDefault="00004AA3" w:rsidP="00004AA3">
      <w:r>
        <w:t xml:space="preserve">Zato načrt predvideva konkretne ukrepe: od nepovratnih sredstev za energetsko prenovo domov, podpore rabi obnovljivih virov, do svetovanja in vključevanja gospodinjstev v energetske skupnosti. Hkrati naslavlja tudi prevozno revščino z novimi oblikami dostopnega in trajnostnega prevoza. </w:t>
      </w:r>
    </w:p>
    <w:p w14:paraId="45E8CA69" w14:textId="77777777" w:rsidR="00004AA3" w:rsidRDefault="00004AA3" w:rsidP="00004AA3">
      <w:r>
        <w:t>Socialni načrt za podnebje tako je okoljski dokument in socialni instrument, ki zagotavlja, da bo zeleni prehod pravičen, vključujoč in usmerjen v izboljšanje kakovosti življenja ljudi.</w:t>
      </w:r>
    </w:p>
    <w:p w14:paraId="3608F3BC" w14:textId="538B2FFE" w:rsidR="00F33152" w:rsidRDefault="00004AA3" w:rsidP="00004AA3">
      <w:pPr>
        <w:pStyle w:val="Vir"/>
      </w:pPr>
      <w:r>
        <w:t>Vir: Ministrstvo za okolje, podnebje in energijo</w:t>
      </w:r>
    </w:p>
    <w:p w14:paraId="28B081C5" w14:textId="6D586618" w:rsidR="00BA73BC" w:rsidRDefault="00BA73BC" w:rsidP="00BA73BC">
      <w:pPr>
        <w:pStyle w:val="Naslov2"/>
      </w:pPr>
      <w:r>
        <w:t>Vlada sprejela letni načrt upravljanja državnih naložb v pristojnosti vlade</w:t>
      </w:r>
    </w:p>
    <w:p w14:paraId="435C1FBD" w14:textId="77777777" w:rsidR="00BA73BC" w:rsidRDefault="00BA73BC" w:rsidP="00BA73BC">
      <w:r>
        <w:t>Vlada je danes sprejela Letni načrt upravljanja kapitalskih naložb Republike Slovenije, za upravljanje katerih je pristojna Vlada Republike Slovenije, za leto 2026.</w:t>
      </w:r>
    </w:p>
    <w:p w14:paraId="403A76EB" w14:textId="77777777" w:rsidR="00BA73BC" w:rsidRDefault="00BA73BC" w:rsidP="00BA73BC"/>
    <w:p w14:paraId="1DF0E65F" w14:textId="77777777" w:rsidR="00BA73BC" w:rsidRDefault="00BA73BC" w:rsidP="00BA73BC">
      <w:r>
        <w:t>Ministrstvo za infrastrukturo je pristojno za upravljanje gospodarske družbe 2TDK, Ministrstvo za okolje, podnebje in energijo za upravljanje družb ELES, BORZEN in Družbe za upravljanje javnega potniškega prometa, Ministrstvo za gospodarstvo, turizem in šport za Kobilarno Lipica, Ministrstvo za kulturo za Slovensko tiskovno agencijo, Ministrstvo za visoko šolstvo, znanost in inovacije za družbo FAIR, Ministrstvo za finance pa za Kapitalsko družbo. Na podlagi Zakona o digitalizaciji zdravstva je predvidena še ustanovitev nove gospodarske družbe, nad katero bo bdelo Ministrstvo za zdravje.</w:t>
      </w:r>
    </w:p>
    <w:p w14:paraId="3DC28B8D" w14:textId="77777777" w:rsidR="00BA73BC" w:rsidRDefault="00BA73BC" w:rsidP="00BA73BC"/>
    <w:p w14:paraId="6B706D2C" w14:textId="77777777" w:rsidR="00BA73BC" w:rsidRDefault="00BA73BC" w:rsidP="00BA73BC">
      <w:r>
        <w:t xml:space="preserve">Resorna ministrstva spremljajo poslovanje teh družb in o tem poročajo Ministrstvu za finance. </w:t>
      </w:r>
    </w:p>
    <w:p w14:paraId="23D7468A" w14:textId="53191FBA" w:rsidR="008231AA" w:rsidRDefault="00BA73BC" w:rsidP="00BA73BC">
      <w:pPr>
        <w:pStyle w:val="Vir"/>
      </w:pPr>
      <w:r>
        <w:t>Vir: Ministrstvo za finance</w:t>
      </w:r>
    </w:p>
    <w:p w14:paraId="3AB5D75C" w14:textId="0F509B7D" w:rsidR="00923776" w:rsidRDefault="00923776" w:rsidP="00923776">
      <w:pPr>
        <w:pStyle w:val="Naslov2"/>
      </w:pPr>
      <w:r w:rsidRPr="00CA0721">
        <w:t>Vlada se je seznanila z izvajanjem Načrta za okrevanje in odpornost</w:t>
      </w:r>
    </w:p>
    <w:p w14:paraId="6D13C946" w14:textId="77777777" w:rsidR="00923776" w:rsidRPr="00CA0721" w:rsidRDefault="00923776" w:rsidP="00923776">
      <w:r w:rsidRPr="00CA0721">
        <w:t>Vlada se je danes seznanila z Informacijo o izvajanju Načrta za okrevanje in odpornost</w:t>
      </w:r>
      <w:r>
        <w:t xml:space="preserve"> (NOO)</w:t>
      </w:r>
      <w:r w:rsidRPr="00CA0721">
        <w:t>.</w:t>
      </w:r>
    </w:p>
    <w:p w14:paraId="2B1D6F01" w14:textId="77777777" w:rsidR="00923776" w:rsidRDefault="00923776" w:rsidP="00923776">
      <w:r>
        <w:t xml:space="preserve">Od skupno </w:t>
      </w:r>
      <w:r w:rsidRPr="007D27CB">
        <w:t>1,54 milijarde evrov sredstev</w:t>
      </w:r>
      <w:r>
        <w:t xml:space="preserve"> iz </w:t>
      </w:r>
      <w:r w:rsidRPr="007D27CB">
        <w:t>Mehanizma za okrevanje in odpornost</w:t>
      </w:r>
      <w:r>
        <w:t xml:space="preserve"> (Mehanizem), ki jih je Slovenija že prejela od Evropske komisije (EK), je </w:t>
      </w:r>
      <w:r w:rsidRPr="007D27CB">
        <w:t xml:space="preserve">država končnim prejemnikom </w:t>
      </w:r>
      <w:r>
        <w:t>za izvedene projektne aktivnosti do konca marca i</w:t>
      </w:r>
      <w:r w:rsidRPr="00190B8F">
        <w:t xml:space="preserve">zplačala </w:t>
      </w:r>
      <w:r w:rsidRPr="00A148FC">
        <w:t>1,</w:t>
      </w:r>
      <w:r>
        <w:t>41</w:t>
      </w:r>
      <w:r w:rsidRPr="00A148FC">
        <w:t xml:space="preserve"> milijarde evrov. Od tega v letošnjem letu </w:t>
      </w:r>
      <w:r>
        <w:t>105</w:t>
      </w:r>
      <w:r w:rsidRPr="00A148FC">
        <w:t xml:space="preserve"> milijon</w:t>
      </w:r>
      <w:r>
        <w:t>ov</w:t>
      </w:r>
      <w:r w:rsidRPr="00A148FC">
        <w:t xml:space="preserve"> evrov.</w:t>
      </w:r>
    </w:p>
    <w:p w14:paraId="5D810FCD" w14:textId="77777777" w:rsidR="00923776" w:rsidRDefault="00923776" w:rsidP="00923776"/>
    <w:p w14:paraId="2338347C" w14:textId="247FFFB2" w:rsidR="00923776" w:rsidRDefault="00923776" w:rsidP="00923776">
      <w:r>
        <w:t xml:space="preserve">Slovenija v aprilu pričakuje izplačilo petega zahtevka za plačilo, ki mu je </w:t>
      </w:r>
      <w:hyperlink r:id="rId14" w:history="1">
        <w:r w:rsidRPr="009F680E">
          <w:rPr>
            <w:rStyle w:val="Hiperpovezava"/>
            <w:rFonts w:cs="Arial"/>
            <w:szCs w:val="20"/>
          </w:rPr>
          <w:t>EK zeleno luč prižgala v začetku marca</w:t>
        </w:r>
      </w:hyperlink>
      <w:r>
        <w:t>. P</w:t>
      </w:r>
      <w:r w:rsidRPr="00C406E7">
        <w:t>o prilivu</w:t>
      </w:r>
      <w:r>
        <w:t xml:space="preserve"> dobrih 230 milijonov evrov</w:t>
      </w:r>
      <w:r w:rsidRPr="00C406E7">
        <w:t xml:space="preserve"> bo</w:t>
      </w:r>
      <w:r>
        <w:t xml:space="preserve"> država</w:t>
      </w:r>
      <w:r w:rsidRPr="00C406E7">
        <w:t xml:space="preserve"> beležila več kot 80-odstotno koriščenje </w:t>
      </w:r>
      <w:r w:rsidRPr="00C406E7">
        <w:lastRenderedPageBreak/>
        <w:t>razpoložljivih sredstev</w:t>
      </w:r>
      <w:r>
        <w:t xml:space="preserve">. Odstotek se bo še povečal s prilivom izplačila </w:t>
      </w:r>
      <w:hyperlink r:id="rId15" w:history="1">
        <w:r w:rsidRPr="00820756">
          <w:rPr>
            <w:rStyle w:val="Hiperpovezava"/>
            <w:rFonts w:cs="Arial"/>
            <w:szCs w:val="20"/>
          </w:rPr>
          <w:t>šestega zahtevka za plačilo</w:t>
        </w:r>
      </w:hyperlink>
      <w:r>
        <w:t>, ki je v ocenjevanju na EK.</w:t>
      </w:r>
    </w:p>
    <w:p w14:paraId="57C97FA9" w14:textId="77777777" w:rsidR="00923776" w:rsidRDefault="00923776" w:rsidP="00923776"/>
    <w:p w14:paraId="3E423896" w14:textId="3B4817E5" w:rsidR="00923776" w:rsidRPr="00A3670A" w:rsidRDefault="00923776" w:rsidP="00923776">
      <w:r>
        <w:t>Ministrstva, ki so odgovorna za izvedbo naložb in reform, ocenjujejo, da so do zdaj izpolnila 123 mejnikov in ciljev od skupno 181-ih. Od tega je 107</w:t>
      </w:r>
      <w:r w:rsidRPr="004A7125">
        <w:t xml:space="preserve"> formalno izpolnjenih </w:t>
      </w:r>
      <w:r>
        <w:t>(</w:t>
      </w:r>
      <w:r w:rsidRPr="004A7125">
        <w:t xml:space="preserve">del prvih </w:t>
      </w:r>
      <w:r>
        <w:t>štirih</w:t>
      </w:r>
      <w:r w:rsidRPr="004A7125">
        <w:t xml:space="preserve"> že izplačanih zahtevkov</w:t>
      </w:r>
      <w:r>
        <w:t xml:space="preserve"> za plačilo in del petega zahtevka</w:t>
      </w:r>
      <w:r w:rsidRPr="00F2723A">
        <w:t>), 15 v pregledu na EK (del šestega zahtevka za plačilo) in</w:t>
      </w:r>
      <w:r>
        <w:t xml:space="preserve"> eden</w:t>
      </w:r>
      <w:r w:rsidRPr="004A7125">
        <w:t xml:space="preserve">, ki bo vključen </w:t>
      </w:r>
      <w:r>
        <w:t>v zadnji zahtevek</w:t>
      </w:r>
      <w:r w:rsidRPr="004A7125">
        <w:t xml:space="preserve"> za plačilo</w:t>
      </w:r>
      <w:r>
        <w:t xml:space="preserve">. </w:t>
      </w:r>
    </w:p>
    <w:p w14:paraId="15998874" w14:textId="77777777" w:rsidR="00923776" w:rsidRDefault="00923776" w:rsidP="00923776"/>
    <w:p w14:paraId="0D81AD89" w14:textId="68335D92" w:rsidR="00923776" w:rsidRDefault="00923776" w:rsidP="00923776">
      <w:r>
        <w:t xml:space="preserve">EK je konec marca pozitivno ocenila predlog </w:t>
      </w:r>
      <w:hyperlink r:id="rId16" w:history="1">
        <w:r w:rsidRPr="00CD46E2">
          <w:rPr>
            <w:rStyle w:val="Hiperpovezava"/>
            <w:rFonts w:cs="Arial"/>
            <w:szCs w:val="20"/>
          </w:rPr>
          <w:t>pete spremembe Načrta za okrevanje in odpornost</w:t>
        </w:r>
      </w:hyperlink>
      <w:r>
        <w:t xml:space="preserve">, ki zdaj čaka še dokončno potrditev s strani Sveta Evropske unije. </w:t>
      </w:r>
      <w:r w:rsidRPr="00820756">
        <w:t xml:space="preserve">Predlog spremembe predvideva zmanjšanje obsega razpoložljivih posojil Mehanizma za 57 milijonov evrov, in sicer s 526 na 469 milijonov evrov. </w:t>
      </w:r>
      <w:r>
        <w:t>S</w:t>
      </w:r>
      <w:r w:rsidRPr="00820756">
        <w:t>kupna višina razpoložljivih nepovratnih sredstev ostaja nespremenjena – 1,61 milijarde evrov.</w:t>
      </w:r>
    </w:p>
    <w:p w14:paraId="326070DE" w14:textId="77777777" w:rsidR="00923776" w:rsidRDefault="00923776" w:rsidP="00923776"/>
    <w:p w14:paraId="42EB087B" w14:textId="3E147886" w:rsidR="00923776" w:rsidRDefault="00923776" w:rsidP="00923776">
      <w:r>
        <w:t>Potem ko je EK državam članicam sporočila, da lahko zadnje predloge spremembe načrtov za okrevanje in odpornost posredujejo najkasneje do 31. maja 2026, je vlada Uradu Republike Slovenije za okrevanje in odpornost naložila</w:t>
      </w:r>
      <w:r w:rsidRPr="00203DE2">
        <w:t>, da v luči uspešne izvedbe načrta skupaj z resorji</w:t>
      </w:r>
      <w:r>
        <w:t xml:space="preserve"> </w:t>
      </w:r>
      <w:r w:rsidRPr="00203DE2">
        <w:t>preveri stanje</w:t>
      </w:r>
      <w:r>
        <w:t xml:space="preserve"> </w:t>
      </w:r>
      <w:r w:rsidRPr="00203DE2">
        <w:t>izvajanj</w:t>
      </w:r>
      <w:r>
        <w:t xml:space="preserve">a preostalih odprtih </w:t>
      </w:r>
      <w:r w:rsidRPr="00203DE2">
        <w:t>mejnikov in ciljev</w:t>
      </w:r>
      <w:r>
        <w:t>. Uradu je naložila, da na tej podlagi pripravi predlog šeste spremembe NOO.</w:t>
      </w:r>
    </w:p>
    <w:p w14:paraId="4DB13ADD" w14:textId="77777777" w:rsidR="00923776" w:rsidRDefault="00923776" w:rsidP="00923776">
      <w:pPr>
        <w:pStyle w:val="Vir"/>
      </w:pPr>
      <w:bookmarkStart w:id="0" w:name="_Hlk195168908"/>
      <w:r>
        <w:t>Vir: Ministrstvo za finance</w:t>
      </w:r>
    </w:p>
    <w:bookmarkEnd w:id="0"/>
    <w:p w14:paraId="7EADFC25" w14:textId="62C0B0AD" w:rsidR="00260081" w:rsidRDefault="00260081" w:rsidP="00260081">
      <w:pPr>
        <w:pStyle w:val="Naslov2"/>
      </w:pPr>
      <w:r>
        <w:t>Soglasje k ustanovitvi skupnosti zavodov Koordinacija samostojnih raziskovalnih inštitutov Slovenije (KOsRIS)</w:t>
      </w:r>
    </w:p>
    <w:p w14:paraId="24236599" w14:textId="77777777" w:rsidR="00260081" w:rsidRDefault="00260081" w:rsidP="00260081">
      <w:r>
        <w:t>Vlada Republike Slovenije je dala soglasje javnim raziskovalnim zavodom: Geološki zavod Slovenije, Gozdarski inštitut Slovenije, Institut »Jožef Stefan«, Inštitut za ekonomska raziskovanja, Inštitut za hidravlične raziskave, Inštitut za kovinske materiale in tehnologije, Inštitut za matematiko, fiziko in mehaniko, Inštitut za narodnostna vprašanja, Inštitut za novejšo zgodovino, Kemijski inštitut, Kmetijski inštitut Slovenije, Nacionalni inštitut za biologijo, Pedagoški inštitut, Rudolfovo – Znanstveno in tehnološko središče Novo mesto, Urbanistični inštitut Republike Slovenije, Zavod za gradbeništvo Slovenije in Znanstveno-raziskovalno središče Koper, javnima infrastrukturnima zavodoma Akademska in raziskovalna mreža Slovenije in Institut informacijskih znanosti ter javnemu zavodu, prejemniku sredstev stabilnega financiranja znanstvenoraziskovalne dejavnosti, Inštitut za hmeljarstvo in pivovarstvo Slovenije, k ustanovitvi skupnosti zavodov Koordinacija samostojnih raziskovalnih inštitutov Slovenije (KOsRIS).</w:t>
      </w:r>
    </w:p>
    <w:p w14:paraId="7CFD6A1B" w14:textId="77777777" w:rsidR="00260081" w:rsidRDefault="00260081" w:rsidP="00260081"/>
    <w:p w14:paraId="20DC919C" w14:textId="77777777" w:rsidR="00260081" w:rsidRDefault="00260081" w:rsidP="00260081">
      <w:r>
        <w:t>Zadeve, ki jih bo opravljala skupnost zavodov, organi in organizacija skupnosti se določijo z aktom o ustanovitvi skupnosti in njenim statutom oziroma pravili. Skupnost zavodov KOsRIS je samostojna pravna oseba zasebnega prava in nastopa v pravnem prometu v svojem imenu in za svoj račun. Njeno delovanje nima posledic za Proračun Republike Slovenije, saj se financira iz članarin, prihodkov iz opravljanja dejavnosti in drugih virov. Člani KOsRIS za obveznosti KOsRIS ne odgovarjajo.</w:t>
      </w:r>
    </w:p>
    <w:p w14:paraId="48CAD4A1" w14:textId="77777777" w:rsidR="00260081" w:rsidRDefault="00260081" w:rsidP="00260081"/>
    <w:p w14:paraId="284BFEDB" w14:textId="77777777" w:rsidR="00260081" w:rsidRDefault="00260081" w:rsidP="00260081">
      <w:r>
        <w:t xml:space="preserve">Namen ustanovitve KOsRIS je vzpostaviti trajen, institucionalen okvir za obravnavanje vprašanj skupnega pomena ter omogočiti usklajevanje stališč raziskovalnih organizacij, ki so prejemnice stabilnega financiranja znanstvenoraziskovalne dejavnosti. </w:t>
      </w:r>
    </w:p>
    <w:p w14:paraId="670C62B9" w14:textId="7CDC260F" w:rsidR="00CA24DB" w:rsidRDefault="00260081" w:rsidP="00260081">
      <w:pPr>
        <w:pStyle w:val="Vir"/>
      </w:pPr>
      <w:r>
        <w:t>Vir: Ministrstvo za visoko šolstvo, znanost in inovacije</w:t>
      </w:r>
    </w:p>
    <w:p w14:paraId="22AAF2B3" w14:textId="3882BA64" w:rsidR="009C5CEC" w:rsidRDefault="009C5CEC" w:rsidP="009C5CEC">
      <w:pPr>
        <w:pStyle w:val="Naslov2"/>
      </w:pPr>
      <w:r>
        <w:t>Vlada prerazporeja sredstva državnega proračuna</w:t>
      </w:r>
    </w:p>
    <w:p w14:paraId="569FD8B7" w14:textId="77777777" w:rsidR="009C5CEC" w:rsidRDefault="009C5CEC" w:rsidP="009C5CEC">
      <w:r>
        <w:t>Vlada je na današnji seji odločila o prerazporeditvah pravic porabe v letošnjem državnem proračunu.</w:t>
      </w:r>
    </w:p>
    <w:p w14:paraId="4D49D6E5" w14:textId="77777777" w:rsidR="009C5CEC" w:rsidRDefault="009C5CEC" w:rsidP="009C5CEC"/>
    <w:p w14:paraId="24C5F70B" w14:textId="77777777" w:rsidR="009C5CEC" w:rsidRDefault="009C5CEC" w:rsidP="009C5CEC">
      <w:r>
        <w:lastRenderedPageBreak/>
        <w:t>Ministrstvo za visoko šolstvo, znanost in inovacije prerazporeja pravice porabe znotraj svojega finančnega načrta v skupni višini 8.2 milijona evrov za zagotovitev plač in dodatkov zaposlenih na javnih visokošolskih zavodih v skladu z 9. točko Dogovora o prenovi sistema plač in novih uvrstitvah delovnih mest in nazivov v plačne razrede v javnem sektorju s katerim se je Vlada zavezala, da bo v okviru svojih pristojnosti in obstoječih sistemov financiranja zagotovila sredstva za kritje teh dodatnih stroškov.</w:t>
      </w:r>
    </w:p>
    <w:p w14:paraId="59A33165" w14:textId="77777777" w:rsidR="009C5CEC" w:rsidRDefault="009C5CEC" w:rsidP="009C5CEC"/>
    <w:p w14:paraId="64AAC5B5" w14:textId="77777777" w:rsidR="009C5CEC" w:rsidRDefault="009C5CEC" w:rsidP="009C5CEC">
      <w:r>
        <w:t>Ministrstvo za kulturo prerazporeja pravice porabe v okviru svojega finančnega načrta v višini 1,58 milijonov evrov za tekoče plačilo prispevkov za socialno varnost verskih uslužbencev registriranih cerkva in drugih verskih skupnosti ter republiških priznavalnin, ki predstavljajo zakonsko obveznost ministrstva.</w:t>
      </w:r>
    </w:p>
    <w:p w14:paraId="066F9EAD" w14:textId="77777777" w:rsidR="009C5CEC" w:rsidRDefault="009C5CEC" w:rsidP="009C5CEC"/>
    <w:p w14:paraId="0327183C" w14:textId="77777777" w:rsidR="009C5CEC" w:rsidRDefault="009C5CEC" w:rsidP="009C5CEC">
      <w:r>
        <w:t>Ministrstvo za infrastrukturo/Direkcija Republike Slovenije za infrastrukturo prerazporeja sredstva v višini 1,63 milijonov evrov z namenom evidentiranja porabe sredstev solidarnostnega sklada EU. Pravice se prerazporejajo zaradi zagotovitve dodatnih sredstev za gradnjo mostu čez Kamniško Bistrico v Domžalah, ki je bil v ujmi avgusta 2023 porušen. Zaključek gradnje je predviden v juniju 2026.</w:t>
      </w:r>
    </w:p>
    <w:p w14:paraId="0DD970EB" w14:textId="77777777" w:rsidR="009C5CEC" w:rsidRDefault="009C5CEC" w:rsidP="009C5CEC"/>
    <w:p w14:paraId="69CDA6E9" w14:textId="77777777" w:rsidR="009C5CEC" w:rsidRDefault="009C5CEC" w:rsidP="009C5CEC">
      <w:r>
        <w:t>Vrhovno sodišče RS prerazporeja pravice porabe znotraj svojega finančnega načrta, med konti proračunske postavke Informatizacija sodišč, v višini 600 tisoč evrov za plačilo obveznosti iz naslova tekočega vzdrževanja informacijskih sistemov za sodišča.</w:t>
      </w:r>
    </w:p>
    <w:p w14:paraId="3EB803E0" w14:textId="11892AB0" w:rsidR="00CA24DB" w:rsidRDefault="009C5CEC" w:rsidP="009C5CEC">
      <w:pPr>
        <w:pStyle w:val="Vir"/>
      </w:pPr>
      <w:r>
        <w:t>Vir: Ministrstvo za finance</w:t>
      </w:r>
    </w:p>
    <w:p w14:paraId="3E26A3AB" w14:textId="18C8F085" w:rsidR="00CD314A" w:rsidRDefault="00CD314A" w:rsidP="00CD314A">
      <w:pPr>
        <w:pStyle w:val="Naslov2"/>
      </w:pPr>
      <w:r>
        <w:t>V Načrt razvojnih programov uvrščeni novi načini zdravljenja Alzheimerjeve bolezni v UKC Maribor</w:t>
      </w:r>
    </w:p>
    <w:p w14:paraId="1D2DA649" w14:textId="77777777" w:rsidR="00CD314A" w:rsidRDefault="00CD314A" w:rsidP="00CD314A">
      <w:r>
        <w:t xml:space="preserve">Namen projekta je uvedba novega načina zdravljenja Alzheimerjeve bolezni (AB) z biološkimi zdravili na terciarni zdravstveni ravni v Vzhodni kohezijski regiji. </w:t>
      </w:r>
    </w:p>
    <w:p w14:paraId="0BF9B24E" w14:textId="77777777" w:rsidR="00CD314A" w:rsidRDefault="00CD314A" w:rsidP="00CD314A"/>
    <w:p w14:paraId="7B50F24B" w14:textId="1E966DA9" w:rsidR="00CD314A" w:rsidRDefault="00CD314A" w:rsidP="00CD314A">
      <w:r>
        <w:t>Projekt predvideva ureditev dodatnih prostorov in krepitev kadrov za izvajanje ambulantne subspecialistične dejavnosti ter nadgradnjo dnevne bolnišnice. V okviru investicije bodo urejeni prostori v skupni velikosti 84,5 m², ki vključujejo dnevno bolnišnico, ambulanto, administrativne prostore in sanitarije. Predviden je tudi nakup medicinske opreme, med drugim infuzijskih črpalk, opreme za spremljanje vitalnih funkcij, centralne nadzorne postaje, terapevtskih sedežev ter programske opreme.</w:t>
      </w:r>
    </w:p>
    <w:p w14:paraId="21E57712" w14:textId="77777777" w:rsidR="00CD314A" w:rsidRDefault="00CD314A" w:rsidP="00CD314A"/>
    <w:p w14:paraId="6B6C14CA" w14:textId="053A1FE0" w:rsidR="00CD314A" w:rsidRDefault="00CD314A" w:rsidP="00CD314A">
      <w:r>
        <w:t xml:space="preserve">Investicija bo prispevala k vzpostavitvi pogojev za uvedbo novega načina zdravljenja Alzheimerjeve bolezni ter izboljšanju dostopa do diagnostike in zdravstvene obravnave. Cilj je zagotoviti pravočasno, kakovostno in varno zdravljenje ter omogočiti uvajanje novih metod obravnave. </w:t>
      </w:r>
    </w:p>
    <w:p w14:paraId="08618188" w14:textId="77777777" w:rsidR="00CD314A" w:rsidRDefault="00CD314A" w:rsidP="00CD314A"/>
    <w:p w14:paraId="2C6678CD" w14:textId="7B15A4D5" w:rsidR="00CD314A" w:rsidRDefault="00CD314A" w:rsidP="00CD314A">
      <w:r>
        <w:t>Gre za pomemben korak k izboljšanju obravnave bolnikov z Alzheimerjevo boleznijo in krepitvi zdravstvenega sistema na področju demence. Cilj je zagotoviti večjo dostopnost storitev in dolgoročno izboljšati kakovost življenja bolnikov.</w:t>
      </w:r>
    </w:p>
    <w:p w14:paraId="31E75AE4" w14:textId="77777777" w:rsidR="00CD314A" w:rsidRDefault="00CD314A" w:rsidP="00CD314A"/>
    <w:p w14:paraId="72352E35" w14:textId="1FB30584" w:rsidR="00CD314A" w:rsidRDefault="00CD314A" w:rsidP="00CD314A">
      <w:r>
        <w:t xml:space="preserve">Zaključek investicije je predviden do konca leta 2026. Ocenjena vrednost investicije znaša 746.384,00 evrov z DDV, pri čemer bo 692.200,00 evrov z DDV zagotovilo Ministrstvo za zdravje. </w:t>
      </w:r>
    </w:p>
    <w:p w14:paraId="48EE85D5" w14:textId="7D3A8A02" w:rsidR="00F33152" w:rsidRDefault="00CD314A" w:rsidP="00CD314A">
      <w:pPr>
        <w:pStyle w:val="Vir"/>
      </w:pPr>
      <w:r>
        <w:t>Vir: Ministrstvo za zdravje</w:t>
      </w:r>
      <w:r w:rsidR="00F33152" w:rsidRPr="00F33152">
        <w:t xml:space="preserve"> </w:t>
      </w:r>
    </w:p>
    <w:p w14:paraId="4BA8AEFC" w14:textId="2D8228C2" w:rsidR="008D7EFE" w:rsidRDefault="008D7EFE" w:rsidP="008D7EFE">
      <w:pPr>
        <w:pStyle w:val="Naslov2"/>
      </w:pPr>
      <w:r>
        <w:t>V Načrt razvojnih programov uvrščeni novi načini zdravljenja Alzheimerjeve bolezni v UKC Ljubljana</w:t>
      </w:r>
    </w:p>
    <w:p w14:paraId="445C8FFD" w14:textId="77777777" w:rsidR="008D7EFE" w:rsidRDefault="008D7EFE" w:rsidP="008D7EFE">
      <w:r>
        <w:lastRenderedPageBreak/>
        <w:t>Namen projekta je uvedba novega načina zdravljenja Alzheimerjeve bolezni (AB) z biološkimi zdravili ter izboljšanje dostopa bolnikov do pravočasne diagnostike in obravnave.</w:t>
      </w:r>
    </w:p>
    <w:p w14:paraId="34B7EA34" w14:textId="77777777" w:rsidR="008D7EFE" w:rsidRDefault="008D7EFE" w:rsidP="008D7EFE"/>
    <w:p w14:paraId="2E0CA4B1" w14:textId="764E4B9E" w:rsidR="008D7EFE" w:rsidRDefault="008D7EFE" w:rsidP="008D7EFE">
      <w:r>
        <w:t>Pilotni projekt bo v prvem letu omogočil zdravljenje približno 80 bolnikov. Namenjen je preverjanju delovanja sistema v praksi in bo podlaga za nadaljnjo širitev programa na večje število bolnikov. Cilj je vzpostaviti pogoje za uvedbo novega načina zdravljenja, izboljšati dostop do diagnostike, okrepiti znanje zdravstvenega kadra ter prispevati k večji informiranosti bolnikov, svojcev in javnosti.</w:t>
      </w:r>
    </w:p>
    <w:p w14:paraId="3616F497" w14:textId="77777777" w:rsidR="008D7EFE" w:rsidRDefault="008D7EFE" w:rsidP="008D7EFE">
      <w:r>
        <w:t>Za izvedbo projekta je predvidena nadgradnja prostorov in laboratorijev v skupni velikosti 112,8 m². Projekt vključuje tudi nakup specializirane opreme, med drugim analizatorja biomarkerjev, laboratorijskega hladilnika, zamrzovalne omare, pohištvene opreme in električnega bolniškega stola. Investicija bo omogočila varno in učinkovito izvajanje novega zdravljenja.</w:t>
      </w:r>
    </w:p>
    <w:p w14:paraId="4406A728" w14:textId="77777777" w:rsidR="008D7EFE" w:rsidRDefault="008D7EFE" w:rsidP="008D7EFE"/>
    <w:p w14:paraId="29B219FA" w14:textId="0EA0A5D5" w:rsidR="008D7EFE" w:rsidRDefault="008D7EFE" w:rsidP="008D7EFE">
      <w:r>
        <w:t xml:space="preserve">Izvedba projekta je predvidena do konca leta 2026. Skupna vrednost investicije znaša 779.824,00 evrov z DDV. Projekt bo v celoti financiran iz državnega proračuna. </w:t>
      </w:r>
    </w:p>
    <w:p w14:paraId="678CA933" w14:textId="309B4C7C" w:rsidR="00F33152" w:rsidRDefault="008D7EFE" w:rsidP="008D7EFE">
      <w:pPr>
        <w:pStyle w:val="Vir"/>
      </w:pPr>
      <w:r>
        <w:t>Vir: Ministrstvo za zdravje</w:t>
      </w:r>
    </w:p>
    <w:p w14:paraId="2DFCA1EB" w14:textId="42F35B91" w:rsidR="004E4419" w:rsidRDefault="004E4419" w:rsidP="004E4419">
      <w:pPr>
        <w:pStyle w:val="Naslov2"/>
      </w:pPr>
      <w:r>
        <w:t xml:space="preserve">V Načrt razvojnih programov uvrščena nabava in montaža </w:t>
      </w:r>
      <w:proofErr w:type="spellStart"/>
      <w:r>
        <w:t>koronarografa</w:t>
      </w:r>
      <w:proofErr w:type="spellEnd"/>
      <w:r>
        <w:t xml:space="preserve"> v SB Nova Gorica</w:t>
      </w:r>
    </w:p>
    <w:p w14:paraId="5704306F" w14:textId="77777777" w:rsidR="004E4419" w:rsidRDefault="004E4419" w:rsidP="004E4419">
      <w:r>
        <w:t xml:space="preserve">V Načrt razvojnih programov za obdobje 2026–2029 je vlada uvrstila nov projekt nabave in montaže </w:t>
      </w:r>
      <w:proofErr w:type="spellStart"/>
      <w:r>
        <w:t>koronarografa</w:t>
      </w:r>
      <w:proofErr w:type="spellEnd"/>
      <w:r>
        <w:t xml:space="preserve"> v Splošni bolnišnici (SB) dr. Franca Derganca Nova Gorica.</w:t>
      </w:r>
    </w:p>
    <w:p w14:paraId="60F85EEC" w14:textId="77777777" w:rsidR="004E4419" w:rsidRDefault="004E4419" w:rsidP="004E4419"/>
    <w:p w14:paraId="56C2E4D2" w14:textId="403589E8" w:rsidR="004E4419" w:rsidRDefault="004E4419" w:rsidP="004E4419">
      <w:r>
        <w:t xml:space="preserve">Namen projekta je zagotoviti varno in sodobno izvajanje invazivne kardiološke diagnostike ter posegov v SB Nova Gorica z ureditvijo prostorov ter nabavo in namestitvijo </w:t>
      </w:r>
      <w:proofErr w:type="spellStart"/>
      <w:r>
        <w:t>koronarografa</w:t>
      </w:r>
      <w:proofErr w:type="spellEnd"/>
      <w:r>
        <w:t xml:space="preserve">. </w:t>
      </w:r>
    </w:p>
    <w:p w14:paraId="49C21956" w14:textId="77777777" w:rsidR="004E4419" w:rsidRDefault="004E4419" w:rsidP="004E4419"/>
    <w:p w14:paraId="0DD1259B" w14:textId="335E752D" w:rsidR="004E4419" w:rsidRDefault="004E4419" w:rsidP="004E4419">
      <w:r>
        <w:t>Projekt je usmerjen v izboljšanje dostopnosti in kakovosti obravnave bolnikov, zagotavljanje skladnosti prostorov in opreme z veljavnimi strokovnimi in varnostnimi zahtevami ter povečanje zanesljivosti in učinkovitosti izvajanja preiskav in posegov.</w:t>
      </w:r>
    </w:p>
    <w:p w14:paraId="232F9758" w14:textId="77777777" w:rsidR="004E4419" w:rsidRDefault="004E4419" w:rsidP="004E4419"/>
    <w:p w14:paraId="2B9C7291" w14:textId="3652D7DA" w:rsidR="004E4419" w:rsidRDefault="004E4419" w:rsidP="004E4419">
      <w:r>
        <w:t>Med pričakovanimi koristmi so izboljšanje dostopnosti in pravočasnosti diagnostičnih ter interventnih obravnav na področju bolezni srca in žilja, zmanjšanje potrebnih prevozov in premeščanj pacientov v druge centre ter razbremenitev najbolj obremenjenih centrov.</w:t>
      </w:r>
    </w:p>
    <w:p w14:paraId="3B2EDDA0" w14:textId="77777777" w:rsidR="004E4419" w:rsidRDefault="004E4419" w:rsidP="004E4419"/>
    <w:p w14:paraId="2BE3F48D" w14:textId="73CDD9F1" w:rsidR="004E4419" w:rsidRDefault="004E4419" w:rsidP="004E4419">
      <w:r>
        <w:t>Ocenjena skupna vrednost investicije znaša 3.877.542,23 evra z DDV. Ministrstvo za zdravje bo sofinanciralo investicijo v višini 3.167.244,83 evra z DDV, preostali znesek pa bo zagotovila bolnišnica.</w:t>
      </w:r>
    </w:p>
    <w:p w14:paraId="632990D3" w14:textId="77777777" w:rsidR="004E4419" w:rsidRDefault="004E4419" w:rsidP="004E4419">
      <w:r>
        <w:t xml:space="preserve">Predviden zaključek celotne investicije je v letu 2027. </w:t>
      </w:r>
    </w:p>
    <w:p w14:paraId="7FA63745" w14:textId="4CA5D30E" w:rsidR="00F33152" w:rsidRDefault="004E4419" w:rsidP="004E4419">
      <w:pPr>
        <w:pStyle w:val="Vir"/>
      </w:pPr>
      <w:r>
        <w:t>Vir: Ministrstvo za zdravje</w:t>
      </w:r>
    </w:p>
    <w:p w14:paraId="35D1FF70" w14:textId="054048E6" w:rsidR="000413C0" w:rsidRDefault="000413C0" w:rsidP="000413C0">
      <w:pPr>
        <w:pStyle w:val="Naslov2"/>
      </w:pPr>
      <w:r>
        <w:t>Slovenija je uspešno izvedla večino priporočil GRECO</w:t>
      </w:r>
    </w:p>
    <w:p w14:paraId="64B0D942" w14:textId="77777777" w:rsidR="000413C0" w:rsidRDefault="000413C0" w:rsidP="000413C0">
      <w:r>
        <w:t xml:space="preserve">Slovenija je uspešno izvedla dvanajst od petnajstih priporočil, tri priporočila pa so bila izvedena delno, izhaja iz drugega dodatka k drugemu poročilu GRECO o izpolnjevanju priporočil Slovenije v petem krogu ocenjevanja preprečevanje korupcije in spodbujanje integritete v centralni vladi (najvišji nosilci izvršilne veje oblasti) in organih preiskave – </w:t>
      </w:r>
      <w:proofErr w:type="spellStart"/>
      <w:r>
        <w:t>Second</w:t>
      </w:r>
      <w:proofErr w:type="spellEnd"/>
      <w:r>
        <w:t xml:space="preserve"> </w:t>
      </w:r>
      <w:proofErr w:type="spellStart"/>
      <w:r>
        <w:t>Addendum</w:t>
      </w:r>
      <w:proofErr w:type="spellEnd"/>
      <w:r>
        <w:t xml:space="preserve"> to the </w:t>
      </w:r>
      <w:proofErr w:type="spellStart"/>
      <w:r>
        <w:t>Second</w:t>
      </w:r>
      <w:proofErr w:type="spellEnd"/>
      <w:r>
        <w:t xml:space="preserve"> </w:t>
      </w:r>
      <w:proofErr w:type="spellStart"/>
      <w:r>
        <w:t>Compliance</w:t>
      </w:r>
      <w:proofErr w:type="spellEnd"/>
      <w:r>
        <w:t xml:space="preserve"> </w:t>
      </w:r>
      <w:proofErr w:type="spellStart"/>
      <w:r>
        <w:t>Report</w:t>
      </w:r>
      <w:proofErr w:type="spellEnd"/>
      <w:r>
        <w:t xml:space="preserve"> GrecoRC5(2025)21.</w:t>
      </w:r>
    </w:p>
    <w:p w14:paraId="6F8BB428" w14:textId="77777777" w:rsidR="000413C0" w:rsidRDefault="000413C0" w:rsidP="000413C0"/>
    <w:p w14:paraId="5D8B540C" w14:textId="77777777" w:rsidR="000413C0" w:rsidRDefault="000413C0" w:rsidP="000413C0">
      <w:r>
        <w:t>GRECO med drugim ugotavlja, da je bil napredek opažen pri najvišjih nosilcih izvršilne veje oblasti in pri organih odkrivanja in pregona (policija) ter da so bila izpolnjena vsa priporočila, kar dokazuje zavezanost policije pri izvajanju priporočil GRECO z izboljšanjem sistemskih rešitev za zmanjšanje korupcijskih tveganj, krepitev integritete zaposlenih, krepitev ugleda policijskega poklica in spodbujanje organizacijske integritete.</w:t>
      </w:r>
    </w:p>
    <w:p w14:paraId="45243164" w14:textId="77777777" w:rsidR="000413C0" w:rsidRDefault="000413C0" w:rsidP="000413C0"/>
    <w:p w14:paraId="1887ABC9" w14:textId="77777777" w:rsidR="000413C0" w:rsidRDefault="000413C0" w:rsidP="000413C0">
      <w:r>
        <w:t xml:space="preserve">S tem se je zaključilo ocenjevanje Slovenije v petem krogu ocenjevanja, ki je bilo od leta 2017 do 2025, in je obravnavalo spodbujanje integritete ter preprečevanja korupcije, povezano s funkcionarji izvršilne veje oblasti in organi preiskave. Pri izvedbi priporočil GRECO je sodeloval Generalni sekretariat vlade, Kabinet predsednika vlade, Ministrstvo za javno upravo, Ministrstvo za pravosodje in Ministrstvo za notranje zadeve (Policija). </w:t>
      </w:r>
    </w:p>
    <w:p w14:paraId="27D60B6C" w14:textId="77777777" w:rsidR="000413C0" w:rsidRDefault="000413C0" w:rsidP="000413C0"/>
    <w:p w14:paraId="5980FA10" w14:textId="7927BA89" w:rsidR="000413C0" w:rsidRDefault="000413C0" w:rsidP="000413C0">
      <w:r>
        <w:t>Vlada s</w:t>
      </w:r>
      <w:r w:rsidR="0017439D">
        <w:t>e</w:t>
      </w:r>
      <w:r>
        <w:t xml:space="preserve"> je </w:t>
      </w:r>
      <w:r w:rsidR="0058109F">
        <w:t xml:space="preserve">s </w:t>
      </w:r>
      <w:r>
        <w:t>tem poročilom,</w:t>
      </w:r>
      <w:r w:rsidR="0017439D">
        <w:t xml:space="preserve"> </w:t>
      </w:r>
      <w:r>
        <w:t xml:space="preserve">ki je bil sprejet novembra lani na zasedanju GRECO, seznanila na današnji seji vlade. </w:t>
      </w:r>
    </w:p>
    <w:p w14:paraId="66AF3E2E" w14:textId="5E3EB367" w:rsidR="00F33152" w:rsidRDefault="0031657F" w:rsidP="0031657F">
      <w:pPr>
        <w:pStyle w:val="Vir"/>
      </w:pPr>
      <w:r>
        <w:t>Vir: Ministrstvo za javno upravo</w:t>
      </w:r>
    </w:p>
    <w:p w14:paraId="791E5FED" w14:textId="5C0A6DD3" w:rsidR="0017439D" w:rsidRDefault="0017439D" w:rsidP="0017439D">
      <w:pPr>
        <w:pStyle w:val="Naslov2"/>
      </w:pPr>
      <w:r>
        <w:t>Vlada razrešila in imenovala članico sveta Prirodoslovnega muzeja Slovenije</w:t>
      </w:r>
    </w:p>
    <w:p w14:paraId="16F273C9" w14:textId="3771BB99" w:rsidR="0017439D" w:rsidRDefault="0017439D" w:rsidP="0017439D">
      <w:r>
        <w:t>Vlada je na današnji seji razrešila Nino Ukmar z mesta predstavnice ustanovitelja v svetu javnega zavoda Prirodoslovni muzej Slovenije. Za preostanek mandata sveta, do 13. aprila 2027, je Vlada RS kot predstavnico ustanovitelja imenovala Yasmin Martin Vodopivec.</w:t>
      </w:r>
    </w:p>
    <w:p w14:paraId="285669B2" w14:textId="2A1EB55B" w:rsidR="0017439D" w:rsidRDefault="0017439D" w:rsidP="0017439D">
      <w:r>
        <w:t>Do razrešitve je prišlo na podlagi odstopne izjave dosedanje članice. Ministrstvo za kulturo je za imenovanje nove članice izvedlo javni poziv, na katerega je prispela ena prijava. Predlagana kandidatka izpolnjuje vse pogoje za imenovanje in ima ustrezne strokovne izkušnje s področja delovanja javnega zavoda. S tem imenovanjem se zagotavlja nemoteno delovanje sveta javnega zavoda, ki ima pomembno vlogo pri upravljanju in razvoju Prirodoslovnega muzeja Slovenije.</w:t>
      </w:r>
    </w:p>
    <w:p w14:paraId="262AE952" w14:textId="77777777" w:rsidR="0017439D" w:rsidRDefault="0017439D" w:rsidP="0017439D"/>
    <w:p w14:paraId="16218B49" w14:textId="77201DFA" w:rsidR="0017439D" w:rsidRDefault="0017439D" w:rsidP="0017439D">
      <w:r>
        <w:t xml:space="preserve">Yasmin Martin Vodopivec je po diplomi iz slovanskih jezikov v Barceloni leta 2011 magistrirala iz menedžmenta kulturnih institucij in podjetij, leta 2016 pa pridobila še magisterij s področja izobraževanja in muzejev: dediščina, identiteta in kulturna mediacija na Univerzi v </w:t>
      </w:r>
      <w:proofErr w:type="spellStart"/>
      <w:r>
        <w:t>Murciji</w:t>
      </w:r>
      <w:proofErr w:type="spellEnd"/>
      <w:r>
        <w:t xml:space="preserve"> v Španiji. Zadnjih 15 let je zaposlena v Mednarodnem grafičnem likovnem centru, kjer je bila pomočnica direktorice za vodenje finančnih, pravnih in splošnih zadev, trenutno pa deluje kot kustosinja – muzejska svetovalka za razvoj. Aktivno sodeluje pri menedžmentu Grafičnega bienala Ljubljana, pri razvoju rezidenčnega umetniškega centra Švicarija ter pri številnih razstavnih, raziskovalnih in mednarodnih projektih. Dobro pozna delovanje kulturnih institucij, njihove notranje procese ter obveznosti do ustanovitelja in drugih organov. Sodeluje tudi v strokovnih komisijah na občinski in državni ravni, od leta 2025 pa je članica sveta Slovenskega narodnega gledališča Opera in balet Ljubljana.</w:t>
      </w:r>
    </w:p>
    <w:p w14:paraId="1FE93D26" w14:textId="77777777" w:rsidR="0017439D" w:rsidRDefault="0017439D" w:rsidP="0017439D">
      <w:pPr>
        <w:pStyle w:val="Vir"/>
      </w:pPr>
      <w:r>
        <w:t>Vir: Ministrstvo za kulturo</w:t>
      </w:r>
    </w:p>
    <w:p w14:paraId="53F80E43" w14:textId="47C1F4EC" w:rsidR="00EF0FF3" w:rsidRDefault="00EF0FF3" w:rsidP="00EF0FF3">
      <w:pPr>
        <w:pStyle w:val="Naslov2"/>
      </w:pPr>
      <w:r>
        <w:t>Predlog kandidatke RS za članico Mednarodne humanitarne komisije za ugotavljanje dejstev za obdobje 2026–2031</w:t>
      </w:r>
    </w:p>
    <w:p w14:paraId="5BF93580" w14:textId="77777777" w:rsidR="00EF0FF3" w:rsidRDefault="00EF0FF3" w:rsidP="00EF0FF3">
      <w:r>
        <w:t>Vlada Republike Slovenije predlaga dr. Mašo Kovič Dine za članico Mednarodne humanitarne komisije za ugotavljanje dejstev za obdobje 2026–2031.</w:t>
      </w:r>
    </w:p>
    <w:p w14:paraId="02865508" w14:textId="77777777" w:rsidR="00EF0FF3" w:rsidRDefault="00EF0FF3" w:rsidP="00EF0FF3"/>
    <w:p w14:paraId="7678CC19" w14:textId="02E571D1" w:rsidR="00EF0FF3" w:rsidRDefault="00EF0FF3" w:rsidP="00EF0FF3">
      <w:r>
        <w:t xml:space="preserve">Švica je kot depozitarka Protokola I z noto št. 05/2026 z dne 27. januarja 2026 Slovenijo kot državo pogodbenico povabila, da jo do 12. junija 2026 obvesti o kandidatu za člana komisije. Člani Stalne koordinacijske skupine za mednarodno humanitarno pravo na 20. seji 12. marca 2026 soglasno podprli kandidaturo dr. Maše Kovič Dine za članico komisije v obdobju od 2026-2031. </w:t>
      </w:r>
    </w:p>
    <w:p w14:paraId="133AE422" w14:textId="77777777" w:rsidR="00EF0FF3" w:rsidRDefault="00EF0FF3" w:rsidP="00EF0FF3"/>
    <w:p w14:paraId="554E98EF" w14:textId="77777777" w:rsidR="00EF0FF3" w:rsidRDefault="00EF0FF3" w:rsidP="00EF0FF3">
      <w:r>
        <w:t>Kandidatka je predstojnica Katedre za mednarodno pravo na Pravni fakulteti Univerze v Ljubljani in strokovnjakinja za mednarodno humanitarno pravo. Že vrsto let predava mednarodno humanitarno pravo, mednarodno kazensko pravo, mednarodno javno pravo ter druge mednarodnopravne predmete. Volitve članov komisije bodo potekale v Bernu, 20. novembra 2026 s tajnim glasovanjem o  kandidatih s seznama.</w:t>
      </w:r>
    </w:p>
    <w:p w14:paraId="434DE596" w14:textId="77777777" w:rsidR="00EF0FF3" w:rsidRDefault="00EF0FF3" w:rsidP="00EF0FF3"/>
    <w:p w14:paraId="1E6D8063" w14:textId="77777777" w:rsidR="00EF0FF3" w:rsidRDefault="00EF0FF3" w:rsidP="00EF0FF3">
      <w:r>
        <w:t xml:space="preserve">Mednarodna humanitarna komisija za ugotavljanje dejstev je bila ustanovljena na temelju 90. člena Dopolnilnega protokola k ženevskim konvencijam z dne 12. avgusta 1949 o zaščiti žrtev mednarodnih oboroženih spopadov (Protokol I) z dne 8. junija 1977. </w:t>
      </w:r>
    </w:p>
    <w:p w14:paraId="69E32816" w14:textId="77777777" w:rsidR="00EF0FF3" w:rsidRDefault="00EF0FF3" w:rsidP="00EF0FF3"/>
    <w:p w14:paraId="4A85B0D4" w14:textId="77777777" w:rsidR="00EF0FF3" w:rsidRDefault="00EF0FF3" w:rsidP="00EF0FF3">
      <w:r>
        <w:t xml:space="preserve">Naloga komisije je, da prispeva k izvajanju mednarodnega humanitarnega prava in zagotovi njegovo spoštovanje v oboroženih spopadih. Prav tako je pristojna, da razišče vsa dejstva, ki domnevno pomenijo hudo kršitev, kot jo določajo ženevske konvencije in Protokol I; ter s svojimi dobrimi uslugami spodbuja ponovno spoštovanje ženevskih konvencij in Protokola I. </w:t>
      </w:r>
    </w:p>
    <w:p w14:paraId="68FD03A4" w14:textId="200BD5BE" w:rsidR="008231AA" w:rsidRDefault="00EF0FF3" w:rsidP="00EF0FF3">
      <w:pPr>
        <w:pStyle w:val="Vir"/>
      </w:pPr>
      <w:r>
        <w:t>Vir: Ministrstvo za zunanje in evropske zadeve Republike Slovenije</w:t>
      </w:r>
    </w:p>
    <w:p w14:paraId="54D6A4D8" w14:textId="7C9417C7" w:rsidR="0081548E" w:rsidRDefault="0081548E" w:rsidP="0081548E">
      <w:pPr>
        <w:pStyle w:val="Naslov2"/>
      </w:pPr>
      <w:r>
        <w:t>Imenovanje članic in članov ter predsednice odbora za podelitev nagrad in priznanj za izjemne dosežke v znanstveno-raziskovalni dejavnosti</w:t>
      </w:r>
    </w:p>
    <w:p w14:paraId="2239CFCF" w14:textId="2AEDC7FF" w:rsidR="0081548E" w:rsidRDefault="0081548E" w:rsidP="0081548E">
      <w:r>
        <w:t>Na podlagi Zakona o nagradah in priznanjih za izjemne dosežke v znanstveno-raziskovalni in razvojni dejavnosti predsednika/co in člane/</w:t>
      </w:r>
      <w:proofErr w:type="spellStart"/>
      <w:r>
        <w:t>ice</w:t>
      </w:r>
      <w:proofErr w:type="spellEnd"/>
      <w:r>
        <w:t xml:space="preserve"> Odbora  Republike Slovenije za podelitev nagrad in priznanj za izjemne dosežke v znanstveno-raziskovalni in razvojni dejavnosti imenuje Vlada Republike Slovenije. Odbor ima 14 članic in članov in predsednika oziroma predsednico in je sestavljen tako, da je upoštevana spolna uravnoteženost ter da so zastopana vsa področja znanstvenih ved, zato mora Vlada imenovati nove člane tako, da je njihova ekspertiza komplementarna tisti od sedmih članov, ki jim mandat še traja do leta 2028.</w:t>
      </w:r>
    </w:p>
    <w:p w14:paraId="1EE60E85" w14:textId="77777777" w:rsidR="0081548E" w:rsidRDefault="0081548E" w:rsidP="0081548E"/>
    <w:p w14:paraId="7AC7C161" w14:textId="77777777" w:rsidR="0081548E" w:rsidRDefault="0081548E" w:rsidP="0081548E">
      <w:r>
        <w:t>Mandati članov/</w:t>
      </w:r>
      <w:proofErr w:type="spellStart"/>
      <w:r>
        <w:t>ic</w:t>
      </w:r>
      <w:proofErr w:type="spellEnd"/>
      <w:r>
        <w:t xml:space="preserve"> Odbora za nagrade v skladu z zakonom trajajo štiri leta tako, da se vsaki dve leti zamenja polovica članov. Ob začetnem oblikovanju Odbora so bili prvi predsednik in prvih sedem članov Odbora imenovani za mandatno dobo štirih let, ostalih sedem članov pa za dobo dveh let. 15. maja 2026 poteče mandat sedmim članicam in članom ter predsednici Odbora, zato mora Vlada v skladu z Zakonom imenovati nove.</w:t>
      </w:r>
    </w:p>
    <w:p w14:paraId="5C52A7DD" w14:textId="77777777" w:rsidR="0081548E" w:rsidRDefault="0081548E" w:rsidP="0081548E"/>
    <w:p w14:paraId="69FEAC6A" w14:textId="77777777" w:rsidR="0081548E" w:rsidRDefault="0081548E" w:rsidP="0081548E">
      <w:r>
        <w:t>Ministrstvo za visoko šolstvo, znanost in inovacije je objavilo javni poziv za predlaganje osmih kandidatk in kandidatov za članice in člane Odbora. Prispelo je 33 vlog. Vlada Republike Slovenije je na današnji seji sprejela Sklep o imenovanju članic in članov ter predsednice Odbora Republike Slovenije za podelitev nagrad in priznanj za izjemne dosežke v znanstveno-raziskovalni in razvojni dejavnosti.</w:t>
      </w:r>
    </w:p>
    <w:p w14:paraId="6A294442" w14:textId="77777777" w:rsidR="0081548E" w:rsidRDefault="0081548E" w:rsidP="0081548E"/>
    <w:p w14:paraId="4C2C8B71" w14:textId="77777777" w:rsidR="0081548E" w:rsidRDefault="0081548E" w:rsidP="0081548E">
      <w:r>
        <w:t>V Odbor se za mandatno dobo štirih let imenujejo naslednji članice in člani ter predsednica:</w:t>
      </w:r>
    </w:p>
    <w:p w14:paraId="63EE445E" w14:textId="49213A95" w:rsidR="0081548E" w:rsidRDefault="0081548E" w:rsidP="0081548E">
      <w:pPr>
        <w:pStyle w:val="Odstavekseznama"/>
        <w:numPr>
          <w:ilvl w:val="0"/>
          <w:numId w:val="13"/>
        </w:numPr>
      </w:pPr>
      <w:r>
        <w:t>prof. dr. Maja Ravnikar, predsednica,</w:t>
      </w:r>
    </w:p>
    <w:p w14:paraId="46C1AD94" w14:textId="08BBF3F1" w:rsidR="0081548E" w:rsidRDefault="0081548E" w:rsidP="0081548E">
      <w:pPr>
        <w:pStyle w:val="Odstavekseznama"/>
        <w:numPr>
          <w:ilvl w:val="0"/>
          <w:numId w:val="13"/>
        </w:numPr>
      </w:pPr>
      <w:r>
        <w:t>prof. dr. Miran Gaberšček, član,</w:t>
      </w:r>
    </w:p>
    <w:p w14:paraId="0F2CE208" w14:textId="18222AF5" w:rsidR="0081548E" w:rsidRDefault="0081548E" w:rsidP="0081548E">
      <w:pPr>
        <w:pStyle w:val="Odstavekseznama"/>
        <w:numPr>
          <w:ilvl w:val="0"/>
          <w:numId w:val="13"/>
        </w:numPr>
      </w:pPr>
      <w:r>
        <w:t xml:space="preserve">prof. dr. Katja Mihurko Poniž, članica, </w:t>
      </w:r>
    </w:p>
    <w:p w14:paraId="47E80986" w14:textId="3E25E4D2" w:rsidR="0081548E" w:rsidRDefault="0081548E" w:rsidP="0081548E">
      <w:pPr>
        <w:pStyle w:val="Odstavekseznama"/>
        <w:numPr>
          <w:ilvl w:val="0"/>
          <w:numId w:val="13"/>
        </w:numPr>
      </w:pPr>
      <w:r>
        <w:t>prof. dr. Marko Mikuž, član,</w:t>
      </w:r>
    </w:p>
    <w:p w14:paraId="2BC2317F" w14:textId="6947BAAA" w:rsidR="0081548E" w:rsidRDefault="0081548E" w:rsidP="0081548E">
      <w:pPr>
        <w:pStyle w:val="Odstavekseznama"/>
        <w:numPr>
          <w:ilvl w:val="0"/>
          <w:numId w:val="13"/>
        </w:numPr>
      </w:pPr>
      <w:r>
        <w:t>prof. dr. Damjana Rozman, članica,</w:t>
      </w:r>
    </w:p>
    <w:p w14:paraId="53F1AA7B" w14:textId="4C16BBAE" w:rsidR="0081548E" w:rsidRDefault="0081548E" w:rsidP="0081548E">
      <w:pPr>
        <w:pStyle w:val="Odstavekseznama"/>
        <w:numPr>
          <w:ilvl w:val="0"/>
          <w:numId w:val="13"/>
        </w:numPr>
      </w:pPr>
      <w:r>
        <w:t>prof. dr. Samo Stanič, član,</w:t>
      </w:r>
    </w:p>
    <w:p w14:paraId="79260640" w14:textId="6463756F" w:rsidR="0081548E" w:rsidRDefault="0081548E" w:rsidP="0081548E">
      <w:pPr>
        <w:pStyle w:val="Odstavekseznama"/>
        <w:numPr>
          <w:ilvl w:val="0"/>
          <w:numId w:val="13"/>
        </w:numPr>
      </w:pPr>
      <w:r>
        <w:t>prof. dr. Vito Vitrih, član,</w:t>
      </w:r>
    </w:p>
    <w:p w14:paraId="42CAAFB9" w14:textId="1A6B3774" w:rsidR="0081548E" w:rsidRDefault="0081548E" w:rsidP="0081548E">
      <w:pPr>
        <w:pStyle w:val="Odstavekseznama"/>
        <w:numPr>
          <w:ilvl w:val="0"/>
          <w:numId w:val="13"/>
        </w:numPr>
      </w:pPr>
      <w:r>
        <w:t>prof. dr. Franc Vrečer, član.</w:t>
      </w:r>
    </w:p>
    <w:p w14:paraId="01EC130F" w14:textId="6ED545F4" w:rsidR="008231AA" w:rsidRDefault="0081548E" w:rsidP="0081548E">
      <w:pPr>
        <w:pStyle w:val="Vir"/>
      </w:pPr>
      <w:r>
        <w:t>Vir: Ministrstvo za visoko šolstvo, znanost in inovacije</w:t>
      </w:r>
    </w:p>
    <w:p w14:paraId="27922FDE" w14:textId="6719255F" w:rsidR="00AE14BF" w:rsidRDefault="00AE14BF" w:rsidP="00AE14BF">
      <w:pPr>
        <w:pStyle w:val="Naslov2"/>
      </w:pPr>
      <w:r>
        <w:t>Vlada v svet Inštituta za vode imenovala Urško Jančar</w:t>
      </w:r>
    </w:p>
    <w:p w14:paraId="5EDA879A" w14:textId="77777777" w:rsidR="00AE14BF" w:rsidRDefault="00AE14BF" w:rsidP="00AE14BF">
      <w:r>
        <w:t>Vlada je sprejela sklep, da se v svetu javnega zavoda Inštitut za vode Republike Slovenije z današnjim dnem kot predstavnica  Ministrstva za infrastrukturo na podlagi odstopne izjave razreši članica mag. Tatjana Colnar. Za preostanek mandata se od jutri do 23. 5. 2028 v svet inštituta kot predstavnica Ministrstva za naravne vire in prostor imenuje Urška Jančar.</w:t>
      </w:r>
    </w:p>
    <w:p w14:paraId="42CF5C30" w14:textId="00911782" w:rsidR="003633A5" w:rsidRDefault="00AE14BF" w:rsidP="00AE14BF">
      <w:pPr>
        <w:pStyle w:val="Vir"/>
      </w:pPr>
      <w:r>
        <w:lastRenderedPageBreak/>
        <w:t>Vir: Ministrstvo za naravne vire in prostor</w:t>
      </w:r>
    </w:p>
    <w:p w14:paraId="29B4E723" w14:textId="1DCE76F8" w:rsidR="0017439D" w:rsidRDefault="0017439D" w:rsidP="0017439D">
      <w:pPr>
        <w:pStyle w:val="Naslov2"/>
      </w:pPr>
      <w:r>
        <w:t>Imenovani novi člani sveta Slovenskega filmskega centra</w:t>
      </w:r>
    </w:p>
    <w:p w14:paraId="1C13E9A2" w14:textId="747B1C6C" w:rsidR="0017439D" w:rsidRDefault="0017439D" w:rsidP="0017439D">
      <w:r>
        <w:t>Vlada je na današnji seji imenovala nove člane sveta Slovenskega filmskega centra (SFC), javne agencije Republike Slovenije, za mandatno dobo petih let z možnostjo ponovnega imenovanja.</w:t>
      </w:r>
    </w:p>
    <w:p w14:paraId="42F69D01" w14:textId="77777777" w:rsidR="0017439D" w:rsidRDefault="0017439D" w:rsidP="0017439D">
      <w:r>
        <w:t>V svet so imenovani: Bernarda Grum, Klavdija Tratnik, Sabina Dolinšek Popadić, Urška Menart, Matevž Luzar, Boštjan Potokar, Špela Čadež in Jožko Rutar.</w:t>
      </w:r>
    </w:p>
    <w:p w14:paraId="0590CED1" w14:textId="77777777" w:rsidR="0017439D" w:rsidRDefault="0017439D" w:rsidP="0017439D"/>
    <w:p w14:paraId="09F20F33" w14:textId="31FE585E" w:rsidR="0017439D" w:rsidRDefault="0017439D" w:rsidP="0017439D">
      <w:r>
        <w:t>Svet SFC ima ključno vlogo pri usmerjanju razvoja slovenske kinematografije in avdiovizualnega sektorja. Njegova sestava odraža strokovno raznolikost ter povezovanje ustvarjalnega, produkcijskega, institucionalnega in širšega družbenega okolja.</w:t>
      </w:r>
    </w:p>
    <w:p w14:paraId="7A388041" w14:textId="77777777" w:rsidR="0017439D" w:rsidRDefault="0017439D" w:rsidP="0017439D"/>
    <w:p w14:paraId="263DD738" w14:textId="1F5AD20A" w:rsidR="0017439D" w:rsidRDefault="0017439D" w:rsidP="0017439D">
      <w:r>
        <w:t>Ministrstvo za kulturo je pred imenovanjem izvedlo poziv institucijam in strokovnim združenjem s področja filmskih in avdiovizualnih dejavnosti ter omogočilo tudi prijave na podlagi javne objave. Kandidati izpolnjujejo vse predpisane pogoje in predstavljajo prepoznane strokovnjake s področij, pomembnih za delovanje agencije.</w:t>
      </w:r>
    </w:p>
    <w:p w14:paraId="7BFDD343" w14:textId="77777777" w:rsidR="0017439D" w:rsidRDefault="0017439D" w:rsidP="0017439D"/>
    <w:p w14:paraId="2D7641F5" w14:textId="649D2769" w:rsidR="0017439D" w:rsidRDefault="0017439D" w:rsidP="0017439D">
      <w:r>
        <w:t>Z imenovanjem nove sestave sveta se nadaljuje krepitev stabilnega, strokovnega in razvojno usmerjenega delovanja Slovenskega filmskega centra, ki ima pomembno vlogo pri podpori kakovostni slovenski filmski in avdiovizualni produkciji.</w:t>
      </w:r>
    </w:p>
    <w:p w14:paraId="135CC614" w14:textId="77777777" w:rsidR="00F619BD" w:rsidRDefault="00F619BD" w:rsidP="0017439D">
      <w:pPr>
        <w:rPr>
          <w:u w:val="single"/>
        </w:rPr>
      </w:pPr>
    </w:p>
    <w:p w14:paraId="2CCD19D7" w14:textId="0C682B96" w:rsidR="0017439D" w:rsidRDefault="0017439D" w:rsidP="0017439D">
      <w:r w:rsidRPr="0017439D">
        <w:rPr>
          <w:u w:val="single"/>
        </w:rPr>
        <w:t>Boštjan Potokar</w:t>
      </w:r>
      <w:r>
        <w:t xml:space="preserve"> je akademski kipar in dekan Akademije umetnosti Univerze v Novi Gorici. Je strokovnjak s področja dela agencije. Oddal je izjavo, da ni bil pravnomočno obsojen zaradi naklepnega kaznivega dejanja, ki se preganja po uradni dolžnosti, na nepogojno kazen zapora v trajanju več kot šest mesecev. Nima političnih funkcij v organih oblasti, ni član sveta javnega zavoda, javnega sklada ali agencije in ni zaposlen v agenciji.</w:t>
      </w:r>
    </w:p>
    <w:p w14:paraId="53650BAB" w14:textId="77777777" w:rsidR="0017439D" w:rsidRDefault="0017439D" w:rsidP="0017439D">
      <w:r w:rsidRPr="0017439D">
        <w:rPr>
          <w:u w:val="single"/>
        </w:rPr>
        <w:t>Bernarda Grum</w:t>
      </w:r>
      <w:r>
        <w:t xml:space="preserve"> je univerzitetna diplomirana kulturologinja in zaposlena kot urednica oddaj v Uredništvu tujih oddaj TV Slovenija. Je strokovnjakinja s področja dela agencije. Oddala je izjavo, da ni bila pravnomočno obsojena zaradi naklepnega kaznivega dejanja, ki se preganja po uradni dolžnosti, na nepogojno kazen zapora v trajanju več kot šest mesecev. Nima političnih funkcij v organih oblasti, ni članica sveta javnega zavoda, javnega sklada ali agencije in ni zaposlena v agenciji.</w:t>
      </w:r>
    </w:p>
    <w:p w14:paraId="667D92A9" w14:textId="055D11BE" w:rsidR="0017439D" w:rsidRDefault="0017439D" w:rsidP="0017439D">
      <w:r w:rsidRPr="0017439D">
        <w:rPr>
          <w:u w:val="single"/>
        </w:rPr>
        <w:t>Klavdija Tratnik</w:t>
      </w:r>
      <w:r>
        <w:t xml:space="preserve"> je zaposlena v finančni službi Filmskega studia Viba film Ljubljana. Oddala je izjavo, da ni bila pravnomočno obsojena zaradi naklepnega kaznivega dejanja, ki se preganja po uradni dolžnosti, na nepogojno kazen zapora v trajanju več kot šest mesecev. Nima političnih funkcij v organih oblasti, ni članica sveta javnega zavoda, javnega sklada ali agencije in ni zaposlena v agenciji.</w:t>
      </w:r>
    </w:p>
    <w:p w14:paraId="7A703AAD" w14:textId="77777777" w:rsidR="0017439D" w:rsidRDefault="0017439D" w:rsidP="0017439D">
      <w:r w:rsidRPr="0017439D">
        <w:rPr>
          <w:u w:val="single"/>
        </w:rPr>
        <w:t>Sabina Dolinšek Popadić</w:t>
      </w:r>
      <w:r>
        <w:t xml:space="preserve"> je univerzitetna diplomirana pravnica, zaposlena na Ministrstvu za infrastrukturo. V okviru svojega dela v državni upravi je pridobila izkušnje na področju ravnanja s stvarnim premoženjem in sklepanja mednarodnih sporazumov ter pozna delovanje javnih agencij, saj je delala tudi na Javni agenciji za civilno letalstvo Republike Slovenije.</w:t>
      </w:r>
    </w:p>
    <w:p w14:paraId="3E880485" w14:textId="77777777" w:rsidR="0017439D" w:rsidRDefault="0017439D" w:rsidP="0017439D">
      <w:r w:rsidRPr="0017439D">
        <w:rPr>
          <w:u w:val="single"/>
        </w:rPr>
        <w:t>Matevž Luzar</w:t>
      </w:r>
      <w:r>
        <w:t xml:space="preserve"> je univerzitetni diplomirani režiser. Je strokovnjak s področja dela agencije. Oddal je izjavo, da ni bil pravnomočno obsojen zaradi naklepnega kaznivega dejanja, ki se preganja po uradni dolžnosti, na nepogojno kazen zapora v trajanju več kot šest mesecev. Nima političnih funkcij v organih oblasti, ni član sveta javnega zavoda, javnega sklada ali agencije in ni zaposlen v agenciji.</w:t>
      </w:r>
    </w:p>
    <w:p w14:paraId="03223DF5" w14:textId="77777777" w:rsidR="0017439D" w:rsidRDefault="0017439D" w:rsidP="0017439D">
      <w:r w:rsidRPr="0017439D">
        <w:rPr>
          <w:u w:val="single"/>
        </w:rPr>
        <w:t>Urška Menart</w:t>
      </w:r>
      <w:r>
        <w:t xml:space="preserve"> je univerzitetna diplomirana režiserka. Je strokovnjakinja s področja dela agencije. Oddala je izjavo, da ni bila pravnomočno obsojena zaradi naklepnega kaznivega dejanja, ki se preganja po uradni dolžnosti, na nepogojno kazen zapora v trajanju več kot šest mesecev. Nima političnih funkcij v organih oblasti in ni članica sveta javnega zavoda, javnega sklada ali agencije.</w:t>
      </w:r>
    </w:p>
    <w:p w14:paraId="53AF9919" w14:textId="77777777" w:rsidR="0017439D" w:rsidRDefault="0017439D" w:rsidP="0017439D">
      <w:r w:rsidRPr="0017439D">
        <w:rPr>
          <w:u w:val="single"/>
        </w:rPr>
        <w:t>Špela Čadež</w:t>
      </w:r>
      <w:r>
        <w:t xml:space="preserve"> je univerzitetna diplomirana oblikovalka, režiserka, scenaristka in animatorka. Je strokovnjakinja s področja dela agencije. Oddala je izjavo, da ni bila pravnomočno obsojena zaradi </w:t>
      </w:r>
      <w:r>
        <w:lastRenderedPageBreak/>
        <w:t>naklepnega kaznivega dejanja, ki se preganja po uradni dolžnosti, na nepogojno kazen zapora v trajanju več kot šest mesecev. Nima političnih funkcij v organih oblasti in ni članica sveta javnega zavoda, javnega sklada ali agencije.</w:t>
      </w:r>
    </w:p>
    <w:p w14:paraId="12913DA9" w14:textId="77777777" w:rsidR="0017439D" w:rsidRDefault="0017439D" w:rsidP="0017439D">
      <w:r w:rsidRPr="00F619BD">
        <w:rPr>
          <w:u w:val="single"/>
        </w:rPr>
        <w:t>Jožko Rutar</w:t>
      </w:r>
      <w:r>
        <w:t xml:space="preserve"> je diplomirani ekonomist in filmski producent. Je strokovnjak s področja dela agencije. Oddal je izjavo, da ni bil pravnomočno obsojen zaradi naklepnega kaznivega dejanja, ki se preganja po uradni dolžnosti, na nepogojno kazen zapora v trajanju več kot šest mesecev. Nima političnih funkcij v organih oblasti, je član sveta javnega zavoda in ni zaposlen v agenciji.</w:t>
      </w:r>
    </w:p>
    <w:p w14:paraId="68F74440" w14:textId="77777777" w:rsidR="0017439D" w:rsidRDefault="0017439D" w:rsidP="0017439D">
      <w:pPr>
        <w:pStyle w:val="Vir"/>
      </w:pPr>
      <w:r>
        <w:t>Vir: Ministrstvo za kulturo</w:t>
      </w:r>
    </w:p>
    <w:p w14:paraId="55D078C4" w14:textId="0E84C5BA" w:rsidR="00896BA4" w:rsidRDefault="00896BA4" w:rsidP="00896BA4">
      <w:pPr>
        <w:pStyle w:val="Naslov2"/>
      </w:pPr>
      <w:r>
        <w:t>Vlada spremenila sklep o imenovanju članov Strokovnega sveta Republike Slovenije za poklicno in strokovno izobraževanje</w:t>
      </w:r>
    </w:p>
    <w:p w14:paraId="1D0B9B7F" w14:textId="77777777" w:rsidR="00896BA4" w:rsidRDefault="00896BA4" w:rsidP="00896BA4">
      <w:r>
        <w:t>Vlada je zaradi poteka mandata nekaterim članom Strokovnega sveta Republike Slovenije za poklicno in strokovno izobraževanje v omenjeni strokovni svet za mandatno obdobje šestih let imenovala: mag. Petro Šegula, ki jo je predlagalo Ministrstvo za gospodarstvo, turizem in šport, Mojco Volf, ki jo je predlagala Gospodarska zbornica Slovenije, Karmen Fortuna Jefim, ki jo je predlagala Turistična zveza Slovenije, mag. Majo Turk, ki jo je predlagala Obrtno-podjetniška zbornica Slovenije, Stanka Voriha, ki ga je predlagal Sindikat vzgoje, izobraževanja, znanosti in kulture Slovenije, Egona Pipana, ki ga je predlagal Sindikat direktorjev in ravnateljev Slovenije ter mag. Mojco Špec Potočar, ki jo je predlagalo Ministrstvo za kmetijstvo, gozdarstvo in prehrano.</w:t>
      </w:r>
    </w:p>
    <w:p w14:paraId="6D4D4127" w14:textId="2FE1FBBE" w:rsidR="003633A5" w:rsidRDefault="00896BA4" w:rsidP="00896BA4">
      <w:pPr>
        <w:pStyle w:val="Vir"/>
      </w:pPr>
      <w:r>
        <w:t>Vir: Ministrstvo za vzgojo in izobraževanje</w:t>
      </w:r>
    </w:p>
    <w:p w14:paraId="3B829E27" w14:textId="5C583CA3" w:rsidR="00C261F0" w:rsidRDefault="00C261F0" w:rsidP="00C261F0">
      <w:pPr>
        <w:pStyle w:val="Naslov2"/>
      </w:pPr>
      <w:r>
        <w:t xml:space="preserve">Imenovanje članov sveta Javne agencije za civilno letalstvo </w:t>
      </w:r>
    </w:p>
    <w:p w14:paraId="1A10FC9F" w14:textId="77777777" w:rsidR="00C261F0" w:rsidRDefault="00C261F0" w:rsidP="00C261F0">
      <w:r>
        <w:t xml:space="preserve">Vlada Republike Slovenije je v svet Javne agencije za civilno letalstvo Republike Slovenije za mandatno dobo petih let kot predstavnika ustanovitelja imenovala dr. Matjaža Polaka. Z dnem 25. 2. 2026 je namreč prenehal petletni mandat članu sveta Javne agencije za civilno letalstvo Tadeju Špitalarju, ki je bil v Svet imenovan kot predstavnik ustanovitelja. Dr. Matjaž Polak je bil imenovan za obdobje od 10. 4. 2026 do 9. 4. 2031 z možnostjo ponovnega imenovanja. </w:t>
      </w:r>
    </w:p>
    <w:p w14:paraId="6D3EE95C" w14:textId="77777777" w:rsidR="00C261F0" w:rsidRDefault="00C261F0" w:rsidP="00C261F0"/>
    <w:p w14:paraId="40CB5E29" w14:textId="18B83110" w:rsidR="00C261F0" w:rsidRDefault="00C261F0" w:rsidP="00C261F0">
      <w:r>
        <w:t>Dr. Matjaž Polak je doktor kemijskih znanosti z bogatimi delovnimi izkušnjami in opravljenimi različnimi dodatnimi izobraževanji in usposabljanji, ima razvite kompetence na področju povezovanja podjetij in znanstveno raziskovalnih institucij, povezanih z organizacijo dela, finančnim poslovanjem in vodenjem.</w:t>
      </w:r>
    </w:p>
    <w:p w14:paraId="575E429A" w14:textId="77777777" w:rsidR="00C261F0" w:rsidRPr="008231AA" w:rsidRDefault="00C261F0" w:rsidP="00C261F0">
      <w:pPr>
        <w:pStyle w:val="Vir"/>
      </w:pPr>
      <w:r>
        <w:t>Vir: Ministrstvo za infrastrukturo</w:t>
      </w:r>
    </w:p>
    <w:p w14:paraId="401B24E3" w14:textId="3D6498D2" w:rsidR="00C261F0" w:rsidRDefault="00C261F0" w:rsidP="00C261F0">
      <w:pPr>
        <w:pStyle w:val="Naslov2"/>
      </w:pPr>
      <w:r>
        <w:t>Imenovanje članov sveta Javne agencije za varnost prometa</w:t>
      </w:r>
    </w:p>
    <w:p w14:paraId="5BAF8BE7" w14:textId="77777777" w:rsidR="00C261F0" w:rsidRDefault="00C261F0" w:rsidP="00C261F0">
      <w:r>
        <w:t xml:space="preserve">Vlada Republike Slovenije je v svet Javne agencije Republike Slovenije za varnost prometa za mandatno dobo petih let kot predstavnico ustanovitelja imenovala Rebeko Ostrovršnik. Z dnem 4. 2. 2026 je namreč prenehal petletni mandat članici sveta Javne agencije za varnost prometa Suzani Tajnik, ki je bila v Svet imenovana kot predstavnica ustanovitelja. </w:t>
      </w:r>
    </w:p>
    <w:p w14:paraId="53C173EC" w14:textId="77777777" w:rsidR="00C261F0" w:rsidRDefault="00C261F0" w:rsidP="00C261F0"/>
    <w:p w14:paraId="65947779" w14:textId="7896FEFF" w:rsidR="00C261F0" w:rsidRDefault="00C261F0" w:rsidP="00C261F0">
      <w:r>
        <w:t>Rebeka Ostrovršnik je bila imenovana za obdobje od 10. 4. 2026 do 9. 4. 2031, z možnostjo ponovnega imenovanja. Je univerzitetna diplomirana pravnica, zaposlena kot strokovna sodelavka za pravne, normativne in zakonodajne zadeve v Državnem zboru RS. Kot strokovnjakinja s pravnega področja je pridobila dragocene izkušnje pri pripravi, analizi in razlagi zakonodaje, ki se nanaša tudi na delovanje javnih institucij in področja, pomembna za delo agencije.</w:t>
      </w:r>
    </w:p>
    <w:p w14:paraId="2A6BFA3D" w14:textId="0BB83C32" w:rsidR="00C261F0" w:rsidRPr="008231AA" w:rsidRDefault="00C261F0" w:rsidP="00C261F0">
      <w:pPr>
        <w:pStyle w:val="Vir"/>
      </w:pPr>
      <w:r>
        <w:t>Vir: Ministrstvo za infrastrukturo</w:t>
      </w:r>
    </w:p>
    <w:sectPr w:rsidR="00C261F0" w:rsidRPr="008231AA"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BA0021"/>
    <w:multiLevelType w:val="hybridMultilevel"/>
    <w:tmpl w:val="B8B47FF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4C0B4A"/>
    <w:multiLevelType w:val="hybridMultilevel"/>
    <w:tmpl w:val="0B32D75C"/>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592932"/>
    <w:multiLevelType w:val="hybridMultilevel"/>
    <w:tmpl w:val="F0AA4F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A1752E"/>
    <w:multiLevelType w:val="hybridMultilevel"/>
    <w:tmpl w:val="38569C6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1D3D95"/>
    <w:multiLevelType w:val="hybridMultilevel"/>
    <w:tmpl w:val="EC8C58E0"/>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4"/>
  </w:num>
  <w:num w:numId="2" w16cid:durableId="984821814">
    <w:abstractNumId w:val="10"/>
  </w:num>
  <w:num w:numId="3" w16cid:durableId="150218247">
    <w:abstractNumId w:val="0"/>
  </w:num>
  <w:num w:numId="4" w16cid:durableId="1026903286">
    <w:abstractNumId w:val="11"/>
  </w:num>
  <w:num w:numId="5" w16cid:durableId="231817878">
    <w:abstractNumId w:val="4"/>
  </w:num>
  <w:num w:numId="6" w16cid:durableId="2110814889">
    <w:abstractNumId w:val="15"/>
  </w:num>
  <w:num w:numId="7" w16cid:durableId="695153758">
    <w:abstractNumId w:val="5"/>
  </w:num>
  <w:num w:numId="8" w16cid:durableId="853298866">
    <w:abstractNumId w:val="9"/>
  </w:num>
  <w:num w:numId="9" w16cid:durableId="1789348953">
    <w:abstractNumId w:val="3"/>
  </w:num>
  <w:num w:numId="10" w16cid:durableId="1415012333">
    <w:abstractNumId w:val="12"/>
  </w:num>
  <w:num w:numId="11" w16cid:durableId="886650520">
    <w:abstractNumId w:val="6"/>
  </w:num>
  <w:num w:numId="12" w16cid:durableId="1920602057">
    <w:abstractNumId w:val="8"/>
  </w:num>
  <w:num w:numId="13" w16cid:durableId="606698989">
    <w:abstractNumId w:val="7"/>
  </w:num>
  <w:num w:numId="14" w16cid:durableId="990445864">
    <w:abstractNumId w:val="1"/>
  </w:num>
  <w:num w:numId="15" w16cid:durableId="1997609495">
    <w:abstractNumId w:val="2"/>
  </w:num>
  <w:num w:numId="16" w16cid:durableId="1116019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4AA3"/>
    <w:rsid w:val="0001381A"/>
    <w:rsid w:val="00016B54"/>
    <w:rsid w:val="000318E4"/>
    <w:rsid w:val="0003692D"/>
    <w:rsid w:val="000413C0"/>
    <w:rsid w:val="00050A56"/>
    <w:rsid w:val="000610D5"/>
    <w:rsid w:val="00076DF7"/>
    <w:rsid w:val="00085D04"/>
    <w:rsid w:val="00087069"/>
    <w:rsid w:val="00087A14"/>
    <w:rsid w:val="00097B85"/>
    <w:rsid w:val="000B1D39"/>
    <w:rsid w:val="000D1095"/>
    <w:rsid w:val="000D5520"/>
    <w:rsid w:val="000E0657"/>
    <w:rsid w:val="00110932"/>
    <w:rsid w:val="00110B8F"/>
    <w:rsid w:val="00111A16"/>
    <w:rsid w:val="00113F85"/>
    <w:rsid w:val="0012724F"/>
    <w:rsid w:val="0013016C"/>
    <w:rsid w:val="001513CC"/>
    <w:rsid w:val="001602C9"/>
    <w:rsid w:val="00161638"/>
    <w:rsid w:val="0016530C"/>
    <w:rsid w:val="001673A5"/>
    <w:rsid w:val="00173343"/>
    <w:rsid w:val="0017439D"/>
    <w:rsid w:val="001B01DD"/>
    <w:rsid w:val="001B42F9"/>
    <w:rsid w:val="001C3560"/>
    <w:rsid w:val="001C5F19"/>
    <w:rsid w:val="001C5F2A"/>
    <w:rsid w:val="001D4277"/>
    <w:rsid w:val="001D69D6"/>
    <w:rsid w:val="001E2FA6"/>
    <w:rsid w:val="001F3E8A"/>
    <w:rsid w:val="001F51BC"/>
    <w:rsid w:val="001F7F63"/>
    <w:rsid w:val="00203CAB"/>
    <w:rsid w:val="00203F5F"/>
    <w:rsid w:val="002050A6"/>
    <w:rsid w:val="00213D0E"/>
    <w:rsid w:val="00215140"/>
    <w:rsid w:val="00220CDD"/>
    <w:rsid w:val="0022511A"/>
    <w:rsid w:val="00231021"/>
    <w:rsid w:val="00236C0A"/>
    <w:rsid w:val="002501CE"/>
    <w:rsid w:val="00260081"/>
    <w:rsid w:val="002856E5"/>
    <w:rsid w:val="002C0766"/>
    <w:rsid w:val="002C36A6"/>
    <w:rsid w:val="002D5B5D"/>
    <w:rsid w:val="002E3F96"/>
    <w:rsid w:val="002F3BE7"/>
    <w:rsid w:val="00302938"/>
    <w:rsid w:val="0031657F"/>
    <w:rsid w:val="0032428F"/>
    <w:rsid w:val="0033519E"/>
    <w:rsid w:val="00346E22"/>
    <w:rsid w:val="00347A9C"/>
    <w:rsid w:val="00351E1E"/>
    <w:rsid w:val="00357DC0"/>
    <w:rsid w:val="00361255"/>
    <w:rsid w:val="003633A5"/>
    <w:rsid w:val="00363A41"/>
    <w:rsid w:val="00381018"/>
    <w:rsid w:val="003847C8"/>
    <w:rsid w:val="00386B6B"/>
    <w:rsid w:val="003877EB"/>
    <w:rsid w:val="00390DF7"/>
    <w:rsid w:val="0039662C"/>
    <w:rsid w:val="003A3742"/>
    <w:rsid w:val="003D64D8"/>
    <w:rsid w:val="003E17B6"/>
    <w:rsid w:val="003E1B89"/>
    <w:rsid w:val="003E6170"/>
    <w:rsid w:val="003F4CC5"/>
    <w:rsid w:val="00402DBA"/>
    <w:rsid w:val="004058E1"/>
    <w:rsid w:val="00415527"/>
    <w:rsid w:val="00431C65"/>
    <w:rsid w:val="00432937"/>
    <w:rsid w:val="00435CF5"/>
    <w:rsid w:val="004403EC"/>
    <w:rsid w:val="00447B57"/>
    <w:rsid w:val="0045565C"/>
    <w:rsid w:val="00455B63"/>
    <w:rsid w:val="00460370"/>
    <w:rsid w:val="00465AB5"/>
    <w:rsid w:val="00472762"/>
    <w:rsid w:val="004A00A8"/>
    <w:rsid w:val="004A7BFC"/>
    <w:rsid w:val="004A7CAD"/>
    <w:rsid w:val="004B0DA3"/>
    <w:rsid w:val="004B4753"/>
    <w:rsid w:val="004B5DC8"/>
    <w:rsid w:val="004B7346"/>
    <w:rsid w:val="004C2260"/>
    <w:rsid w:val="004C3F67"/>
    <w:rsid w:val="004C721D"/>
    <w:rsid w:val="004E4419"/>
    <w:rsid w:val="00514121"/>
    <w:rsid w:val="00517DE2"/>
    <w:rsid w:val="00522637"/>
    <w:rsid w:val="00527867"/>
    <w:rsid w:val="00527AA5"/>
    <w:rsid w:val="005314D7"/>
    <w:rsid w:val="00544398"/>
    <w:rsid w:val="005458D4"/>
    <w:rsid w:val="005515BD"/>
    <w:rsid w:val="005740C1"/>
    <w:rsid w:val="0058109F"/>
    <w:rsid w:val="0059143B"/>
    <w:rsid w:val="005A570D"/>
    <w:rsid w:val="005B5886"/>
    <w:rsid w:val="005C06C8"/>
    <w:rsid w:val="005C1523"/>
    <w:rsid w:val="005C7596"/>
    <w:rsid w:val="005E1ABB"/>
    <w:rsid w:val="005E3C50"/>
    <w:rsid w:val="00614FFD"/>
    <w:rsid w:val="00626A98"/>
    <w:rsid w:val="006274BB"/>
    <w:rsid w:val="00634EFA"/>
    <w:rsid w:val="00635D43"/>
    <w:rsid w:val="006367B9"/>
    <w:rsid w:val="0064180E"/>
    <w:rsid w:val="00643BB0"/>
    <w:rsid w:val="0066249C"/>
    <w:rsid w:val="0067375D"/>
    <w:rsid w:val="00676F03"/>
    <w:rsid w:val="006906AF"/>
    <w:rsid w:val="00693BA3"/>
    <w:rsid w:val="006A6DCD"/>
    <w:rsid w:val="006B3F12"/>
    <w:rsid w:val="006C1B31"/>
    <w:rsid w:val="006F29FA"/>
    <w:rsid w:val="00702228"/>
    <w:rsid w:val="0070292C"/>
    <w:rsid w:val="0070324C"/>
    <w:rsid w:val="0071171B"/>
    <w:rsid w:val="007120FD"/>
    <w:rsid w:val="007130E1"/>
    <w:rsid w:val="00716545"/>
    <w:rsid w:val="00717E59"/>
    <w:rsid w:val="007219B5"/>
    <w:rsid w:val="0073796B"/>
    <w:rsid w:val="00750D01"/>
    <w:rsid w:val="0075264D"/>
    <w:rsid w:val="007643A0"/>
    <w:rsid w:val="007669A3"/>
    <w:rsid w:val="00767A18"/>
    <w:rsid w:val="00781345"/>
    <w:rsid w:val="00784CE3"/>
    <w:rsid w:val="00784E57"/>
    <w:rsid w:val="007964F4"/>
    <w:rsid w:val="0079749C"/>
    <w:rsid w:val="007A6460"/>
    <w:rsid w:val="007B0ADD"/>
    <w:rsid w:val="007B515F"/>
    <w:rsid w:val="007B7439"/>
    <w:rsid w:val="007C21FB"/>
    <w:rsid w:val="007D7186"/>
    <w:rsid w:val="007E198F"/>
    <w:rsid w:val="007F5D6B"/>
    <w:rsid w:val="007F6EE3"/>
    <w:rsid w:val="007F6EF7"/>
    <w:rsid w:val="00801A29"/>
    <w:rsid w:val="0081548E"/>
    <w:rsid w:val="008220A3"/>
    <w:rsid w:val="008231AA"/>
    <w:rsid w:val="008244C0"/>
    <w:rsid w:val="008336E7"/>
    <w:rsid w:val="00836E94"/>
    <w:rsid w:val="00847AD3"/>
    <w:rsid w:val="00851FE1"/>
    <w:rsid w:val="008522C0"/>
    <w:rsid w:val="008624E8"/>
    <w:rsid w:val="0088720B"/>
    <w:rsid w:val="00896BA4"/>
    <w:rsid w:val="008A16D8"/>
    <w:rsid w:val="008B6738"/>
    <w:rsid w:val="008B7AF2"/>
    <w:rsid w:val="008C0D30"/>
    <w:rsid w:val="008C4231"/>
    <w:rsid w:val="008C4BFB"/>
    <w:rsid w:val="008D49BD"/>
    <w:rsid w:val="008D7EFE"/>
    <w:rsid w:val="00905C96"/>
    <w:rsid w:val="00906FE8"/>
    <w:rsid w:val="009174DA"/>
    <w:rsid w:val="00923776"/>
    <w:rsid w:val="00933061"/>
    <w:rsid w:val="00933087"/>
    <w:rsid w:val="00945B27"/>
    <w:rsid w:val="009540E4"/>
    <w:rsid w:val="00974186"/>
    <w:rsid w:val="00983241"/>
    <w:rsid w:val="009900DE"/>
    <w:rsid w:val="0099327A"/>
    <w:rsid w:val="009A41AA"/>
    <w:rsid w:val="009B3707"/>
    <w:rsid w:val="009B680F"/>
    <w:rsid w:val="009C2C98"/>
    <w:rsid w:val="009C2D77"/>
    <w:rsid w:val="009C535B"/>
    <w:rsid w:val="009C562E"/>
    <w:rsid w:val="009C5CEC"/>
    <w:rsid w:val="009D10D1"/>
    <w:rsid w:val="009D3BA4"/>
    <w:rsid w:val="009F085C"/>
    <w:rsid w:val="009F37F4"/>
    <w:rsid w:val="009F4DB0"/>
    <w:rsid w:val="00A0542B"/>
    <w:rsid w:val="00A06971"/>
    <w:rsid w:val="00A07C4C"/>
    <w:rsid w:val="00A21A0D"/>
    <w:rsid w:val="00A30052"/>
    <w:rsid w:val="00A34FC4"/>
    <w:rsid w:val="00A445DF"/>
    <w:rsid w:val="00A521C4"/>
    <w:rsid w:val="00A5415F"/>
    <w:rsid w:val="00A60A37"/>
    <w:rsid w:val="00A60FBF"/>
    <w:rsid w:val="00A67305"/>
    <w:rsid w:val="00A726C3"/>
    <w:rsid w:val="00A7412B"/>
    <w:rsid w:val="00AA28E6"/>
    <w:rsid w:val="00AB1DC2"/>
    <w:rsid w:val="00AB5366"/>
    <w:rsid w:val="00AD1AFD"/>
    <w:rsid w:val="00AE14BF"/>
    <w:rsid w:val="00AE6CD6"/>
    <w:rsid w:val="00AF2612"/>
    <w:rsid w:val="00AF5FC8"/>
    <w:rsid w:val="00B022E5"/>
    <w:rsid w:val="00B06EAB"/>
    <w:rsid w:val="00B43836"/>
    <w:rsid w:val="00B47F61"/>
    <w:rsid w:val="00B53301"/>
    <w:rsid w:val="00B53594"/>
    <w:rsid w:val="00B602CF"/>
    <w:rsid w:val="00B60F58"/>
    <w:rsid w:val="00B70F5B"/>
    <w:rsid w:val="00B753A8"/>
    <w:rsid w:val="00B84862"/>
    <w:rsid w:val="00B903E5"/>
    <w:rsid w:val="00B94D8D"/>
    <w:rsid w:val="00BA73BC"/>
    <w:rsid w:val="00BA743D"/>
    <w:rsid w:val="00BB1111"/>
    <w:rsid w:val="00BB4431"/>
    <w:rsid w:val="00BB73C0"/>
    <w:rsid w:val="00BE5C43"/>
    <w:rsid w:val="00C261F0"/>
    <w:rsid w:val="00C3152B"/>
    <w:rsid w:val="00C354D9"/>
    <w:rsid w:val="00C365A8"/>
    <w:rsid w:val="00C43D34"/>
    <w:rsid w:val="00C458C2"/>
    <w:rsid w:val="00C666AC"/>
    <w:rsid w:val="00C97F7B"/>
    <w:rsid w:val="00CA24DB"/>
    <w:rsid w:val="00CA5624"/>
    <w:rsid w:val="00CB7ADA"/>
    <w:rsid w:val="00CC3123"/>
    <w:rsid w:val="00CC3530"/>
    <w:rsid w:val="00CC37B3"/>
    <w:rsid w:val="00CD314A"/>
    <w:rsid w:val="00CE21D5"/>
    <w:rsid w:val="00CE45D7"/>
    <w:rsid w:val="00CF099E"/>
    <w:rsid w:val="00D10EB4"/>
    <w:rsid w:val="00D12531"/>
    <w:rsid w:val="00D14EEC"/>
    <w:rsid w:val="00D22282"/>
    <w:rsid w:val="00D32B6A"/>
    <w:rsid w:val="00D42266"/>
    <w:rsid w:val="00D555B9"/>
    <w:rsid w:val="00D60A92"/>
    <w:rsid w:val="00D64FA4"/>
    <w:rsid w:val="00D650E2"/>
    <w:rsid w:val="00D7373E"/>
    <w:rsid w:val="00D74A82"/>
    <w:rsid w:val="00D85532"/>
    <w:rsid w:val="00D9208E"/>
    <w:rsid w:val="00D95BC6"/>
    <w:rsid w:val="00D966FF"/>
    <w:rsid w:val="00D97B4B"/>
    <w:rsid w:val="00DA3B4D"/>
    <w:rsid w:val="00DA3BD5"/>
    <w:rsid w:val="00DA5C0D"/>
    <w:rsid w:val="00DA5D7A"/>
    <w:rsid w:val="00DB55BA"/>
    <w:rsid w:val="00DE199D"/>
    <w:rsid w:val="00DE1B54"/>
    <w:rsid w:val="00DE2316"/>
    <w:rsid w:val="00DE27BA"/>
    <w:rsid w:val="00E02AB3"/>
    <w:rsid w:val="00E05EEE"/>
    <w:rsid w:val="00E14AAE"/>
    <w:rsid w:val="00E20351"/>
    <w:rsid w:val="00E2036F"/>
    <w:rsid w:val="00E3207D"/>
    <w:rsid w:val="00E3507E"/>
    <w:rsid w:val="00E6065F"/>
    <w:rsid w:val="00E6784A"/>
    <w:rsid w:val="00E7132A"/>
    <w:rsid w:val="00E83E60"/>
    <w:rsid w:val="00E86C78"/>
    <w:rsid w:val="00E948BD"/>
    <w:rsid w:val="00EA1AF3"/>
    <w:rsid w:val="00EA6B2D"/>
    <w:rsid w:val="00EC012E"/>
    <w:rsid w:val="00ED2EC7"/>
    <w:rsid w:val="00EE014E"/>
    <w:rsid w:val="00EE35F8"/>
    <w:rsid w:val="00EF0FF3"/>
    <w:rsid w:val="00EF1263"/>
    <w:rsid w:val="00F01966"/>
    <w:rsid w:val="00F03257"/>
    <w:rsid w:val="00F17EA5"/>
    <w:rsid w:val="00F20884"/>
    <w:rsid w:val="00F21123"/>
    <w:rsid w:val="00F21419"/>
    <w:rsid w:val="00F21BAD"/>
    <w:rsid w:val="00F23144"/>
    <w:rsid w:val="00F240E9"/>
    <w:rsid w:val="00F30E33"/>
    <w:rsid w:val="00F31222"/>
    <w:rsid w:val="00F33152"/>
    <w:rsid w:val="00F33634"/>
    <w:rsid w:val="00F462C7"/>
    <w:rsid w:val="00F619BD"/>
    <w:rsid w:val="00F92545"/>
    <w:rsid w:val="00F93A56"/>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paragraph" w:styleId="Naslov3">
    <w:name w:val="heading 3"/>
    <w:basedOn w:val="Navaden"/>
    <w:next w:val="Navaden"/>
    <w:link w:val="Naslov3Znak"/>
    <w:uiPriority w:val="9"/>
    <w:unhideWhenUsed/>
    <w:qFormat/>
    <w:rsid w:val="001E2FA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customStyle="1" w:styleId="Naslov3Znak">
    <w:name w:val="Naslov 3 Znak"/>
    <w:basedOn w:val="Privzetapisavaodstavka"/>
    <w:link w:val="Naslov3"/>
    <w:uiPriority w:val="9"/>
    <w:rsid w:val="001E2FA6"/>
    <w:rPr>
      <w:rFonts w:asciiTheme="majorHAnsi" w:eastAsiaTheme="majorEastAsia" w:hAnsiTheme="majorHAnsi" w:cstheme="majorBidi"/>
      <w:color w:val="1F3763" w:themeColor="accent1" w:themeShade="7F"/>
      <w:sz w:val="24"/>
      <w:szCs w:val="24"/>
    </w:rPr>
  </w:style>
  <w:style w:type="character" w:styleId="Hiperpovezava">
    <w:name w:val="Hyperlink"/>
    <w:rsid w:val="000138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otnazbirkaukrepov.gov.si/realizacija-ukrep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si/novice/2026-03-26-evropska-komisija-pozitivno-ocenila-predlog-pete-spremembe-nacrta-za-okrevanje-in-odporno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si/novice/2026-03-27-slovenija-oddala-sesti-zahtevek-za-placilo-sredstev-iz-mehanizma-za-okrevanje-in-odporno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novice/2026-03-02-evropska-komisija-podala-predhodno-pozitivno-oceno-petega-zahtevka-za-placil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2.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4.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11966</Words>
  <Characters>68207</Characters>
  <Application>Microsoft Office Word</Application>
  <DocSecurity>0</DocSecurity>
  <Lines>568</Lines>
  <Paragraphs>160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2026-04-08T09:48:00Z</dcterms:created>
  <dcterms:modified xsi:type="dcterms:W3CDTF">2026-04-09T13:05:00Z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