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06EC707D" w:rsidR="0073796B" w:rsidRPr="0039662C" w:rsidRDefault="00D74A82" w:rsidP="0039662C">
      <w:pPr>
        <w:pStyle w:val="Naslov1"/>
      </w:pPr>
      <w:r>
        <w:t>1</w:t>
      </w:r>
      <w:r w:rsidR="00CC3530">
        <w:t>9</w:t>
      </w:r>
      <w:r w:rsidR="008327A9">
        <w:t>5</w:t>
      </w:r>
      <w:r w:rsidR="0073796B" w:rsidRPr="0039662C">
        <w:t xml:space="preserve">. </w:t>
      </w:r>
      <w:r>
        <w:t>red</w:t>
      </w:r>
      <w:r w:rsidR="00F03257">
        <w:t xml:space="preserve">na </w:t>
      </w:r>
      <w:r w:rsidR="0073796B" w:rsidRPr="0039662C">
        <w:t>seja Vlade Republike Slovenije</w:t>
      </w:r>
    </w:p>
    <w:p w14:paraId="27F30B92" w14:textId="37038DA1" w:rsidR="0073796B" w:rsidRDefault="008327A9" w:rsidP="008B7AF2">
      <w:pPr>
        <w:pStyle w:val="DatumSZJ"/>
      </w:pPr>
      <w:r>
        <w:t>26</w:t>
      </w:r>
      <w:r w:rsidR="002856E5">
        <w:t>.</w:t>
      </w:r>
      <w:r w:rsidR="008220A3">
        <w:t xml:space="preserve"> </w:t>
      </w:r>
      <w:r w:rsidR="008522C0">
        <w:t>marec</w:t>
      </w:r>
      <w:r w:rsidR="00DA3B4D">
        <w:t xml:space="preserve"> </w:t>
      </w:r>
      <w:r w:rsidR="0073796B" w:rsidRPr="008B7AF2">
        <w:t>202</w:t>
      </w:r>
      <w:r w:rsidR="00F03257">
        <w:t>6</w:t>
      </w:r>
    </w:p>
    <w:p w14:paraId="1597DBB0" w14:textId="58588D72" w:rsidR="00D94727" w:rsidRPr="00D94727" w:rsidRDefault="00D94727" w:rsidP="00D94727">
      <w:pPr>
        <w:pStyle w:val="Naslov2"/>
      </w:pPr>
      <w:r w:rsidRPr="00D94727">
        <w:t>Vlada uredila nadomestila dobaviteljem električne energije za sistem samooskrbe</w:t>
      </w:r>
    </w:p>
    <w:p w14:paraId="3DCDAE5E" w14:textId="5250A5AD" w:rsidR="00D94727" w:rsidRPr="00D94727" w:rsidRDefault="00D94727" w:rsidP="00D94727">
      <w:pPr>
        <w:rPr>
          <w:color w:val="000000" w:themeColor="text1"/>
        </w:rPr>
      </w:pPr>
      <w:r w:rsidRPr="00D94727">
        <w:rPr>
          <w:color w:val="000000" w:themeColor="text1"/>
        </w:rPr>
        <w:t>Vlada</w:t>
      </w:r>
      <w:r>
        <w:rPr>
          <w:color w:val="000000" w:themeColor="text1"/>
        </w:rPr>
        <w:t xml:space="preserve"> Republike Slovenije</w:t>
      </w:r>
      <w:r w:rsidRPr="00D94727">
        <w:rPr>
          <w:color w:val="000000" w:themeColor="text1"/>
        </w:rPr>
        <w:t xml:space="preserve"> je izdala Uredbo o nadomestilu dobaviteljem električne energije za dobavo gospodinjskim odjemalcem s samooskrbo z letnim netiranjem.</w:t>
      </w:r>
    </w:p>
    <w:p w14:paraId="16A71535" w14:textId="77777777" w:rsidR="00D94727" w:rsidRPr="00D94727" w:rsidRDefault="00D94727" w:rsidP="00D94727">
      <w:pPr>
        <w:rPr>
          <w:color w:val="000000" w:themeColor="text1"/>
        </w:rPr>
      </w:pPr>
    </w:p>
    <w:p w14:paraId="22E5498E" w14:textId="77777777" w:rsidR="00D94727" w:rsidRPr="00D94727" w:rsidRDefault="00D94727" w:rsidP="00D94727">
      <w:pPr>
        <w:rPr>
          <w:color w:val="000000" w:themeColor="text1"/>
        </w:rPr>
      </w:pPr>
      <w:r w:rsidRPr="00D94727">
        <w:rPr>
          <w:color w:val="000000" w:themeColor="text1"/>
        </w:rPr>
        <w:t>Uredba ureja finančno nadomestilo dobaviteljem zaradi razlik v cenah električne energije med časom visoke proizvodnje sončnih elektrarn in časom povečane porabe. Zaradi teh razlik dobaviteljem nastajajo dodatni stroški, ki jih sistem letnega netiranja sam po sebi ne pokrije.</w:t>
      </w:r>
    </w:p>
    <w:p w14:paraId="51438202" w14:textId="77777777" w:rsidR="00D94727" w:rsidRPr="00D94727" w:rsidRDefault="00D94727" w:rsidP="00D94727">
      <w:pPr>
        <w:rPr>
          <w:color w:val="000000" w:themeColor="text1"/>
        </w:rPr>
      </w:pPr>
    </w:p>
    <w:p w14:paraId="25DF7420" w14:textId="77777777" w:rsidR="00D94727" w:rsidRPr="00D94727" w:rsidRDefault="00D94727" w:rsidP="00D94727">
      <w:pPr>
        <w:rPr>
          <w:color w:val="000000" w:themeColor="text1"/>
        </w:rPr>
      </w:pPr>
      <w:r w:rsidRPr="00D94727">
        <w:rPr>
          <w:color w:val="000000" w:themeColor="text1"/>
        </w:rPr>
        <w:t>Ukrep zagotavlja, da teh stroškov ne bodo nosila gospodinjstva, vključena v samooskrbo. Hkrati ohranja zaupanje v sistem, ki spodbuja rabo obnovljivih virov energije in prispeva k doseganju podnebno-energetskih ciljev.</w:t>
      </w:r>
    </w:p>
    <w:p w14:paraId="0876AA99" w14:textId="77777777" w:rsidR="00D94727" w:rsidRPr="00D94727" w:rsidRDefault="00D94727" w:rsidP="00D94727">
      <w:pPr>
        <w:rPr>
          <w:color w:val="000000" w:themeColor="text1"/>
        </w:rPr>
      </w:pPr>
    </w:p>
    <w:p w14:paraId="4B7B612F" w14:textId="77777777" w:rsidR="00D94727" w:rsidRPr="00D94727" w:rsidRDefault="00D94727" w:rsidP="00D94727">
      <w:pPr>
        <w:rPr>
          <w:color w:val="000000" w:themeColor="text1"/>
        </w:rPr>
      </w:pPr>
      <w:r w:rsidRPr="00D94727">
        <w:rPr>
          <w:color w:val="000000" w:themeColor="text1"/>
        </w:rPr>
        <w:t>Z uredbo se določajo način izračuna nadomestila, njegova višina ter način izplačila. Ukrep je časovno omejen in bo veljal do konca leta 2030.</w:t>
      </w:r>
    </w:p>
    <w:p w14:paraId="574C2B5A" w14:textId="77777777" w:rsidR="00D94727" w:rsidRPr="00D94727" w:rsidRDefault="00D94727" w:rsidP="00D94727">
      <w:pPr>
        <w:rPr>
          <w:color w:val="000000" w:themeColor="text1"/>
        </w:rPr>
      </w:pPr>
    </w:p>
    <w:p w14:paraId="70845716" w14:textId="3C29F22B" w:rsidR="00D94727" w:rsidRPr="00D94727" w:rsidRDefault="00D94727" w:rsidP="00D94727">
      <w:pPr>
        <w:rPr>
          <w:color w:val="000000" w:themeColor="text1"/>
        </w:rPr>
      </w:pPr>
      <w:r w:rsidRPr="00D94727">
        <w:rPr>
          <w:color w:val="000000" w:themeColor="text1"/>
        </w:rPr>
        <w:t>S tem vlada zagotavlja vzdržen sistem samooskrbe, ki ostaja dostopen za uporabnike in hkrati finančno obvladljiv za dobavitelje.</w:t>
      </w:r>
    </w:p>
    <w:p w14:paraId="1E143642" w14:textId="4363959D" w:rsidR="008327A9" w:rsidRPr="00D94727" w:rsidRDefault="00D94727" w:rsidP="00D94727">
      <w:pPr>
        <w:pStyle w:val="Vir"/>
      </w:pPr>
      <w:r w:rsidRPr="00D94727">
        <w:t>Vir: Ministrstvo za okolje, podnebje in energij</w:t>
      </w:r>
      <w:r>
        <w:t>o</w:t>
      </w:r>
    </w:p>
    <w:p w14:paraId="3C428BA2" w14:textId="412757FD" w:rsidR="00A20D25" w:rsidRPr="00A20D25" w:rsidRDefault="00A20D25" w:rsidP="00A20D25">
      <w:pPr>
        <w:pStyle w:val="Naslov2"/>
      </w:pPr>
      <w:r w:rsidRPr="00A20D25">
        <w:t>Državni prostorski načrt za plavajočo sončno elektrarno Družmirje</w:t>
      </w:r>
    </w:p>
    <w:p w14:paraId="207B9863" w14:textId="65036A3B" w:rsidR="00A20D25" w:rsidRPr="00A20D25" w:rsidRDefault="00A20D25" w:rsidP="00A20D25">
      <w:pPr>
        <w:rPr>
          <w:color w:val="000000" w:themeColor="text1"/>
        </w:rPr>
      </w:pPr>
      <w:r w:rsidRPr="00A20D25">
        <w:rPr>
          <w:color w:val="000000" w:themeColor="text1"/>
        </w:rPr>
        <w:t xml:space="preserve">Vlada je izdala Uredbo o državnem prostorskem načrtu (DPN) za plavajočo sončno elektrarno Družmirje. V državnem prostorskem načrtu kot izvedbenem prostorskem aktu za državno prostorsko ureditev so določene rešitve glede tehničnega, komunalnega, varnostnega, okoljevarstvenega urejanja prostora pa tudi urbanističnega, arhitekturnega in krajinskega oblikovanja posega v prostor. </w:t>
      </w:r>
    </w:p>
    <w:p w14:paraId="4091E1A9" w14:textId="77777777" w:rsidR="00A20D25" w:rsidRPr="00A20D25" w:rsidRDefault="00A20D25" w:rsidP="00A20D25">
      <w:pPr>
        <w:rPr>
          <w:color w:val="000000" w:themeColor="text1"/>
        </w:rPr>
      </w:pPr>
    </w:p>
    <w:p w14:paraId="378AE61D" w14:textId="77777777" w:rsidR="00A20D25" w:rsidRPr="00A20D25" w:rsidRDefault="00A20D25" w:rsidP="00A20D25">
      <w:pPr>
        <w:rPr>
          <w:color w:val="000000" w:themeColor="text1"/>
        </w:rPr>
      </w:pPr>
      <w:r w:rsidRPr="00A20D25">
        <w:rPr>
          <w:color w:val="000000" w:themeColor="text1"/>
        </w:rPr>
        <w:t>Plavajoča sončna elektrarna (PSE) Družmirje se načrtuje kot plavajoča fotonapetostna naprava, ki proizvaja električno energijo z izrabo sončne energije, vključno s tehnično opremo, potrebno za njeno delovanje, napravami za shranjevanje energije in priključki na omrežje. Ocenjen tehnični potencial PSE Družmirje je 140 MW instalirane moči. Umeščajo se tudi zunanje krajinske ureditve ob Družmirskem jezeru, in sicer kot dodatne, z elektrarno neposredno nepovezane ureditve: sprehajalne in kolesarske poti okoli jezera s počivališči in napravami za rekreacijo na prostem, zasaditve, plaža s čolnarno in kopališčem, ureditev nove vstopne točke na severni strani jezera s športno rekreativnimi in drugimi večnamenskimi površinami, adrenalinski/pustolovski park, pasji poligon, urbani vrtovi in razgledni stolp.</w:t>
      </w:r>
    </w:p>
    <w:p w14:paraId="66AAB894" w14:textId="77777777" w:rsidR="00A20D25" w:rsidRPr="00A20D25" w:rsidRDefault="00A20D25" w:rsidP="00A20D25">
      <w:pPr>
        <w:rPr>
          <w:color w:val="000000" w:themeColor="text1"/>
        </w:rPr>
      </w:pPr>
    </w:p>
    <w:p w14:paraId="1CF1739F" w14:textId="2AF94C0B" w:rsidR="00A20D25" w:rsidRPr="00A20D25" w:rsidRDefault="00A20D25" w:rsidP="00A20D25">
      <w:pPr>
        <w:rPr>
          <w:color w:val="000000" w:themeColor="text1"/>
        </w:rPr>
      </w:pPr>
      <w:r w:rsidRPr="00A20D25">
        <w:rPr>
          <w:color w:val="000000" w:themeColor="text1"/>
        </w:rPr>
        <w:t>Državni prostorski načrt ima tudi obvezne priloge, med katerimi so tudi stališča do pripomb in predlogov javnosti in občin, danih v času javne objave študije variant, okoljskega poročila in predloga državnega prostorskega načrta.</w:t>
      </w:r>
    </w:p>
    <w:p w14:paraId="227EDD89" w14:textId="14D3D96E" w:rsidR="008327A9" w:rsidRPr="00D505DE" w:rsidRDefault="00A20D25" w:rsidP="00D505DE">
      <w:pPr>
        <w:pStyle w:val="Vir"/>
      </w:pPr>
      <w:r w:rsidRPr="00A20D25">
        <w:t>Vir: Ministrstvo za naravne vire in prostor</w:t>
      </w:r>
    </w:p>
    <w:p w14:paraId="72E02301" w14:textId="5BA30136" w:rsidR="00D505DE" w:rsidRPr="00D505DE" w:rsidRDefault="00D505DE" w:rsidP="00D505DE">
      <w:pPr>
        <w:pStyle w:val="Naslov2"/>
      </w:pPr>
      <w:r w:rsidRPr="00D505DE">
        <w:lastRenderedPageBreak/>
        <w:t>Vlada izdala novelo Uredbe o izvajanju intervencij podpora za vzpostavitev gospodarstev mladih kmetov in medgeneracijski prenos znanja iz strateškega načrta strateškega načrta skupne kmetijske politike 2023–2027</w:t>
      </w:r>
    </w:p>
    <w:p w14:paraId="1BABE044" w14:textId="77777777" w:rsidR="00D505DE" w:rsidRPr="00D505DE" w:rsidRDefault="00D505DE" w:rsidP="00D505DE">
      <w:pPr>
        <w:rPr>
          <w:color w:val="000000" w:themeColor="text1"/>
        </w:rPr>
      </w:pPr>
      <w:r w:rsidRPr="00D505DE">
        <w:rPr>
          <w:color w:val="000000" w:themeColor="text1"/>
        </w:rPr>
        <w:t>Vlada je izdala novelo Uredbe o izvajanju intervencij podpora za vzpostavitev gospodarstev mladih kmetov in medgeneracijski prenos znanja iz strateškega načrta skupne kmetijske politike 2023–2027 in jo objavi v Uradnem listu Republike Slovenije.</w:t>
      </w:r>
    </w:p>
    <w:p w14:paraId="2BC750C5" w14:textId="77777777" w:rsidR="00D505DE" w:rsidRPr="00D505DE" w:rsidRDefault="00D505DE" w:rsidP="00D505DE">
      <w:pPr>
        <w:rPr>
          <w:color w:val="000000" w:themeColor="text1"/>
        </w:rPr>
      </w:pPr>
    </w:p>
    <w:p w14:paraId="187254A9" w14:textId="77777777" w:rsidR="00D505DE" w:rsidRPr="00D505DE" w:rsidRDefault="00D505DE" w:rsidP="00D505DE">
      <w:pPr>
        <w:rPr>
          <w:color w:val="000000" w:themeColor="text1"/>
        </w:rPr>
      </w:pPr>
      <w:r w:rsidRPr="00D505DE">
        <w:rPr>
          <w:color w:val="000000" w:themeColor="text1"/>
        </w:rPr>
        <w:t xml:space="preserve">Novela Uredbe je pripravljena na podlagi 4. spremembe Strateškega načrta skupne kmetijske politike 2023–2027. V okviru intervencije podpora za vzpostavitev gospodarstev mladih kmetov se s spremembo pogojev za dodelitev podpore zgornji vstopni prag standardnega prihodka s 500.000 evrov dvigne na 700.000 evrov. S tem se omogoča dostop do podpore mladim kmetom, ki so prevzeli vodenje tržnih kmetijskih gospodarstev, od katerih se upravičeno pričakuje nadaljnji razvoj konkurenčnosti. Hkrati se znižuje spodnji vstopni prag z 12.000 evrov na 9.000 evrov standardnega prihodka. </w:t>
      </w:r>
    </w:p>
    <w:p w14:paraId="7526889F" w14:textId="77777777" w:rsidR="00D505DE" w:rsidRPr="00D505DE" w:rsidRDefault="00D505DE" w:rsidP="00D505DE">
      <w:pPr>
        <w:rPr>
          <w:color w:val="000000" w:themeColor="text1"/>
        </w:rPr>
      </w:pPr>
    </w:p>
    <w:p w14:paraId="62542290" w14:textId="77777777" w:rsidR="00D505DE" w:rsidRPr="00D505DE" w:rsidRDefault="00D505DE" w:rsidP="00D505DE">
      <w:pPr>
        <w:rPr>
          <w:color w:val="000000" w:themeColor="text1"/>
        </w:rPr>
      </w:pPr>
      <w:r w:rsidRPr="00D505DE">
        <w:rPr>
          <w:color w:val="000000" w:themeColor="text1"/>
        </w:rPr>
        <w:t xml:space="preserve">Spodnji vstopni prag za mlade kmete z gorskih kmetij se znižuje z 8.000 evrov na 7.000 evrov standardnega prihodka. Predlagana je tudi nova skupina upravičencev, in sicer mladi kmetje z majhno družinsko kmetijo, za katere velja vstopni prag od 4.000 evrov do manj kot 9.000 evrov oziroma v gorskih območjih manj kot 7.000 evrov standardnega prihodka. Mladi kmetje z majhno družinsko kmetijo lahko prejmejo podporo v višini od 10.000 do 18.000 evrov. </w:t>
      </w:r>
    </w:p>
    <w:p w14:paraId="50BED03E" w14:textId="77777777" w:rsidR="00D505DE" w:rsidRPr="00D505DE" w:rsidRDefault="00D505DE" w:rsidP="00D505DE">
      <w:pPr>
        <w:rPr>
          <w:color w:val="000000" w:themeColor="text1"/>
        </w:rPr>
      </w:pPr>
    </w:p>
    <w:p w14:paraId="4347C3DF" w14:textId="77777777" w:rsidR="00D505DE" w:rsidRPr="00D505DE" w:rsidRDefault="00D505DE" w:rsidP="00D505DE">
      <w:pPr>
        <w:rPr>
          <w:color w:val="000000" w:themeColor="text1"/>
        </w:rPr>
      </w:pPr>
      <w:r w:rsidRPr="00D505DE">
        <w:rPr>
          <w:color w:val="000000" w:themeColor="text1"/>
        </w:rPr>
        <w:t xml:space="preserve">Prav tako so kot upravičenci predlagani mladi kmetje, ki ne prevzamejo nepremičnin ter imajo v lasti in reji najmanj 225 čebeljih družin, imajo pa obveznost, da redno sporočajo stanje čebeljih družin. </w:t>
      </w:r>
    </w:p>
    <w:p w14:paraId="33322AB0" w14:textId="77777777" w:rsidR="00D505DE" w:rsidRPr="00D505DE" w:rsidRDefault="00D505DE" w:rsidP="00D505DE">
      <w:pPr>
        <w:rPr>
          <w:color w:val="000000" w:themeColor="text1"/>
        </w:rPr>
      </w:pPr>
    </w:p>
    <w:p w14:paraId="359E1F02" w14:textId="5B317EA1" w:rsidR="00D505DE" w:rsidRPr="00D505DE" w:rsidRDefault="00D505DE" w:rsidP="00D505DE">
      <w:pPr>
        <w:rPr>
          <w:color w:val="000000" w:themeColor="text1"/>
        </w:rPr>
      </w:pPr>
      <w:r w:rsidRPr="00D505DE">
        <w:rPr>
          <w:color w:val="000000" w:themeColor="text1"/>
        </w:rPr>
        <w:t>V okviru intervencije medgeneracijski prenos znanja je predlagana ukinitev pogoja, ki je omogočal kandidiranje za podporo izključno prenosnikom, ki so prenesli kmetijsko gospodarstvo na prevzemnika, ki je postal upravičenec kot fizična oseba in je bil vključen v pokojninsko, invalidsko in zdravstveno zavarovanje iz naslova opravljanja kmetijske dejavnosti. Po predlagani ureditvi bodo upravičenci lahko vsi prenosniki, ki so prenesli družinsko kmetijo na prevzemnika, ne glede na to, ali je prevzemnik vključen v pokojninsko, invalidsko in zdravstveno zavarovanje.</w:t>
      </w:r>
    </w:p>
    <w:p w14:paraId="5677954D" w14:textId="40BCF607" w:rsidR="00D505DE" w:rsidRPr="00D505DE" w:rsidRDefault="00D505DE" w:rsidP="00D505DE">
      <w:pPr>
        <w:pStyle w:val="Vir"/>
      </w:pPr>
      <w:r w:rsidRPr="00D505DE">
        <w:t>Vir: Ministrstvo za kmetijstvo, gozdarstvo in prehrano</w:t>
      </w:r>
    </w:p>
    <w:p w14:paraId="32AFB625" w14:textId="5028528E" w:rsidR="00305E4B" w:rsidRPr="00305E4B" w:rsidRDefault="00305E4B" w:rsidP="00305E4B">
      <w:pPr>
        <w:pStyle w:val="Naslov2"/>
      </w:pPr>
      <w:r w:rsidRPr="00305E4B">
        <w:t>Vlada je izdala spremenjeno in dopolnjeno Uredbo o nagradi in priznanjih za prostovoljstvo</w:t>
      </w:r>
    </w:p>
    <w:p w14:paraId="7A493C23" w14:textId="25CA82AA" w:rsidR="00305E4B" w:rsidRPr="00305E4B" w:rsidRDefault="00305E4B" w:rsidP="00305E4B">
      <w:pPr>
        <w:rPr>
          <w:color w:val="000000" w:themeColor="text1"/>
        </w:rPr>
      </w:pPr>
      <w:r w:rsidRPr="00305E4B">
        <w:rPr>
          <w:color w:val="000000" w:themeColor="text1"/>
        </w:rPr>
        <w:t>Vlada je izdala Uredbo o spremembah in dopolnitvi Uredbe o nagradi in priznanjih za prostovoljstvo in jo objavi v Uradnem listu Republike Slovenije.</w:t>
      </w:r>
    </w:p>
    <w:p w14:paraId="66950046" w14:textId="77777777" w:rsidR="00305E4B" w:rsidRPr="00305E4B" w:rsidRDefault="00305E4B" w:rsidP="00305E4B">
      <w:pPr>
        <w:rPr>
          <w:color w:val="000000" w:themeColor="text1"/>
        </w:rPr>
      </w:pPr>
    </w:p>
    <w:p w14:paraId="7D387D7B" w14:textId="77777777" w:rsidR="00305E4B" w:rsidRPr="00305E4B" w:rsidRDefault="00305E4B" w:rsidP="00305E4B">
      <w:pPr>
        <w:rPr>
          <w:color w:val="000000" w:themeColor="text1"/>
        </w:rPr>
      </w:pPr>
      <w:r w:rsidRPr="00305E4B">
        <w:rPr>
          <w:color w:val="000000" w:themeColor="text1"/>
        </w:rPr>
        <w:t xml:space="preserve">Na predlog Odbora Republike Slovenije za podelitev državnih priznanj na področju prostovoljstva se zaradi prilagoditve nominalne višine nagrade gospodarskim in družbenim spremembam v uredbi spreminja višina državne nagrade in priznanja za prostovoljstvo, in sicer se višina nagrade zviša iz 3.000 evrov na 4.800 evrov, priznanja pa iz 1.000 evrov na 1.600 evrov. Zneska, določena v zdaj veljavni uredbi, nista bila spremenjena že od leta 2011, zaradi česar realna vrednost nagrade ni bila več ustrezna. </w:t>
      </w:r>
    </w:p>
    <w:p w14:paraId="7B32C1C7" w14:textId="77777777" w:rsidR="00305E4B" w:rsidRPr="00305E4B" w:rsidRDefault="00305E4B" w:rsidP="00305E4B">
      <w:pPr>
        <w:rPr>
          <w:color w:val="000000" w:themeColor="text1"/>
        </w:rPr>
      </w:pPr>
      <w:r w:rsidRPr="00305E4B">
        <w:rPr>
          <w:color w:val="000000" w:themeColor="text1"/>
        </w:rPr>
        <w:t xml:space="preserve"> </w:t>
      </w:r>
    </w:p>
    <w:p w14:paraId="6540F749" w14:textId="77777777" w:rsidR="00305E4B" w:rsidRPr="00305E4B" w:rsidRDefault="00305E4B" w:rsidP="00305E4B">
      <w:pPr>
        <w:rPr>
          <w:color w:val="000000" w:themeColor="text1"/>
        </w:rPr>
      </w:pPr>
      <w:r w:rsidRPr="00305E4B">
        <w:rPr>
          <w:color w:val="000000" w:themeColor="text1"/>
        </w:rPr>
        <w:t xml:space="preserve">Dopolnjuje se tudi člen uredbe glede meril in števila opravljenih prostovoljskih ur, in sicer bo zahtevano število opravljenih prostovoljskih ur za prostovoljske organizacije odslej višje kot za posamezne prostovoljce. Sedanje merilo tako za organizacije kot posamezne prostovoljce je bilo 120 ur letno, odslej pa bo merilo za prostovoljske organizacije 2400 ur letno (za posamezne prostovoljce ostane 120 ur letno). Merilo je določeno glede na povprečno število opravljenih prostovoljskih ur v prostovoljskih organizacijah v posameznem letu, po podatkih iz Skupnega poročila o prostovoljstvu za leto 2024. Pri tem so zaradi statistične obdelave in realnega podatka opravljenih prostovoljskih ur </w:t>
      </w:r>
      <w:r w:rsidRPr="00305E4B">
        <w:rPr>
          <w:color w:val="000000" w:themeColor="text1"/>
        </w:rPr>
        <w:lastRenderedPageBreak/>
        <w:t xml:space="preserve">izvzete tri organizacije, ki opravijo največje število ur v posameznem letu. Kot izjema so dodane nepredvidljive osebne okoliščine prostovoljca (bolezen, invalidnost, prometna nesreča itd.), ki lahko vplivajo na opravljeno število prostovoljskih ur dve leti v desetletnem kontinuiranem obdobju. </w:t>
      </w:r>
    </w:p>
    <w:p w14:paraId="085B9F70" w14:textId="77777777" w:rsidR="00305E4B" w:rsidRPr="00305E4B" w:rsidRDefault="00305E4B" w:rsidP="00305E4B">
      <w:pPr>
        <w:rPr>
          <w:color w:val="000000" w:themeColor="text1"/>
        </w:rPr>
      </w:pPr>
    </w:p>
    <w:p w14:paraId="3E003F17" w14:textId="77777777" w:rsidR="00305E4B" w:rsidRPr="00305E4B" w:rsidRDefault="00305E4B" w:rsidP="00305E4B">
      <w:pPr>
        <w:rPr>
          <w:color w:val="000000" w:themeColor="text1"/>
        </w:rPr>
      </w:pPr>
      <w:r w:rsidRPr="00305E4B">
        <w:rPr>
          <w:color w:val="000000" w:themeColor="text1"/>
        </w:rPr>
        <w:t>Uredba začne veljati petnajsti dan po objavi v Uradnem listu Republike Slovenije.</w:t>
      </w:r>
    </w:p>
    <w:p w14:paraId="2A812010" w14:textId="77777777" w:rsidR="00305E4B" w:rsidRPr="00305E4B" w:rsidRDefault="00305E4B" w:rsidP="00305E4B">
      <w:pPr>
        <w:rPr>
          <w:color w:val="000000" w:themeColor="text1"/>
        </w:rPr>
      </w:pPr>
    </w:p>
    <w:p w14:paraId="18D424B4" w14:textId="7A1F84E6" w:rsidR="008327A9" w:rsidRPr="00305E4B" w:rsidRDefault="00305E4B" w:rsidP="00305E4B">
      <w:pPr>
        <w:rPr>
          <w:color w:val="000000" w:themeColor="text1"/>
        </w:rPr>
      </w:pPr>
      <w:r w:rsidRPr="00305E4B">
        <w:rPr>
          <w:color w:val="000000" w:themeColor="text1"/>
        </w:rPr>
        <w:t>Ob tem dodajamo, da so postopki za podelitev nagrade in priznanj na področju prostovoljstva za leto 2025 že v teku, tako da se bodo nova pravila in zneski uporabljali za nagrade in priznanja za leto 2026.</w:t>
      </w:r>
    </w:p>
    <w:p w14:paraId="3F17AC8E" w14:textId="041AA09D" w:rsidR="008327A9" w:rsidRPr="00F9283D" w:rsidRDefault="00305E4B" w:rsidP="00F9283D">
      <w:pPr>
        <w:pStyle w:val="Vir"/>
      </w:pPr>
      <w:r w:rsidRPr="00305E4B">
        <w:t>Vir: Ministrstvo za javno upravo</w:t>
      </w:r>
    </w:p>
    <w:p w14:paraId="297B0922" w14:textId="6B36612E" w:rsidR="00F9283D" w:rsidRPr="00F9283D" w:rsidRDefault="00F9283D" w:rsidP="00F9283D">
      <w:pPr>
        <w:pStyle w:val="Naslov2"/>
      </w:pPr>
      <w:r w:rsidRPr="00F9283D">
        <w:t>Spremenjena Uredba o plačah javnih uslužbencev plačne skupine B</w:t>
      </w:r>
    </w:p>
    <w:p w14:paraId="701A2761" w14:textId="77777777" w:rsidR="00F9283D" w:rsidRPr="00F9283D" w:rsidRDefault="00F9283D" w:rsidP="00F9283D">
      <w:pPr>
        <w:rPr>
          <w:color w:val="000000" w:themeColor="text1"/>
        </w:rPr>
      </w:pPr>
      <w:r w:rsidRPr="00F9283D">
        <w:rPr>
          <w:color w:val="000000" w:themeColor="text1"/>
        </w:rPr>
        <w:t>Vlada je izdala Uredbo o spremembi Uredbe o plačah javnih uslužbencev plačne skupine B in jo objavi v Uradnem listu Republike Slovenije.</w:t>
      </w:r>
    </w:p>
    <w:p w14:paraId="36659FC3" w14:textId="77777777" w:rsidR="00F9283D" w:rsidRPr="00F9283D" w:rsidRDefault="00F9283D" w:rsidP="00F9283D">
      <w:pPr>
        <w:rPr>
          <w:color w:val="000000" w:themeColor="text1"/>
        </w:rPr>
      </w:pPr>
    </w:p>
    <w:p w14:paraId="73AEC87D" w14:textId="77777777" w:rsidR="00F9283D" w:rsidRPr="00F9283D" w:rsidRDefault="00F9283D" w:rsidP="00F9283D">
      <w:pPr>
        <w:rPr>
          <w:color w:val="000000" w:themeColor="text1"/>
        </w:rPr>
      </w:pPr>
      <w:r w:rsidRPr="00F9283D">
        <w:rPr>
          <w:color w:val="000000" w:themeColor="text1"/>
        </w:rPr>
        <w:t xml:space="preserve">Zaradi februarja spremenjene Uredbe o organih v sestavi ministrstev, s katero se je med drugim ime Urada Republike Slovenije za nadzor, kakovost in investicije v zdravstvu spremenilo v Urad Republike Slovenije za investicije v zdravstvu, je treba z omenjeno uredbo uskladiti tudi Uredbo o plačah javnih uslužbencev plačne skupine B, in sicer spremembo imena urada v Prilogi I uredbe. </w:t>
      </w:r>
    </w:p>
    <w:p w14:paraId="134E5CA6" w14:textId="77777777" w:rsidR="00F9283D" w:rsidRPr="00F9283D" w:rsidRDefault="00F9283D" w:rsidP="00F9283D">
      <w:pPr>
        <w:rPr>
          <w:color w:val="000000" w:themeColor="text1"/>
        </w:rPr>
      </w:pPr>
    </w:p>
    <w:p w14:paraId="14C28698" w14:textId="431FA60D" w:rsidR="00F9283D" w:rsidRPr="00F9283D" w:rsidRDefault="00F9283D" w:rsidP="00F9283D">
      <w:pPr>
        <w:rPr>
          <w:color w:val="000000" w:themeColor="text1"/>
        </w:rPr>
      </w:pPr>
      <w:r w:rsidRPr="00F9283D">
        <w:rPr>
          <w:color w:val="000000" w:themeColor="text1"/>
        </w:rPr>
        <w:t>Uredba začne veljati naslednji dan po objavi v Uradnem listu.</w:t>
      </w:r>
    </w:p>
    <w:p w14:paraId="4B227621" w14:textId="77777777" w:rsidR="00F9283D" w:rsidRPr="00F9283D" w:rsidRDefault="00F9283D" w:rsidP="00F9283D">
      <w:pPr>
        <w:pStyle w:val="Vir"/>
        <w:rPr>
          <w:color w:val="000000" w:themeColor="text1"/>
        </w:rPr>
      </w:pPr>
      <w:r w:rsidRPr="00F9283D">
        <w:rPr>
          <w:color w:val="000000" w:themeColor="text1"/>
        </w:rPr>
        <w:t>Vir: Ministrstvo za javno upravo</w:t>
      </w:r>
    </w:p>
    <w:p w14:paraId="4598C4BF" w14:textId="023D802C" w:rsidR="000D7985" w:rsidRPr="000D7985" w:rsidRDefault="000D7985" w:rsidP="000D7985">
      <w:pPr>
        <w:pStyle w:val="Naslov2"/>
      </w:pPr>
      <w:r w:rsidRPr="000D7985">
        <w:t>3. februar razglašen za slovenski dan tinitusa</w:t>
      </w:r>
    </w:p>
    <w:p w14:paraId="10C0BDCA" w14:textId="5D5B95B3" w:rsidR="000D7985" w:rsidRPr="000D7985" w:rsidRDefault="000D7985" w:rsidP="000D7985">
      <w:pPr>
        <w:rPr>
          <w:color w:val="000000" w:themeColor="text1"/>
        </w:rPr>
      </w:pPr>
      <w:r w:rsidRPr="000D7985">
        <w:rPr>
          <w:color w:val="000000" w:themeColor="text1"/>
        </w:rPr>
        <w:t xml:space="preserve">Vlada je na sprejela sklep, da se 3. februar razglasi za dan tinitusa v Republiki Sloveniji. S tem želi okrepiti ozaveščenost o tinitusu v družbi ter poudariti pomen preventive in zdravljenja, pa tudi vključevanja oseb s to težavo v družbo. </w:t>
      </w:r>
    </w:p>
    <w:p w14:paraId="4D3D9F29" w14:textId="77777777" w:rsidR="000D7985" w:rsidRPr="000D7985" w:rsidRDefault="000D7985" w:rsidP="000D7985">
      <w:pPr>
        <w:rPr>
          <w:color w:val="000000" w:themeColor="text1"/>
        </w:rPr>
      </w:pPr>
      <w:r w:rsidRPr="000D7985">
        <w:rPr>
          <w:color w:val="000000" w:themeColor="text1"/>
        </w:rPr>
        <w:t xml:space="preserve">Razglasitev dneva, namenjenega ozaveščanju o tinitusu, med drugim krepi nacionalna prizadevanja za bolj sistematično reševanje te zdravstvene težave. Hkrati bo osebam, ki jih prizadene tinitus, omogočila lažji dostop do informacij, podpore in strokovne pomoči. </w:t>
      </w:r>
    </w:p>
    <w:p w14:paraId="1A83F749" w14:textId="52318159" w:rsidR="008327A9" w:rsidRPr="000D7985" w:rsidRDefault="000D7985" w:rsidP="008327A9">
      <w:pPr>
        <w:rPr>
          <w:color w:val="000000" w:themeColor="text1"/>
        </w:rPr>
      </w:pPr>
      <w:r w:rsidRPr="000D7985">
        <w:rPr>
          <w:color w:val="000000" w:themeColor="text1"/>
        </w:rPr>
        <w:t>Dan tinitusa bo namenjen tudi različnim preventivnim dejavnostim, predavanjem, preizkusom sluha, kampanjam za varovanje sluha in širjenju strokovnega znanja. Dolgoročno lahko to prispeva k boljšemu duševnemu zdravju, zmanjšanju obremenitev zdravstvenega sistema in višji kakovosti življenja številnih posameznic in posameznikov.</w:t>
      </w:r>
    </w:p>
    <w:p w14:paraId="53B275EC" w14:textId="3C44CBCB" w:rsidR="008327A9" w:rsidRPr="006B0558" w:rsidRDefault="000D7985" w:rsidP="006B0558">
      <w:pPr>
        <w:pStyle w:val="Vir"/>
      </w:pPr>
      <w:r w:rsidRPr="000D7985">
        <w:t>Vir: Ministrstvo za zdravje</w:t>
      </w:r>
    </w:p>
    <w:p w14:paraId="522748D4" w14:textId="598217C4" w:rsidR="00556372" w:rsidRPr="009F2758" w:rsidRDefault="00556372" w:rsidP="00556372">
      <w:pPr>
        <w:pStyle w:val="Naslov2"/>
      </w:pPr>
      <w:r w:rsidRPr="009F2758">
        <w:t>Vlada sprejela Krajinsko politiko Slovenije: Krajina – naša skupna dediščina in prihodnost</w:t>
      </w:r>
    </w:p>
    <w:p w14:paraId="7E261B69" w14:textId="77777777" w:rsidR="00556372" w:rsidRPr="009F2758" w:rsidRDefault="00556372" w:rsidP="00556372">
      <w:pPr>
        <w:spacing w:line="288" w:lineRule="auto"/>
        <w:jc w:val="both"/>
        <w:rPr>
          <w:rFonts w:cs="Arial"/>
          <w:szCs w:val="20"/>
        </w:rPr>
      </w:pPr>
      <w:r w:rsidRPr="009F2758">
        <w:rPr>
          <w:rFonts w:cs="Arial"/>
          <w:szCs w:val="20"/>
        </w:rPr>
        <w:t xml:space="preserve">Krajinska politika Slovenije je strateški in usmeritveni dokument, katerega namen je vzpostaviti skupni dolgoročni okvir za povezano varstvo, načrtovanje in upravljanje krajine na vseh ravneh ter za krepitev pomena krajine v družbi. Pripravljena je v skladu z Zakonom o ratifikaciji Evropske konvencije o krajini na podlagi katerega s krajinsko politiko uveljavljamo celoviti okvir za instrumente varstva, načrtovanja in upravljanja krajine. Nanaša se na vse krajine, saj vključuje naravna, podeželska, mestna in primestna območja ter tudi kopenska in morska območja ter celinske vode. </w:t>
      </w:r>
    </w:p>
    <w:p w14:paraId="16F68967" w14:textId="77777777" w:rsidR="00556372" w:rsidRPr="009F2758" w:rsidRDefault="00556372" w:rsidP="00556372">
      <w:pPr>
        <w:spacing w:line="288" w:lineRule="auto"/>
        <w:jc w:val="both"/>
        <w:rPr>
          <w:rFonts w:cs="Arial"/>
          <w:szCs w:val="20"/>
        </w:rPr>
      </w:pPr>
    </w:p>
    <w:p w14:paraId="472D5958" w14:textId="7A7127F0" w:rsidR="00042A90" w:rsidRPr="00556372" w:rsidRDefault="00556372" w:rsidP="00556372">
      <w:pPr>
        <w:spacing w:line="288" w:lineRule="auto"/>
        <w:jc w:val="both"/>
        <w:rPr>
          <w:rFonts w:cs="Arial"/>
          <w:szCs w:val="20"/>
        </w:rPr>
      </w:pPr>
      <w:r w:rsidRPr="009F2758">
        <w:rPr>
          <w:rFonts w:cs="Arial"/>
          <w:szCs w:val="20"/>
        </w:rPr>
        <w:t xml:space="preserve">Dokument je usmeritvene in priporočilne narave, saj opredeljuje namen, vodila in temeljne cilje krajinske politike ter ukrepe za njihovo doseganje na različnih področjih – navaja organizacijski okvir in predloge </w:t>
      </w:r>
      <w:r w:rsidRPr="009F2758">
        <w:rPr>
          <w:rFonts w:cs="Arial"/>
          <w:szCs w:val="20"/>
        </w:rPr>
        <w:lastRenderedPageBreak/>
        <w:t xml:space="preserve">za izboljšanje koordinacije »ožjih« resornih ukrepov, orodja za varstvo, načrtovanje in upravljanje krajine, spremljanje stanja krajine in nadzor, ozaveščanje, izobraževanje, razvoj stroke in dobre prakse ter finančne mehanizme. Predvidena je okrepitev službe za krajino v okviru pristojnega ministrstva, ki naj bi skrbela za povezovanje na področju varstva, načrtovanja in upravljanja krajine. </w:t>
      </w:r>
    </w:p>
    <w:p w14:paraId="271C6425" w14:textId="748A20B1" w:rsidR="00042A90" w:rsidRPr="00042A90" w:rsidRDefault="00042A90" w:rsidP="00042A90">
      <w:pPr>
        <w:pStyle w:val="Vir"/>
      </w:pPr>
      <w:r w:rsidRPr="00042A90">
        <w:t>Vir: Ministrstvo za naravne vire in prostor</w:t>
      </w:r>
    </w:p>
    <w:p w14:paraId="017F4F23" w14:textId="15894868" w:rsidR="00A03A44" w:rsidRPr="00A03A44" w:rsidRDefault="00A03A44" w:rsidP="00A03A44">
      <w:pPr>
        <w:pStyle w:val="Naslov2"/>
      </w:pPr>
      <w:r w:rsidRPr="00A03A44">
        <w:t xml:space="preserve">Vlada sprejela Načrt upravljanja morskega gospodarskega ribištva v teritorialnih in notranjih morskih vodah Republike Slovenije </w:t>
      </w:r>
    </w:p>
    <w:p w14:paraId="0B2D3C68" w14:textId="77777777" w:rsidR="00A03A44" w:rsidRPr="00A03A44" w:rsidRDefault="00A03A44" w:rsidP="00A03A44">
      <w:pPr>
        <w:rPr>
          <w:color w:val="000000" w:themeColor="text1"/>
        </w:rPr>
      </w:pPr>
      <w:r w:rsidRPr="00A03A44">
        <w:rPr>
          <w:color w:val="000000" w:themeColor="text1"/>
        </w:rPr>
        <w:t>Vlada je sprejela Načrt upravljanja morskega gospodarskega ribištva v teritorialnih in notranjih morskih vodah Republike Slovenije (NUR).</w:t>
      </w:r>
    </w:p>
    <w:p w14:paraId="6173069B" w14:textId="77777777" w:rsidR="00A03A44" w:rsidRPr="00A03A44" w:rsidRDefault="00A03A44" w:rsidP="00A03A44">
      <w:pPr>
        <w:rPr>
          <w:color w:val="000000" w:themeColor="text1"/>
        </w:rPr>
      </w:pPr>
    </w:p>
    <w:p w14:paraId="14D15FEF" w14:textId="77777777" w:rsidR="00A03A44" w:rsidRPr="00A03A44" w:rsidRDefault="00A03A44" w:rsidP="00A03A44">
      <w:pPr>
        <w:rPr>
          <w:color w:val="000000" w:themeColor="text1"/>
        </w:rPr>
      </w:pPr>
      <w:r w:rsidRPr="00A03A44">
        <w:rPr>
          <w:color w:val="000000" w:themeColor="text1"/>
        </w:rPr>
        <w:t>Novi, četrti NUR, ki ga je na današnji seji sprejela Vlada RS, odraža vse pomembne spremembe v slovenskem ribiškem sektorju v zadnjih letih. Vsebuje pregled stanja vseh ribolovnih tehnologij slovenskega morskega ribištva in je znanstvena podlaga za načrt za upravljanje morskega gospodarskega ribištva v teritorialnih vodah in notranjih morskih vodah Republike Slovenije.</w:t>
      </w:r>
    </w:p>
    <w:p w14:paraId="3F5A1A1B" w14:textId="77777777" w:rsidR="00A03A44" w:rsidRPr="00A03A44" w:rsidRDefault="00A03A44" w:rsidP="00A03A44">
      <w:pPr>
        <w:rPr>
          <w:color w:val="000000" w:themeColor="text1"/>
        </w:rPr>
      </w:pPr>
    </w:p>
    <w:p w14:paraId="44ED2B00" w14:textId="047F5C15" w:rsidR="00A03A44" w:rsidRDefault="00A03A44" w:rsidP="00A03A44">
      <w:pPr>
        <w:rPr>
          <w:color w:val="000000" w:themeColor="text1"/>
        </w:rPr>
      </w:pPr>
      <w:r w:rsidRPr="00A03A44">
        <w:rPr>
          <w:color w:val="000000" w:themeColor="text1"/>
        </w:rPr>
        <w:t>Republika Slovenija v NUR podaja tudi zahtevo Evropski komisiji za podaljšanje odstopanja od prvega pododstavka prvega odstavka 13. člena Uredbe 1967/2006/ES, ki sicer prepoveduje uporabo vlečnih orodij znotraj treh navtičnih milj od obale. Odstopanje je izrednega pomena za Slovenijo, saj bo slovenskim ribičem z izredno omejeno ribolovno površino omogočilo, da lahko z enajstimi plovili še naprej uporabljajo pridnene vlečne mreže tipa volantina v pasu od 1,5 do 3 navtične milje od obale.</w:t>
      </w:r>
    </w:p>
    <w:p w14:paraId="6872156B" w14:textId="24FC4DA6" w:rsidR="00A03A44" w:rsidRPr="00A03A44" w:rsidRDefault="00A03A44" w:rsidP="00A03A44">
      <w:pPr>
        <w:pStyle w:val="Vir"/>
        <w:rPr>
          <w:color w:val="000000" w:themeColor="text1"/>
        </w:rPr>
      </w:pPr>
      <w:r>
        <w:rPr>
          <w:color w:val="000000" w:themeColor="text1"/>
        </w:rPr>
        <w:t xml:space="preserve">Vir: </w:t>
      </w:r>
      <w:r w:rsidRPr="00D505DE">
        <w:t>Ministrstvo za kmetijstvo, gozdarstvo in prehrano</w:t>
      </w:r>
    </w:p>
    <w:p w14:paraId="26D5132C" w14:textId="720D06D0" w:rsidR="00F42C80" w:rsidRPr="00F42C80" w:rsidRDefault="00F42C80" w:rsidP="00F42C80">
      <w:pPr>
        <w:pStyle w:val="Naslov2"/>
      </w:pPr>
      <w:r w:rsidRPr="00F42C80">
        <w:t>Soglasje razpisu za vpis v doktorske študijske programe za leto 2026/2027</w:t>
      </w:r>
    </w:p>
    <w:p w14:paraId="481144FA" w14:textId="04A99607" w:rsidR="00F42C80" w:rsidRPr="00F42C80" w:rsidRDefault="00F42C80" w:rsidP="00F42C80">
      <w:pPr>
        <w:rPr>
          <w:color w:val="000000" w:themeColor="text1"/>
        </w:rPr>
      </w:pPr>
      <w:r w:rsidRPr="00F42C80">
        <w:rPr>
          <w:color w:val="000000" w:themeColor="text1"/>
        </w:rPr>
        <w:t>Vlada je za študijsko leto 2026/2027 dala soglasje k vsebini razpisa za vpis v doktorske študijske programe Univerze v Ljubljani, Univerze v Mariboru, Univerze na Primorskem in Fakultete za informacijske študije v Novem mestu.</w:t>
      </w:r>
    </w:p>
    <w:p w14:paraId="599012D2" w14:textId="77777777" w:rsidR="00F42C80" w:rsidRPr="00F42C80" w:rsidRDefault="00F42C80" w:rsidP="00F42C80">
      <w:pPr>
        <w:rPr>
          <w:color w:val="000000" w:themeColor="text1"/>
        </w:rPr>
      </w:pPr>
    </w:p>
    <w:p w14:paraId="072EE0A1" w14:textId="77777777" w:rsidR="00F42C80" w:rsidRPr="00F42C80" w:rsidRDefault="00F42C80" w:rsidP="00F42C80">
      <w:pPr>
        <w:rPr>
          <w:color w:val="000000" w:themeColor="text1"/>
        </w:rPr>
      </w:pPr>
      <w:r w:rsidRPr="00F42C80">
        <w:rPr>
          <w:color w:val="000000" w:themeColor="text1"/>
        </w:rPr>
        <w:t xml:space="preserve">Za študijsko leto 2026/2027 bo skupaj razpisanih 76 doktorskih študijskih programov z vseh študijskih področij. Prvič bo razpisan nov skupni študijski program računalništvo in podatkovne znanosti Fakultete za informacijske študije v Novem mestu. V razpisih za vpis je vključenih skupaj 1.663 vpisnih mest za vpis v 1. letnik doktorskih študijskih programov, kar je 31 mest več kot v lanskem študijskem letu. </w:t>
      </w:r>
    </w:p>
    <w:p w14:paraId="3F93C172" w14:textId="77777777" w:rsidR="00F42C80" w:rsidRDefault="00F42C80" w:rsidP="00F42C80">
      <w:pPr>
        <w:rPr>
          <w:color w:val="000000" w:themeColor="text1"/>
        </w:rPr>
      </w:pPr>
    </w:p>
    <w:p w14:paraId="1279C6C8" w14:textId="1A33266A" w:rsidR="00F42C80" w:rsidRPr="00F42C80" w:rsidRDefault="00F42C80" w:rsidP="00F42C80">
      <w:pPr>
        <w:rPr>
          <w:color w:val="000000" w:themeColor="text1"/>
        </w:rPr>
      </w:pPr>
      <w:r w:rsidRPr="00F42C80">
        <w:rPr>
          <w:color w:val="000000" w:themeColor="text1"/>
        </w:rPr>
        <w:t xml:space="preserve">Namen doktorskih študijskih programov je študentom omogočiti poglobljeno razumevanje teoretskih in metodoloških konceptov ter usposobljenost za samostojno razvijanje novega znanja in reševanje najzahtevnejših problemov s preizkušanjem in izboljševanjem znanih ter odkrivanjem novih rešitev, za vodenje najzahtevnejših delovnih sistemov ter znanstvenoraziskovalnih projektov s širokega strokovnega, znanstvenega oziroma umetniškega področja in razvijanje kritične refleksije.                                                                                                                                        </w:t>
      </w:r>
    </w:p>
    <w:p w14:paraId="57E2F27F" w14:textId="1710F6BF" w:rsidR="00F42C80" w:rsidRPr="00F42C80" w:rsidRDefault="00F42C80" w:rsidP="00F42C80">
      <w:pPr>
        <w:pStyle w:val="Vir"/>
      </w:pPr>
      <w:r w:rsidRPr="00F42C80">
        <w:t>Vir: Ministrstvo za visoko šolstvo, znanost in inovacije</w:t>
      </w:r>
    </w:p>
    <w:p w14:paraId="3E133621" w14:textId="5D9B905C" w:rsidR="00515D8B" w:rsidRPr="00515D8B" w:rsidRDefault="00515D8B" w:rsidP="00515D8B">
      <w:pPr>
        <w:pStyle w:val="Naslov2"/>
      </w:pPr>
      <w:r w:rsidRPr="00515D8B">
        <w:t>Soglasje razpisu za vpis v magistrske študijske programe za leto 2026/2027</w:t>
      </w:r>
    </w:p>
    <w:p w14:paraId="459888E8" w14:textId="3C791924" w:rsidR="00515D8B" w:rsidRPr="00515D8B" w:rsidRDefault="00515D8B" w:rsidP="00515D8B">
      <w:pPr>
        <w:rPr>
          <w:color w:val="000000" w:themeColor="text1"/>
        </w:rPr>
      </w:pPr>
      <w:r w:rsidRPr="00515D8B">
        <w:rPr>
          <w:color w:val="000000" w:themeColor="text1"/>
        </w:rPr>
        <w:t xml:space="preserve">Vlada je dala soglasje k vsebini razpisa za vpis v magistrske študijske programe za študijsko leto 2026/2027. Soglasje se nanaša na magistrske študijske programe Univerze v Ljubljani, Univerze v Mariboru, Univerze na Primorskem in Fakultete za informacijske študije v Novem mestu, ter tovrstne študijske programe s koncesijo Univerze v Novi Gorici, Nove univerze, DOBA Fakultete za uporabne </w:t>
      </w:r>
      <w:r w:rsidRPr="00515D8B">
        <w:rPr>
          <w:color w:val="000000" w:themeColor="text1"/>
        </w:rPr>
        <w:lastRenderedPageBreak/>
        <w:t>poslovne in družbene študije Maribor, Fakultete za tehnologijo polimerov, Fakultete za uporabne družbene študije v Novi Gorici, Mednarodne fakultete za družbene in poslovne študije in Fakultete za varstvo okolja za študijsko leto 2026/2027. Koncesioniranim študijskim programom daje vlada soglasje samo k vpisnim mestom za redni študij.</w:t>
      </w:r>
    </w:p>
    <w:p w14:paraId="07C91662" w14:textId="77777777" w:rsidR="00515D8B" w:rsidRPr="00515D8B" w:rsidRDefault="00515D8B" w:rsidP="00515D8B">
      <w:pPr>
        <w:rPr>
          <w:color w:val="000000" w:themeColor="text1"/>
        </w:rPr>
      </w:pPr>
    </w:p>
    <w:p w14:paraId="486C68DF" w14:textId="77777777" w:rsidR="00515D8B" w:rsidRPr="00515D8B" w:rsidRDefault="00515D8B" w:rsidP="00515D8B">
      <w:pPr>
        <w:rPr>
          <w:color w:val="000000" w:themeColor="text1"/>
        </w:rPr>
      </w:pPr>
      <w:r w:rsidRPr="00515D8B">
        <w:rPr>
          <w:color w:val="000000" w:themeColor="text1"/>
        </w:rPr>
        <w:t>Za študijsko leto 2026/2027 bo skupaj razpisanih 259 magistrskih študijskih programov. Visokošolski zavodi razpisujejo 8.664 rednih vpisnih mest za vpis v 1. letnik za slovenske in EU državljane, kar je 82 mest več kot v lanskem študijskem letu. Ob tem se nadaljuje trend zmanjševanja vpisnih mest za izredni študij.</w:t>
      </w:r>
    </w:p>
    <w:p w14:paraId="0200007E" w14:textId="77777777" w:rsidR="00515D8B" w:rsidRPr="00515D8B" w:rsidRDefault="00515D8B" w:rsidP="00515D8B">
      <w:pPr>
        <w:rPr>
          <w:color w:val="000000" w:themeColor="text1"/>
        </w:rPr>
      </w:pPr>
    </w:p>
    <w:p w14:paraId="19B63168" w14:textId="4E9D1BC7" w:rsidR="00515D8B" w:rsidRPr="00515D8B" w:rsidRDefault="00515D8B" w:rsidP="00515D8B">
      <w:pPr>
        <w:rPr>
          <w:color w:val="000000" w:themeColor="text1"/>
        </w:rPr>
      </w:pPr>
      <w:r w:rsidRPr="00515D8B">
        <w:rPr>
          <w:color w:val="000000" w:themeColor="text1"/>
        </w:rPr>
        <w:t xml:space="preserve">Magistrski študijski programi druge stopnje predstavljajo nadaljevanje študija po predhodno zaključenem dodiplomskem študiju prve stopnje. Namen magistrskih študijskih programov je študentom omogočiti poglabljanje znanja na širših strokovnih področjih ter usposabljanje za iskanje novih virov znanja na strokovnem in znanstvenem področju.                                                                                                  </w:t>
      </w:r>
    </w:p>
    <w:p w14:paraId="15C4E8BE" w14:textId="29ACC0BA" w:rsidR="008327A9" w:rsidRPr="00515D8B" w:rsidRDefault="00515D8B" w:rsidP="00515D8B">
      <w:pPr>
        <w:pStyle w:val="Vir"/>
      </w:pPr>
      <w:r w:rsidRPr="00515D8B">
        <w:t xml:space="preserve">Vir: Ministrstvo za visoko šolstvo, znanost in inovacije </w:t>
      </w:r>
    </w:p>
    <w:p w14:paraId="5FD72154" w14:textId="6EEDD1D2" w:rsidR="007855F2" w:rsidRPr="007855F2" w:rsidRDefault="007855F2" w:rsidP="007855F2">
      <w:pPr>
        <w:pStyle w:val="Naslov2"/>
      </w:pPr>
      <w:r w:rsidRPr="007855F2">
        <w:t>Pripojitev raziskovalnega zavoda InnoRenew k Univerzi na Primorskem</w:t>
      </w:r>
    </w:p>
    <w:p w14:paraId="0B598A47" w14:textId="4DB41C1E" w:rsidR="007855F2" w:rsidRPr="007855F2" w:rsidRDefault="007855F2" w:rsidP="007855F2">
      <w:pPr>
        <w:rPr>
          <w:color w:val="000000" w:themeColor="text1"/>
        </w:rPr>
      </w:pPr>
      <w:r w:rsidRPr="007855F2">
        <w:rPr>
          <w:color w:val="000000" w:themeColor="text1"/>
        </w:rPr>
        <w:t>Vlada soglaša s pripojitvijo raziskovalnega zavod InnoRenew, CoE, Center odličnosti za raziskave in inovacije na področju obnovljivih materialov in zdravega bivanjskega okolja, k Univerzi na Primorskem. Vlada je na današnji seji tudi določila sredstva stabilnega financiranja znanstvenoraziskovalne dejavnosti Univerzi na Primorske zaradi pripojitve zavoda InnoRenew.</w:t>
      </w:r>
    </w:p>
    <w:p w14:paraId="23BBACF8" w14:textId="051A7D05" w:rsidR="008327A9" w:rsidRPr="007855F2" w:rsidRDefault="007855F2" w:rsidP="007855F2">
      <w:pPr>
        <w:pStyle w:val="Vir"/>
      </w:pPr>
      <w:r w:rsidRPr="007855F2">
        <w:t>Vir: Ministrstvo za visoko šolstvo, znanost in inovacije</w:t>
      </w:r>
    </w:p>
    <w:p w14:paraId="7B015752" w14:textId="353238EF" w:rsidR="003E4B82" w:rsidRPr="00572F3A" w:rsidRDefault="003E4B82" w:rsidP="00572F3A">
      <w:pPr>
        <w:pStyle w:val="Naslov2"/>
      </w:pPr>
      <w:r w:rsidRPr="003E4B82">
        <w:t>Vlada dala soglasje k izvajanju finančnega instrumenta za prehod v krožno gospodarstvo za podjetja v lesnopredelovalni industriji</w:t>
      </w:r>
    </w:p>
    <w:p w14:paraId="7D7FD9AC" w14:textId="77777777" w:rsidR="003E4B82" w:rsidRPr="003E4B82" w:rsidRDefault="003E4B82" w:rsidP="003E4B82">
      <w:pPr>
        <w:rPr>
          <w:color w:val="000000" w:themeColor="text1"/>
        </w:rPr>
      </w:pPr>
      <w:r w:rsidRPr="003E4B82">
        <w:rPr>
          <w:color w:val="000000" w:themeColor="text1"/>
        </w:rPr>
        <w:t>Vlada je dala soglasje k sklenitvi okvirnih finančnih sporazumov za izvajanje finančnega instrumenta »Posojila za prehod v krožno gospodarstvo s kombinacijo nepovratnih sredstev« za kohezijski regiji Vzhodna in Zahodna Slovenija za podjetja v lesnopredelovalni industriji.</w:t>
      </w:r>
    </w:p>
    <w:p w14:paraId="2CCEA97A" w14:textId="77777777" w:rsidR="003E4B82" w:rsidRPr="003E4B82" w:rsidRDefault="003E4B82" w:rsidP="003E4B82">
      <w:pPr>
        <w:rPr>
          <w:color w:val="000000" w:themeColor="text1"/>
        </w:rPr>
      </w:pPr>
    </w:p>
    <w:p w14:paraId="0F4868E4" w14:textId="77777777" w:rsidR="003E4B82" w:rsidRPr="003E4B82" w:rsidRDefault="003E4B82" w:rsidP="003E4B82">
      <w:pPr>
        <w:rPr>
          <w:color w:val="000000" w:themeColor="text1"/>
        </w:rPr>
      </w:pPr>
      <w:r w:rsidRPr="003E4B82">
        <w:rPr>
          <w:color w:val="000000" w:themeColor="text1"/>
        </w:rPr>
        <w:t>Finančni instrument se bo izvajal v okviru Holdinškega sklada, ki sta ga marca 2025 vzpostavila Ministrstvo za gospodarstvo, turizem in šport in SID banka na podlagi sporazuma o financiranju za obdobje 2021–2027. SID banka je bila imenovana za upravljavca sklada, v katerega bo do konca leta 2029 predvidoma vplačanih 190 milijonov evrov sredstev Evropskega sklada za regionalni razvoj.</w:t>
      </w:r>
    </w:p>
    <w:p w14:paraId="67ECB5D0" w14:textId="77777777" w:rsidR="003E4B82" w:rsidRPr="003E4B82" w:rsidRDefault="003E4B82" w:rsidP="003E4B82">
      <w:pPr>
        <w:rPr>
          <w:color w:val="000000" w:themeColor="text1"/>
        </w:rPr>
      </w:pPr>
    </w:p>
    <w:p w14:paraId="7F07D53C" w14:textId="77777777" w:rsidR="003E4B82" w:rsidRPr="003E4B82" w:rsidRDefault="003E4B82" w:rsidP="003E4B82">
      <w:pPr>
        <w:rPr>
          <w:color w:val="000000" w:themeColor="text1"/>
        </w:rPr>
      </w:pPr>
      <w:r w:rsidRPr="003E4B82">
        <w:rPr>
          <w:color w:val="000000" w:themeColor="text1"/>
        </w:rPr>
        <w:t>SID banka je v letu 2025 začela postopke za izbor finančnih posrednikov. Finančni instrument za prehod v krožno gospodarstvo bo izvajal Slovenski podjetniški sklad, s katerim bo SID banka sklenila ustrezna sporazuma za obe kohezijski regiji.</w:t>
      </w:r>
    </w:p>
    <w:p w14:paraId="6A8C557B" w14:textId="77777777" w:rsidR="003E4B82" w:rsidRPr="003E4B82" w:rsidRDefault="003E4B82" w:rsidP="003E4B82">
      <w:pPr>
        <w:rPr>
          <w:color w:val="000000" w:themeColor="text1"/>
        </w:rPr>
      </w:pPr>
    </w:p>
    <w:p w14:paraId="24B84519" w14:textId="77777777" w:rsidR="003E4B82" w:rsidRPr="003E4B82" w:rsidRDefault="003E4B82" w:rsidP="003E4B82">
      <w:pPr>
        <w:rPr>
          <w:color w:val="000000" w:themeColor="text1"/>
        </w:rPr>
      </w:pPr>
      <w:r w:rsidRPr="003E4B82">
        <w:rPr>
          <w:color w:val="000000" w:themeColor="text1"/>
        </w:rPr>
        <w:t>V okviru instrumenta bo do leta 2029 na voljo več kot 44 milijonov evrov ugodnih kreditov za podjetja v lesnopredelovalni industriji, z možnostjo odpisa glavnice kredita do skupno 15 milijonov evrov. Instrument se financira iz sredstev evropske kohezijske politike, pri čemer prispevek Evropske unije znaša 24,7 milijona evrov, preostanek sredstev pa bo zagotovil finančni posrednik.</w:t>
      </w:r>
    </w:p>
    <w:p w14:paraId="4C3F9BC2" w14:textId="77777777" w:rsidR="003E4B82" w:rsidRPr="003E4B82" w:rsidRDefault="003E4B82" w:rsidP="003E4B82">
      <w:pPr>
        <w:rPr>
          <w:color w:val="000000" w:themeColor="text1"/>
        </w:rPr>
      </w:pPr>
    </w:p>
    <w:p w14:paraId="2D5C05D6" w14:textId="20149F06" w:rsidR="003E4B82" w:rsidRPr="003E4B82" w:rsidRDefault="003E4B82" w:rsidP="003E4B82">
      <w:pPr>
        <w:rPr>
          <w:color w:val="000000" w:themeColor="text1"/>
        </w:rPr>
      </w:pPr>
      <w:r w:rsidRPr="003E4B82">
        <w:rPr>
          <w:color w:val="000000" w:themeColor="text1"/>
        </w:rPr>
        <w:t>Namen instrumenta je spodbuditi prehod podjetij v krožno gospodarstvo ter okrepiti razvoj in konkurenčnost lesnopredelovalne industrije.</w:t>
      </w:r>
    </w:p>
    <w:p w14:paraId="67B909DD" w14:textId="522572D5" w:rsidR="008327A9" w:rsidRPr="003E4B82" w:rsidRDefault="003E4B82" w:rsidP="003E4B82">
      <w:pPr>
        <w:pStyle w:val="Vir"/>
      </w:pPr>
      <w:r w:rsidRPr="003E4B82">
        <w:t>Vir: Ministrstvo za gospodarstvo, turizem in šport</w:t>
      </w:r>
    </w:p>
    <w:p w14:paraId="7123BD8E" w14:textId="3CEEDBA8" w:rsidR="00300B2F" w:rsidRPr="00300B2F" w:rsidRDefault="00300B2F" w:rsidP="00300B2F">
      <w:pPr>
        <w:pStyle w:val="Naslov2"/>
      </w:pPr>
      <w:r w:rsidRPr="00300B2F">
        <w:lastRenderedPageBreak/>
        <w:t>Vlada soglaša z zakupom oglasnega prostora za promocijo proizvodov iz sektorjev sadja, mleka in mesa ter promocijo ekološke in drugih shem kakovosti</w:t>
      </w:r>
    </w:p>
    <w:p w14:paraId="55590A12" w14:textId="77777777" w:rsidR="00300B2F" w:rsidRPr="00300B2F" w:rsidRDefault="00300B2F" w:rsidP="00300B2F">
      <w:pPr>
        <w:rPr>
          <w:color w:val="000000" w:themeColor="text1"/>
        </w:rPr>
      </w:pPr>
      <w:r w:rsidRPr="00300B2F">
        <w:rPr>
          <w:color w:val="000000" w:themeColor="text1"/>
        </w:rPr>
        <w:t>Vlada soglaša z zakupom oglasnega prostora za promocijo proizvodov iz sektorjev sadja, mleka in mesa na podlagi zakona, ki ureja promocijo kmetijskih in živilskih proizvodov, ki jo bo Ministrstvo za kmetijstvo, gozdarstvo in prehrano izvajalo od 1. aprila do 30. novembra 2026. Prav tako Vlada soglaša z zakupom oglasnega prostora za promocijo proizvodov iz shem kakovosti – ekološki proizvodi, zaščitena označba porekla, zaščitena geografska označba in zajamčena tradicionalna posebnost, na podlagi zakona, ki ureja hrano, ki jo bo Ministrstvo za kmetijstvo, gozdarstvo in prehrano izvajalo od 1. aprila do 30. novembra 2026.</w:t>
      </w:r>
    </w:p>
    <w:p w14:paraId="53E42FF3" w14:textId="77777777" w:rsidR="00300B2F" w:rsidRPr="00300B2F" w:rsidRDefault="00300B2F" w:rsidP="00300B2F">
      <w:pPr>
        <w:rPr>
          <w:color w:val="000000" w:themeColor="text1"/>
        </w:rPr>
      </w:pPr>
      <w:r w:rsidRPr="00300B2F">
        <w:rPr>
          <w:color w:val="000000" w:themeColor="text1"/>
        </w:rPr>
        <w:t>Ministrstvo za kmetijstvo, gozdarstvo in prehrano (MKGP) v okviru aktivnosti za doseganje trajnostnih prehranskih sistemov izvaja tudi več projektov promocije za povečanje potrošnje lokalne in ekološke hrane oziroma lokalnih proizvodov iz shem kakovosti. Na podlagi Zakona o promociji kmetijskih in živilskih proizvodov se izvaja promocija za različne sektorje že od leta 2016. Od leta 2012 se je izvajala promocija ekološkega kmetijstva in drugih shem kakovosti, ki se bo z letom 2026 izvajala na podlagi Zakona o hrani.</w:t>
      </w:r>
    </w:p>
    <w:p w14:paraId="356043BD" w14:textId="1C46A1C4" w:rsidR="00300B2F" w:rsidRPr="00300B2F" w:rsidRDefault="00300B2F" w:rsidP="00300B2F">
      <w:pPr>
        <w:rPr>
          <w:color w:val="000000" w:themeColor="text1"/>
        </w:rPr>
      </w:pPr>
      <w:r w:rsidRPr="00300B2F">
        <w:rPr>
          <w:color w:val="000000" w:themeColor="text1"/>
        </w:rPr>
        <w:t>Proizvodnja hrane je eno izmed strateško najpomembnejših nacionalnih področij. To področje je postalo izredno pomembno predvsem zaradi različnih globalnih kriz, ki poudarjajo pomen povečanja samooskrbe. MKGP zato s promocijskimi aktivnostmi spodbuja zaupanje potrošnikov v slovensko hrano in ozavešča celotno družbo, da je odločitev za nakup lokalne in ekološke hrane oziroma lokalne hrane iz drugih shem kakovosti predvsem pomembna z vidika samooskrbe, pospeševanja razvoja slovenskega podeželja in domače živilske industrije, ohranjanja lokalnih delovnih mest ter zdravja okolja in prebivalcev. Soglasje se nanaša na klasično medijsko oglaševanje, torej zakup oglasnega prostora, ki se bo izvajal v obdobju od 1. aprila 2026 do 30. novembra 2026.</w:t>
      </w:r>
    </w:p>
    <w:p w14:paraId="15784D23" w14:textId="2BEC94FD" w:rsidR="008327A9" w:rsidRPr="00572F3A" w:rsidRDefault="00300B2F" w:rsidP="00572F3A">
      <w:pPr>
        <w:pStyle w:val="Vir"/>
      </w:pPr>
      <w:r w:rsidRPr="00300B2F">
        <w:t>Ministrstvo za kmetijstvo, gozdarstvo in prehrano</w:t>
      </w:r>
    </w:p>
    <w:p w14:paraId="5CA68373" w14:textId="56B43302" w:rsidR="008306A8" w:rsidRPr="008306A8" w:rsidRDefault="008306A8" w:rsidP="008306A8">
      <w:pPr>
        <w:pStyle w:val="Naslov2"/>
      </w:pPr>
      <w:r w:rsidRPr="008306A8">
        <w:t xml:space="preserve">Vlada bo sklenila pismo o nameri z občino Novo mesto o sodelovanju pri izvedbi pilotnega projekta reševanja bivalne problematike romske skupnosti </w:t>
      </w:r>
    </w:p>
    <w:p w14:paraId="56E61818" w14:textId="70ECEDF3" w:rsidR="008306A8" w:rsidRPr="008306A8" w:rsidRDefault="008306A8" w:rsidP="008306A8">
      <w:pPr>
        <w:rPr>
          <w:color w:val="000000" w:themeColor="text1"/>
        </w:rPr>
      </w:pPr>
      <w:r w:rsidRPr="008306A8">
        <w:rPr>
          <w:color w:val="000000" w:themeColor="text1"/>
        </w:rPr>
        <w:t xml:space="preserve">Vlada </w:t>
      </w:r>
      <w:r>
        <w:rPr>
          <w:color w:val="000000" w:themeColor="text1"/>
        </w:rPr>
        <w:t>je</w:t>
      </w:r>
      <w:r w:rsidRPr="008306A8">
        <w:rPr>
          <w:color w:val="000000" w:themeColor="text1"/>
        </w:rPr>
        <w:t xml:space="preserve"> sprejela sklep, da bo sklenila pismo o nameri z Mestno občino Novo mesto, o sodelovanju pri izvedbi pilotnega projekta reševanja bivalne problematike romske skupnosti v romskem naselju Žabjak - Brezje. </w:t>
      </w:r>
    </w:p>
    <w:p w14:paraId="54373E7D" w14:textId="77777777" w:rsidR="008306A8" w:rsidRPr="008306A8" w:rsidRDefault="008306A8" w:rsidP="008306A8">
      <w:pPr>
        <w:rPr>
          <w:color w:val="000000" w:themeColor="text1"/>
        </w:rPr>
      </w:pPr>
    </w:p>
    <w:p w14:paraId="66651F38" w14:textId="77777777" w:rsidR="008306A8" w:rsidRPr="008306A8" w:rsidRDefault="008306A8" w:rsidP="008306A8">
      <w:pPr>
        <w:rPr>
          <w:color w:val="000000" w:themeColor="text1"/>
        </w:rPr>
      </w:pPr>
      <w:r w:rsidRPr="008306A8">
        <w:rPr>
          <w:color w:val="000000" w:themeColor="text1"/>
        </w:rPr>
        <w:t xml:space="preserve">Namen pisma o nameri je vzpostaviti okvir za sodelovanje med državo in lokalno skupnostjo pri izvedbi pilotnega projekta celostne ureditve romskega naselja Žabjak – Brezje. Projekt je zasnovan kot pilotni primer, katerega cilj je izboljšanje bivalnih razmer romske skupnosti na področju prostorske, lastniške in infrastrukturne ureditve ter razvoj prenosljivih rešitev, ki bi jih bilo mogoče uporabiti tudi v drugih lokalnih okoljih z romsko skupnostjo. </w:t>
      </w:r>
    </w:p>
    <w:p w14:paraId="506B9111" w14:textId="77777777" w:rsidR="008306A8" w:rsidRPr="008306A8" w:rsidRDefault="008306A8" w:rsidP="008306A8">
      <w:pPr>
        <w:rPr>
          <w:color w:val="000000" w:themeColor="text1"/>
        </w:rPr>
      </w:pPr>
    </w:p>
    <w:p w14:paraId="77FD5E98" w14:textId="047F4AB0" w:rsidR="008306A8" w:rsidRPr="008306A8" w:rsidRDefault="008306A8" w:rsidP="008306A8">
      <w:pPr>
        <w:rPr>
          <w:color w:val="000000" w:themeColor="text1"/>
        </w:rPr>
      </w:pPr>
      <w:r w:rsidRPr="008306A8">
        <w:rPr>
          <w:color w:val="000000" w:themeColor="text1"/>
        </w:rPr>
        <w:t xml:space="preserve">Izkušnje in rešitve, razvite v okviru pilotnega projekta v romskem naselju Žabjak – Brezje, bodo lahko pomembno prispevale k oblikovanju širših sistemskih pristopov ter prenosu dobrih praks tudi v druga lokalna okolja v Republiki Sloveniji, kjer se soočajo s podobnimi prostorskimi in socialnimi izzivi. </w:t>
      </w:r>
    </w:p>
    <w:p w14:paraId="3CBDE6D9" w14:textId="2260F770" w:rsidR="008327A9" w:rsidRPr="008306A8" w:rsidRDefault="008306A8" w:rsidP="008306A8">
      <w:pPr>
        <w:pStyle w:val="Vir"/>
      </w:pPr>
      <w:r w:rsidRPr="008306A8">
        <w:t>Vir: Kabinet predsednika vlade</w:t>
      </w:r>
    </w:p>
    <w:p w14:paraId="2196E605" w14:textId="7B464633" w:rsidR="00F5177D" w:rsidRPr="00F5177D" w:rsidRDefault="00F5177D" w:rsidP="00F5177D">
      <w:pPr>
        <w:pStyle w:val="Naslov2"/>
      </w:pPr>
      <w:r w:rsidRPr="00F5177D">
        <w:t>Vlada je sprejela sklep o aktivnostih za zaključek postopkov denacionalizacije</w:t>
      </w:r>
    </w:p>
    <w:p w14:paraId="51BC903E" w14:textId="5DBF3806" w:rsidR="00F5177D" w:rsidRPr="00F5177D" w:rsidRDefault="00F5177D" w:rsidP="00F5177D">
      <w:pPr>
        <w:rPr>
          <w:color w:val="000000" w:themeColor="text1"/>
        </w:rPr>
      </w:pPr>
      <w:r w:rsidRPr="00F5177D">
        <w:rPr>
          <w:color w:val="000000" w:themeColor="text1"/>
        </w:rPr>
        <w:t>Vlada se je seznanila z informacijo o aktivnostih za zaključek vseh postopkov denacionalizacije pred upravnimi organi.</w:t>
      </w:r>
    </w:p>
    <w:p w14:paraId="49F6745D" w14:textId="77777777" w:rsidR="00F5177D" w:rsidRPr="00F5177D" w:rsidRDefault="00F5177D" w:rsidP="00F5177D">
      <w:pPr>
        <w:rPr>
          <w:color w:val="000000" w:themeColor="text1"/>
        </w:rPr>
      </w:pPr>
    </w:p>
    <w:p w14:paraId="0EDAE576" w14:textId="77777777" w:rsidR="00F5177D" w:rsidRPr="00F5177D" w:rsidRDefault="00F5177D" w:rsidP="00F5177D">
      <w:pPr>
        <w:rPr>
          <w:color w:val="000000" w:themeColor="text1"/>
        </w:rPr>
      </w:pPr>
      <w:r w:rsidRPr="00F5177D">
        <w:rPr>
          <w:color w:val="000000" w:themeColor="text1"/>
        </w:rPr>
        <w:t xml:space="preserve">Proces denacionalizacije v Sloveniji poteka od leta 1991, vendar kljub preteku več kot treh desetletij še vedno ni v celoti zaključen. Po podatkih Ministrstva za pravosodje je bilo konec leta 2025 pri </w:t>
      </w:r>
      <w:r w:rsidRPr="00F5177D">
        <w:rPr>
          <w:color w:val="000000" w:themeColor="text1"/>
        </w:rPr>
        <w:lastRenderedPageBreak/>
        <w:t>upravnih organih nerešenih še 65 zadev, pri čemer se dinamika njihovega reševanja v zadnjih letih upočasnjuje.</w:t>
      </w:r>
    </w:p>
    <w:p w14:paraId="7EA192E4" w14:textId="77777777" w:rsidR="00F5177D" w:rsidRPr="00F5177D" w:rsidRDefault="00F5177D" w:rsidP="00F5177D">
      <w:pPr>
        <w:rPr>
          <w:color w:val="000000" w:themeColor="text1"/>
        </w:rPr>
      </w:pPr>
    </w:p>
    <w:p w14:paraId="178D296B" w14:textId="77777777" w:rsidR="00F5177D" w:rsidRPr="00F5177D" w:rsidRDefault="00F5177D" w:rsidP="00F5177D">
      <w:pPr>
        <w:rPr>
          <w:color w:val="000000" w:themeColor="text1"/>
        </w:rPr>
      </w:pPr>
      <w:r w:rsidRPr="00F5177D">
        <w:rPr>
          <w:color w:val="000000" w:themeColor="text1"/>
        </w:rPr>
        <w:t>Vlada je zato sprejela sklep o aktivnostih za pospešitev postopkov. Ministrstvu za javno upravo je naložila, da stori vse potrebno za izboljšanje organizacije, učinkovitosti in kakovosti dela v postopkih denacionalizacije ter nudi strokovno pomoč v smeri koncentracije nerešenih zadev pri enem upravnem organu prve stopnje.</w:t>
      </w:r>
    </w:p>
    <w:p w14:paraId="1D7AB9A0" w14:textId="77777777" w:rsidR="00F5177D" w:rsidRPr="00F5177D" w:rsidRDefault="00F5177D" w:rsidP="00F5177D">
      <w:pPr>
        <w:rPr>
          <w:color w:val="000000" w:themeColor="text1"/>
        </w:rPr>
      </w:pPr>
    </w:p>
    <w:p w14:paraId="082FFB1B" w14:textId="77777777" w:rsidR="00F5177D" w:rsidRPr="00F5177D" w:rsidRDefault="00F5177D" w:rsidP="00F5177D">
      <w:pPr>
        <w:rPr>
          <w:color w:val="000000" w:themeColor="text1"/>
        </w:rPr>
      </w:pPr>
      <w:r w:rsidRPr="00F5177D">
        <w:rPr>
          <w:color w:val="000000" w:themeColor="text1"/>
        </w:rPr>
        <w:t>Ministrstvu za pravosodje je Vlada naložila, da do 30. aprila 2026 ustanovi medresorsko delovno skupino, ki bo koordinirala aktivnosti za zaključek vseh postopkov denacionalizacije pred upravnimi organi.</w:t>
      </w:r>
    </w:p>
    <w:p w14:paraId="33C0F554" w14:textId="77777777" w:rsidR="00F5177D" w:rsidRPr="00F5177D" w:rsidRDefault="00F5177D" w:rsidP="00F5177D">
      <w:pPr>
        <w:rPr>
          <w:color w:val="000000" w:themeColor="text1"/>
        </w:rPr>
      </w:pPr>
    </w:p>
    <w:p w14:paraId="0C906C0A" w14:textId="77777777" w:rsidR="00F5177D" w:rsidRPr="00F5177D" w:rsidRDefault="00F5177D" w:rsidP="00F5177D">
      <w:pPr>
        <w:rPr>
          <w:color w:val="000000" w:themeColor="text1"/>
        </w:rPr>
      </w:pPr>
      <w:r w:rsidRPr="00F5177D">
        <w:rPr>
          <w:color w:val="000000" w:themeColor="text1"/>
        </w:rPr>
        <w:t>Obenem je Vlada vsem pristojnim upravnim organom prve in druge stopnje naložila, da postopke denacionalizacije zaključijo najpozneje do 31. decembra 2028.</w:t>
      </w:r>
    </w:p>
    <w:p w14:paraId="35654BFB" w14:textId="3A9CD949" w:rsidR="00F5177D" w:rsidRPr="00F5177D" w:rsidRDefault="00F5177D" w:rsidP="00F5177D">
      <w:pPr>
        <w:rPr>
          <w:color w:val="000000" w:themeColor="text1"/>
        </w:rPr>
      </w:pPr>
      <w:r w:rsidRPr="00F5177D">
        <w:rPr>
          <w:color w:val="000000" w:themeColor="text1"/>
        </w:rPr>
        <w:t>S sprejetimi aktivnostmi želi Vlada pospešiti zaključevanje postopkov denacionalizacije pred upravnimi organi.</w:t>
      </w:r>
    </w:p>
    <w:p w14:paraId="61BB6842" w14:textId="7A3BBCEE" w:rsidR="008327A9" w:rsidRPr="006B0558" w:rsidRDefault="00F5177D" w:rsidP="006B0558">
      <w:pPr>
        <w:pStyle w:val="Vir"/>
      </w:pPr>
      <w:r w:rsidRPr="00F5177D">
        <w:t>Vir: Ministrstvo za pravosodje</w:t>
      </w:r>
    </w:p>
    <w:p w14:paraId="4B15A245" w14:textId="0098867F" w:rsidR="008A0475" w:rsidRPr="008A0475" w:rsidRDefault="008A0475" w:rsidP="008A0475">
      <w:pPr>
        <w:pStyle w:val="Naslov2"/>
      </w:pPr>
      <w:r w:rsidRPr="008A0475">
        <w:t>Vlada o izvajanju strategije razvoja trga kapitala</w:t>
      </w:r>
    </w:p>
    <w:p w14:paraId="17FF0F41" w14:textId="56392B71" w:rsidR="008A0475" w:rsidRPr="008A0475" w:rsidRDefault="008A0475" w:rsidP="008A0475">
      <w:pPr>
        <w:rPr>
          <w:color w:val="000000" w:themeColor="text1"/>
        </w:rPr>
      </w:pPr>
      <w:r w:rsidRPr="008A0475">
        <w:rPr>
          <w:color w:val="000000" w:themeColor="text1"/>
        </w:rPr>
        <w:t>Vlada se je seznani</w:t>
      </w:r>
      <w:r>
        <w:rPr>
          <w:color w:val="000000" w:themeColor="text1"/>
        </w:rPr>
        <w:t>la</w:t>
      </w:r>
      <w:r w:rsidRPr="008A0475">
        <w:rPr>
          <w:color w:val="000000" w:themeColor="text1"/>
        </w:rPr>
        <w:t xml:space="preserve"> s poročilom o izvajanju strategije razvoja trga kapitala v Sloveniji v letu 2025, ki podrobno predstavlja dosežen napredek pri izvedbi predvidenih ukrepov na različnih področjih ter načrte za nadaljevanje aktivnosti v letu 2026.</w:t>
      </w:r>
    </w:p>
    <w:p w14:paraId="2EF8F074" w14:textId="77777777" w:rsidR="008A0475" w:rsidRPr="008A0475" w:rsidRDefault="008A0475" w:rsidP="008A0475">
      <w:pPr>
        <w:rPr>
          <w:color w:val="000000" w:themeColor="text1"/>
        </w:rPr>
      </w:pPr>
      <w:r w:rsidRPr="008A0475">
        <w:rPr>
          <w:color w:val="000000" w:themeColor="text1"/>
        </w:rPr>
        <w:t xml:space="preserve">Vlada je marca 2023 sprejela Strategijo razvoja trga kapitala za obdobje 2023-2030, ki vsebuje konkretne ukrepe za krepitev in razvoj slovenskega trga kapitala. Strategija med drugim predvideva, da mora glavni nosilni organ za vsak ukrep dvakrat letno pripraviti poročilo o izvedenih aktivnostih in ga predložiti Ministrstvu za finance (MF). Ministrstvo nato pripravi letno poročilo o izvajanju Strategije za vlado. </w:t>
      </w:r>
    </w:p>
    <w:p w14:paraId="5FA28CDB" w14:textId="77777777" w:rsidR="008A0475" w:rsidRDefault="008A0475" w:rsidP="008A0475">
      <w:pPr>
        <w:rPr>
          <w:color w:val="000000" w:themeColor="text1"/>
        </w:rPr>
      </w:pPr>
    </w:p>
    <w:p w14:paraId="1F2D62B1" w14:textId="6A447753" w:rsidR="008A0475" w:rsidRPr="008A0475" w:rsidRDefault="008A0475" w:rsidP="008A0475">
      <w:pPr>
        <w:rPr>
          <w:color w:val="000000" w:themeColor="text1"/>
        </w:rPr>
      </w:pPr>
      <w:r w:rsidRPr="008A0475">
        <w:rPr>
          <w:color w:val="000000" w:themeColor="text1"/>
        </w:rPr>
        <w:t>Nekaj ključnih izvedenih aktivnosti na področju izvajanja Strategije v preteklem letu so bile:</w:t>
      </w:r>
    </w:p>
    <w:p w14:paraId="2B2FDDE5" w14:textId="38079328" w:rsidR="008A0475" w:rsidRPr="008A0475" w:rsidRDefault="008A0475" w:rsidP="008A0475">
      <w:pPr>
        <w:pStyle w:val="Odstavekseznama"/>
        <w:numPr>
          <w:ilvl w:val="0"/>
          <w:numId w:val="26"/>
        </w:numPr>
        <w:rPr>
          <w:color w:val="000000" w:themeColor="text1"/>
        </w:rPr>
      </w:pPr>
      <w:r w:rsidRPr="008A0475">
        <w:rPr>
          <w:color w:val="000000" w:themeColor="text1"/>
        </w:rPr>
        <w:t xml:space="preserve">na področju doseganja statusa razvijajočega trga (EMS) je bila Slovenija v letu 2025 uvrščena v MSCI Advanced Frontier Markets kategorijo, kar pomeni premik proti statusu EMS, ki je končni cilj strategije. </w:t>
      </w:r>
    </w:p>
    <w:p w14:paraId="66605981" w14:textId="7D778875" w:rsidR="008A0475" w:rsidRPr="008A0475" w:rsidRDefault="008A0475" w:rsidP="008A0475">
      <w:pPr>
        <w:pStyle w:val="Odstavekseznama"/>
        <w:numPr>
          <w:ilvl w:val="0"/>
          <w:numId w:val="26"/>
        </w:numPr>
        <w:rPr>
          <w:color w:val="000000" w:themeColor="text1"/>
        </w:rPr>
      </w:pPr>
      <w:r w:rsidRPr="008A0475">
        <w:rPr>
          <w:color w:val="000000" w:themeColor="text1"/>
        </w:rPr>
        <w:t xml:space="preserve">Vlada je sprejela Nacionalni program finančnega opismenjevanja in ustanovila Svet za finančno opismenjevanje. Ministrstvo za finance je ustanovilo uredniški odbor osrednjega spletnega mesta za finančno opismenjevanje. </w:t>
      </w:r>
    </w:p>
    <w:p w14:paraId="1956965D" w14:textId="398E4C09" w:rsidR="008A0475" w:rsidRPr="008A0475" w:rsidRDefault="008A0475" w:rsidP="008A0475">
      <w:pPr>
        <w:pStyle w:val="Odstavekseznama"/>
        <w:numPr>
          <w:ilvl w:val="0"/>
          <w:numId w:val="26"/>
        </w:numPr>
        <w:rPr>
          <w:color w:val="000000" w:themeColor="text1"/>
        </w:rPr>
      </w:pPr>
      <w:r w:rsidRPr="008A0475">
        <w:rPr>
          <w:color w:val="000000" w:themeColor="text1"/>
        </w:rPr>
        <w:t>V okviru spodbujanja finančnega opismenjevanja je bilo izvedenih več dogodkov v obliki panelov, okroglih miz in posvetov, na katerih so aktivno sodelovali predstavniki ministrstva. MF tudi skupaj z Banko Slovenije sodeluje pri projektu Bodi FIN (finančno radoveden nadobudnež.</w:t>
      </w:r>
    </w:p>
    <w:p w14:paraId="29D321DD" w14:textId="79D5A28D" w:rsidR="008A0475" w:rsidRPr="008A0475" w:rsidRDefault="008A0475" w:rsidP="008A0475">
      <w:pPr>
        <w:pStyle w:val="Odstavekseznama"/>
        <w:numPr>
          <w:ilvl w:val="0"/>
          <w:numId w:val="26"/>
        </w:numPr>
        <w:rPr>
          <w:color w:val="000000" w:themeColor="text1"/>
        </w:rPr>
      </w:pPr>
      <w:r w:rsidRPr="008A0475">
        <w:rPr>
          <w:color w:val="000000" w:themeColor="text1"/>
        </w:rPr>
        <w:t xml:space="preserve">Na področju individualnih naložbenih računov je bil sprejet Zakon o individualnih naložbenih računih, ki se je začel uporabljati 5. marca 2026. Zakon predvideva ugodnejšo administrativno in davčno obravnavo za dolgoročno varčevanje ter spodbuja vlaganje v finančne instrumente na slovenskem kapitalskem trgu; </w:t>
      </w:r>
    </w:p>
    <w:p w14:paraId="23C6D7FB" w14:textId="487442B0" w:rsidR="008A0475" w:rsidRPr="008A0475" w:rsidRDefault="008A0475" w:rsidP="008A0475">
      <w:pPr>
        <w:pStyle w:val="Odstavekseznama"/>
        <w:numPr>
          <w:ilvl w:val="0"/>
          <w:numId w:val="26"/>
        </w:numPr>
        <w:rPr>
          <w:color w:val="000000" w:themeColor="text1"/>
        </w:rPr>
      </w:pPr>
      <w:r w:rsidRPr="008A0475">
        <w:rPr>
          <w:color w:val="000000" w:themeColor="text1"/>
        </w:rPr>
        <w:t xml:space="preserve">Republika Slovenija je izvedla drugo izdajo državnih obveznic, namenjenih izključno malim vlagateljem (fizičnim osebam). Obveznice je vpisalo 6.640 vlagateljev v skupni vrednosti 250 milijonov evrov z letno obrestno mero 2,75 odstotkov in triletno ročnostjo. </w:t>
      </w:r>
    </w:p>
    <w:p w14:paraId="1E58709B" w14:textId="3FF95571" w:rsidR="008A0475" w:rsidRPr="008A0475" w:rsidRDefault="008A0475" w:rsidP="008A0475">
      <w:pPr>
        <w:pStyle w:val="Odstavekseznama"/>
        <w:numPr>
          <w:ilvl w:val="0"/>
          <w:numId w:val="26"/>
        </w:numPr>
        <w:rPr>
          <w:color w:val="000000" w:themeColor="text1"/>
        </w:rPr>
      </w:pPr>
      <w:r w:rsidRPr="008A0475">
        <w:rPr>
          <w:color w:val="000000" w:themeColor="text1"/>
        </w:rPr>
        <w:t xml:space="preserve">Sprejet je bil Zakon o spremembah in dopolnitvah Zakona o financiranju občin (ZFO-1E), ki vzpostavlja pravno podlago za izdajo občinskih obveznic. Po sprejemu ZFO-1E je potekala priprava Pravilnika o postopkih za izdajo soglasja k zadolževanju občin, ki bo občinam omogočil praktično izvedbo izdaje obveznic. </w:t>
      </w:r>
    </w:p>
    <w:p w14:paraId="41E4BB88" w14:textId="186C5611" w:rsidR="008A0475" w:rsidRPr="008A0475" w:rsidRDefault="008A0475" w:rsidP="008A0475">
      <w:pPr>
        <w:pStyle w:val="Odstavekseznama"/>
        <w:numPr>
          <w:ilvl w:val="0"/>
          <w:numId w:val="26"/>
        </w:numPr>
        <w:rPr>
          <w:color w:val="000000" w:themeColor="text1"/>
        </w:rPr>
      </w:pPr>
      <w:r w:rsidRPr="008A0475">
        <w:rPr>
          <w:color w:val="000000" w:themeColor="text1"/>
        </w:rPr>
        <w:lastRenderedPageBreak/>
        <w:t xml:space="preserve">Na področju ostalih sprememb zakonodaje so potekale aktivnosti odpravljanje administrativnih ovir na trgu kapitala. </w:t>
      </w:r>
    </w:p>
    <w:p w14:paraId="7EFB2658" w14:textId="77777777" w:rsidR="008A0475" w:rsidRPr="008A0475" w:rsidRDefault="008A0475" w:rsidP="008A0475">
      <w:pPr>
        <w:rPr>
          <w:color w:val="000000" w:themeColor="text1"/>
        </w:rPr>
      </w:pPr>
    </w:p>
    <w:p w14:paraId="34D39047" w14:textId="4085F233" w:rsidR="008327A9" w:rsidRDefault="008A0475" w:rsidP="008327A9">
      <w:pPr>
        <w:rPr>
          <w:color w:val="000000" w:themeColor="text1"/>
        </w:rPr>
      </w:pPr>
      <w:r w:rsidRPr="008A0475">
        <w:rPr>
          <w:color w:val="000000" w:themeColor="text1"/>
        </w:rPr>
        <w:t>Poročilo podaja pregled številnih aktivnosti za krepitev in razvoj slovenskega trga kapitala v letu 2025. V letu 2026 se bodo aktivnosti na področju razvoja trga kapitala osredotočile na konkretizacijo ukrepov. Načrtuje se priprava zakonodajnih predlogov ter nadaljnji koraki iz akcijskih načrtov za doseganje strateških ciljev krepitve slovenskega trga kapitala.</w:t>
      </w:r>
    </w:p>
    <w:p w14:paraId="2488BC08" w14:textId="4BF97824" w:rsidR="008A0475" w:rsidRPr="008A0475" w:rsidRDefault="008A0475" w:rsidP="008A0475">
      <w:pPr>
        <w:pStyle w:val="Vir"/>
      </w:pPr>
      <w:r>
        <w:t>Vir: Ministrstvo za finance</w:t>
      </w:r>
    </w:p>
    <w:p w14:paraId="710E2703" w14:textId="0EE77A95" w:rsidR="00192F64" w:rsidRPr="00192F64" w:rsidRDefault="00192F64" w:rsidP="00192F64">
      <w:pPr>
        <w:pStyle w:val="Naslov2"/>
      </w:pPr>
      <w:r w:rsidRPr="00192F64">
        <w:t xml:space="preserve">Vlada se je seznanila z Letnim poročilom Zavoda za pokojninsko in invalidsko zavarovanje Slovenije za leto 2025  </w:t>
      </w:r>
    </w:p>
    <w:p w14:paraId="3CC3C2B4" w14:textId="77777777" w:rsidR="00192F64" w:rsidRPr="00192F64" w:rsidRDefault="00192F64" w:rsidP="00192F64">
      <w:pPr>
        <w:rPr>
          <w:color w:val="000000" w:themeColor="text1"/>
        </w:rPr>
      </w:pPr>
      <w:r w:rsidRPr="00192F64">
        <w:rPr>
          <w:color w:val="000000" w:themeColor="text1"/>
        </w:rPr>
        <w:t>Zavod za pokojninsko in invalidsko zavarovanje Slovenije (Zavod) kot izvajalec in nosilec sistema obveznega pokojninskega in invalidskega zavarovanja vsako leto na podlagi 166. člena Zakona o pokojninskem in invalidskem zavarovanju (ZPIZ-2) pripravi letno poročilo v skladu s predpisi, ki urejajo računovodstvo in javne finance. Letno poročilo za leto 2025 je obravnaval in sprejel Svet Zavoda in ugotovil, da Zavod uspešno opravlja vlogo in nalogo nosilca in izvajalca obveznega pokojninskega in invalidskega zavarovanja.</w:t>
      </w:r>
    </w:p>
    <w:p w14:paraId="3D113C39" w14:textId="77777777" w:rsidR="00192F64" w:rsidRPr="00192F64" w:rsidRDefault="00192F64" w:rsidP="00192F64">
      <w:pPr>
        <w:rPr>
          <w:color w:val="000000" w:themeColor="text1"/>
        </w:rPr>
      </w:pPr>
    </w:p>
    <w:p w14:paraId="59401F76" w14:textId="77777777" w:rsidR="00192F64" w:rsidRPr="00192F64" w:rsidRDefault="00192F64" w:rsidP="00192F64">
      <w:pPr>
        <w:rPr>
          <w:color w:val="000000" w:themeColor="text1"/>
        </w:rPr>
      </w:pPr>
      <w:r w:rsidRPr="00192F64">
        <w:rPr>
          <w:color w:val="000000" w:themeColor="text1"/>
        </w:rPr>
        <w:t xml:space="preserve">Letno poročilo 2025 kaže uspešnost poslovanja Zavoda, kar je razvidno iz poslovnega dela tega poročila. Iz podatkov in izkazov računovodskega poročila je razvidno, da je Zavod poslovno leto 2025 sklenil z izravnanimi prihodki in odhodki v višini 8.374.540.068 evrov, kot zahteva veljavni zakon. Zavod je tudi v letu 2025 zavarovancem in uživalcem pravic zagotavljal priznavanje pravic iz pokojninskega in invalidskega zavarovanja ter pravočasno izplačeval vse pokojninske in druge dajatve ter s tem izpolnjeval svoje poslanstvo. </w:t>
      </w:r>
    </w:p>
    <w:p w14:paraId="0C03DA05" w14:textId="77777777" w:rsidR="00192F64" w:rsidRPr="00192F64" w:rsidRDefault="00192F64" w:rsidP="00192F64">
      <w:pPr>
        <w:rPr>
          <w:color w:val="000000" w:themeColor="text1"/>
        </w:rPr>
      </w:pPr>
    </w:p>
    <w:p w14:paraId="0ACFB7BA" w14:textId="77777777" w:rsidR="00192F64" w:rsidRPr="00192F64" w:rsidRDefault="00192F64" w:rsidP="00192F64">
      <w:pPr>
        <w:rPr>
          <w:color w:val="000000" w:themeColor="text1"/>
        </w:rPr>
      </w:pPr>
      <w:r w:rsidRPr="00192F64">
        <w:rPr>
          <w:color w:val="000000" w:themeColor="text1"/>
        </w:rPr>
        <w:t>Ministrstvo za delo, družino, socialne zadeve in enake možnosti ocenjuje letno poročilo Zavoda za leto 2025 kot pozitivno in meni, da je pripravljeno ustrezno in da lahko služi kot podlaga za analiziranje stanja in ugotavljanja trendov na področju obveznega pokojninskega in invalidskega zavarovanja.</w:t>
      </w:r>
    </w:p>
    <w:p w14:paraId="5DC8201A" w14:textId="77777777" w:rsidR="00192F64" w:rsidRPr="00192F64" w:rsidRDefault="00192F64" w:rsidP="00192F64">
      <w:pPr>
        <w:rPr>
          <w:color w:val="000000" w:themeColor="text1"/>
        </w:rPr>
      </w:pPr>
    </w:p>
    <w:p w14:paraId="618474DD" w14:textId="77777777" w:rsidR="00192F64" w:rsidRPr="00572F3A" w:rsidRDefault="00192F64" w:rsidP="00192F64">
      <w:pPr>
        <w:rPr>
          <w:color w:val="000000" w:themeColor="text1"/>
        </w:rPr>
      </w:pPr>
      <w:r w:rsidRPr="00572F3A">
        <w:rPr>
          <w:color w:val="000000" w:themeColor="text1"/>
        </w:rPr>
        <w:t>Pomembnejše ugotovitve, ki izhajajo iz Letnega poročila za leto 2025, so naslednje:</w:t>
      </w:r>
    </w:p>
    <w:p w14:paraId="31841FF2" w14:textId="77777777" w:rsidR="00192F64" w:rsidRPr="00192F64" w:rsidRDefault="00192F64" w:rsidP="00192F64">
      <w:pPr>
        <w:rPr>
          <w:color w:val="000000" w:themeColor="text1"/>
        </w:rPr>
      </w:pPr>
    </w:p>
    <w:p w14:paraId="34CA62B4" w14:textId="77777777" w:rsidR="00192F64" w:rsidRPr="00192F64" w:rsidRDefault="00192F64" w:rsidP="00192F64">
      <w:pPr>
        <w:numPr>
          <w:ilvl w:val="0"/>
          <w:numId w:val="23"/>
        </w:numPr>
        <w:rPr>
          <w:color w:val="000000" w:themeColor="text1"/>
        </w:rPr>
      </w:pPr>
      <w:r w:rsidRPr="00192F64">
        <w:rPr>
          <w:color w:val="000000" w:themeColor="text1"/>
        </w:rPr>
        <w:t>Po podatkih Statističnega urada Republike Slovenije je bilo konec septembra 2025 v RS 2.133.852 prebivalcev. Delež uživalcev pokojnin iz obveznega zavarovanja v številu prebivalcev RS je v istem obdobju znašal 30,7 odstotka, kar je 0,4 odstotne točke več kot konec septembra 2024.</w:t>
      </w:r>
    </w:p>
    <w:p w14:paraId="53395A6C" w14:textId="77777777" w:rsidR="00192F64" w:rsidRPr="00192F64" w:rsidRDefault="00192F64" w:rsidP="00192F64">
      <w:pPr>
        <w:rPr>
          <w:color w:val="000000" w:themeColor="text1"/>
        </w:rPr>
      </w:pPr>
    </w:p>
    <w:p w14:paraId="5A4EC291" w14:textId="77777777" w:rsidR="00192F64" w:rsidRPr="00192F64" w:rsidRDefault="00192F64" w:rsidP="00192F64">
      <w:pPr>
        <w:numPr>
          <w:ilvl w:val="0"/>
          <w:numId w:val="23"/>
        </w:numPr>
        <w:rPr>
          <w:color w:val="000000" w:themeColor="text1"/>
        </w:rPr>
      </w:pPr>
      <w:r w:rsidRPr="00192F64">
        <w:rPr>
          <w:color w:val="000000" w:themeColor="text1"/>
        </w:rPr>
        <w:t xml:space="preserve">V letu 2025 je bilo povprečno 653.376 uživalcev starostne, predčasne, delne, invalidske, družinske in vdovske pokojnine iz obveznega zavarovanja, kar je 10.066 uživalcev oziroma 1,6 odstotka več kot v letu 2024. Ta stopnja rasti je višja, kot so znašale stopnje rasti v preteklih devetih letih (2016–2024). </w:t>
      </w:r>
    </w:p>
    <w:p w14:paraId="1A8B0CA5" w14:textId="77777777" w:rsidR="00192F64" w:rsidRPr="00192F64" w:rsidRDefault="00192F64" w:rsidP="00192F64">
      <w:pPr>
        <w:rPr>
          <w:color w:val="000000" w:themeColor="text1"/>
        </w:rPr>
      </w:pPr>
    </w:p>
    <w:p w14:paraId="6370D2DB" w14:textId="77777777" w:rsidR="00192F64" w:rsidRPr="00192F64" w:rsidRDefault="00192F64" w:rsidP="00192F64">
      <w:pPr>
        <w:numPr>
          <w:ilvl w:val="0"/>
          <w:numId w:val="23"/>
        </w:numPr>
        <w:rPr>
          <w:color w:val="000000" w:themeColor="text1"/>
        </w:rPr>
      </w:pPr>
      <w:r w:rsidRPr="00192F64">
        <w:rPr>
          <w:color w:val="000000" w:themeColor="text1"/>
        </w:rPr>
        <w:t xml:space="preserve">V strukturi vseh uživalcev pokojnin iz obveznega zavarovanja glede na vrsto pokojnine so v letu 2025 največji delež predstavljali uživalci starostne pokojnine (76 odstotkov), sledili so uživalci invalidske in vdovske pokojnine (obe skupini po 9,9 odstotka), družinske pokojnine (3,3 odstotka) in delne pokojnine (0,9 odstotka). </w:t>
      </w:r>
    </w:p>
    <w:p w14:paraId="7A560F3F" w14:textId="77777777" w:rsidR="00192F64" w:rsidRPr="00192F64" w:rsidRDefault="00192F64" w:rsidP="00192F64">
      <w:pPr>
        <w:rPr>
          <w:color w:val="000000" w:themeColor="text1"/>
        </w:rPr>
      </w:pPr>
    </w:p>
    <w:p w14:paraId="5293CF1C" w14:textId="77777777" w:rsidR="00192F64" w:rsidRPr="00192F64" w:rsidRDefault="00192F64" w:rsidP="00192F64">
      <w:pPr>
        <w:numPr>
          <w:ilvl w:val="0"/>
          <w:numId w:val="23"/>
        </w:numPr>
        <w:rPr>
          <w:color w:val="000000" w:themeColor="text1"/>
        </w:rPr>
      </w:pPr>
      <w:r w:rsidRPr="00192F64">
        <w:rPr>
          <w:color w:val="000000" w:themeColor="text1"/>
        </w:rPr>
        <w:t>Razmerje med številom zavarovancev in uživalcev pravic iz obveznega zavarovanja je v letu 2025 znašalo 1,53 in se je v primerjavi z letom 2024 zmanjšalo.</w:t>
      </w:r>
    </w:p>
    <w:p w14:paraId="0B7D3C51" w14:textId="77777777" w:rsidR="00192F64" w:rsidRPr="00192F64" w:rsidRDefault="00192F64" w:rsidP="00192F64">
      <w:pPr>
        <w:rPr>
          <w:color w:val="000000" w:themeColor="text1"/>
        </w:rPr>
      </w:pPr>
    </w:p>
    <w:p w14:paraId="5E7FAC6A" w14:textId="77777777" w:rsidR="00192F64" w:rsidRPr="00192F64" w:rsidRDefault="00192F64" w:rsidP="00192F64">
      <w:pPr>
        <w:numPr>
          <w:ilvl w:val="0"/>
          <w:numId w:val="23"/>
        </w:numPr>
        <w:rPr>
          <w:color w:val="000000" w:themeColor="text1"/>
        </w:rPr>
      </w:pPr>
      <w:r w:rsidRPr="00192F64">
        <w:rPr>
          <w:color w:val="000000" w:themeColor="text1"/>
        </w:rPr>
        <w:t>V povprečju so bili ob koncu leta 2025 uživalci starostne pokojnine, stari 73 let, in sicer ženske 73 let in 1 mesec, moški pa 72 let in 11 mesecev.</w:t>
      </w:r>
    </w:p>
    <w:p w14:paraId="6306592A" w14:textId="77777777" w:rsidR="00192F64" w:rsidRPr="00192F64" w:rsidRDefault="00192F64" w:rsidP="00192F64">
      <w:pPr>
        <w:rPr>
          <w:color w:val="000000" w:themeColor="text1"/>
        </w:rPr>
      </w:pPr>
    </w:p>
    <w:p w14:paraId="0597875D" w14:textId="77777777" w:rsidR="00192F64" w:rsidRPr="00192F64" w:rsidRDefault="00192F64" w:rsidP="00192F64">
      <w:pPr>
        <w:numPr>
          <w:ilvl w:val="0"/>
          <w:numId w:val="23"/>
        </w:numPr>
        <w:rPr>
          <w:color w:val="000000" w:themeColor="text1"/>
        </w:rPr>
      </w:pPr>
      <w:r w:rsidRPr="00192F64">
        <w:rPr>
          <w:color w:val="000000" w:themeColor="text1"/>
        </w:rPr>
        <w:t>Povprečna starost novih uživalcev starostnih pokojnin se je po začasnih podatkih v letu 2025 pri ženskah znižala za 2 meseca, in sicer je znašala 61 let in 9 mesecev, pri moških pa je ostala enaka kot leta 2024, in sicer je znašala 62 let in 10 mesecev.</w:t>
      </w:r>
    </w:p>
    <w:p w14:paraId="2130ABDE" w14:textId="77777777" w:rsidR="00192F64" w:rsidRPr="00192F64" w:rsidRDefault="00192F64" w:rsidP="00192F64">
      <w:pPr>
        <w:rPr>
          <w:color w:val="000000" w:themeColor="text1"/>
        </w:rPr>
      </w:pPr>
    </w:p>
    <w:p w14:paraId="633E1626" w14:textId="77777777" w:rsidR="00192F64" w:rsidRPr="00192F64" w:rsidRDefault="00192F64" w:rsidP="00192F64">
      <w:pPr>
        <w:numPr>
          <w:ilvl w:val="0"/>
          <w:numId w:val="23"/>
        </w:numPr>
        <w:rPr>
          <w:color w:val="000000" w:themeColor="text1"/>
        </w:rPr>
      </w:pPr>
      <w:r w:rsidRPr="00192F64">
        <w:rPr>
          <w:color w:val="000000" w:themeColor="text1"/>
        </w:rPr>
        <w:t>V letu 2025 so ženske uveljavile starostno pokojnino (vključno z delnimi) v povprečju z 38 leti in 3 meseci, moški pa s 37 leti in 2 mesecema dopolnjene pokojninske dobe, kar predstavlja v primerjavi z letom 2024 pri ženskah znižanje za 11 mesecev, pri moških pa za 1 leto in 3 mesece. Z dopolnjenimi 40 ali več leti pokojninske dobe je pokojnino uveljavilo 76,5 odstotka žensk (81,4 odstotka v letu 2024) in 67,8 odstotka moških (75,9 odstotka v letu 2024).</w:t>
      </w:r>
    </w:p>
    <w:p w14:paraId="5FE499FA" w14:textId="77777777" w:rsidR="00192F64" w:rsidRPr="00192F64" w:rsidRDefault="00192F64" w:rsidP="00192F64">
      <w:pPr>
        <w:rPr>
          <w:color w:val="000000" w:themeColor="text1"/>
        </w:rPr>
      </w:pPr>
    </w:p>
    <w:p w14:paraId="5FF3F46B" w14:textId="77777777" w:rsidR="00192F64" w:rsidRPr="00192F64" w:rsidRDefault="00192F64" w:rsidP="00192F64">
      <w:pPr>
        <w:numPr>
          <w:ilvl w:val="0"/>
          <w:numId w:val="23"/>
        </w:numPr>
        <w:rPr>
          <w:color w:val="000000" w:themeColor="text1"/>
        </w:rPr>
      </w:pPr>
      <w:r w:rsidRPr="00192F64">
        <w:rPr>
          <w:color w:val="000000" w:themeColor="text1"/>
        </w:rPr>
        <w:t xml:space="preserve">Ena od bistvenih sprememb, ki jo je prinesla novela ZPIZ-2G, se nanaša na urejanje dvojnega statusa, in sicer so s 1. januarjem 2020 tisti zavarovanci, ki so izpolnjevali pogoje za starostno pokojnino, namesto dotedanjih 20 odstotkov dobili izplačilo v višini 40 odstotkov, ki pa je omejeno na največ tri leta nadaljnje vključenosti v obvezno zavarovanje za polni delovni ali zavarovalni čas, nato pa je zavarovanec upravičen do 20 odstotkov starostne pokojnine vse do prenehanja obveznega zavarovanja s polnim delovnim oziroma zavarovalnim časom. Povprečno število uživalcev dela starostne ali predčasne pokojnine se je v letu 2025 v primerjavi z letom 2024 povečalo za 5 odstotkov, na 21.217 uživalcev. Med njimi je bilo 45,1 odstotka žensk in 54,9 odstotka moških. Od tega jih je bilo 56,6 odstotka iz zasebnega sektorja, 43,2 odstotka iz javnega sektorja, ostali (0,2 odstotka) so imeli kombinacijo obeh sektorjev. </w:t>
      </w:r>
    </w:p>
    <w:p w14:paraId="2CF49C97" w14:textId="77777777" w:rsidR="00192F64" w:rsidRPr="00192F64" w:rsidRDefault="00192F64" w:rsidP="00192F64">
      <w:pPr>
        <w:rPr>
          <w:color w:val="000000" w:themeColor="text1"/>
        </w:rPr>
      </w:pPr>
    </w:p>
    <w:p w14:paraId="3F282007" w14:textId="77777777" w:rsidR="00192F64" w:rsidRPr="00192F64" w:rsidRDefault="00192F64" w:rsidP="00192F64">
      <w:pPr>
        <w:numPr>
          <w:ilvl w:val="0"/>
          <w:numId w:val="23"/>
        </w:numPr>
        <w:rPr>
          <w:color w:val="000000" w:themeColor="text1"/>
        </w:rPr>
      </w:pPr>
      <w:r w:rsidRPr="00192F64">
        <w:rPr>
          <w:color w:val="000000" w:themeColor="text1"/>
        </w:rPr>
        <w:t xml:space="preserve">Delež odhodkov za pokojnine iz obveznega zavarovanja v BDP se je z 9,89 odstotka v letu 2024 zvišal na 10,41 odstotka v letu 2025, predvsem iz razloga, ker je bila rast odhodkov za pokojnine višja od nominalne rasti BDP. </w:t>
      </w:r>
    </w:p>
    <w:p w14:paraId="016177DA" w14:textId="77777777" w:rsidR="00192F64" w:rsidRPr="00192F64" w:rsidRDefault="00192F64" w:rsidP="00192F64">
      <w:pPr>
        <w:rPr>
          <w:color w:val="000000" w:themeColor="text1"/>
        </w:rPr>
      </w:pPr>
    </w:p>
    <w:p w14:paraId="133F885E" w14:textId="77777777" w:rsidR="00192F64" w:rsidRPr="00192F64" w:rsidRDefault="00192F64" w:rsidP="00192F64">
      <w:pPr>
        <w:numPr>
          <w:ilvl w:val="0"/>
          <w:numId w:val="23"/>
        </w:numPr>
        <w:rPr>
          <w:color w:val="000000" w:themeColor="text1"/>
        </w:rPr>
      </w:pPr>
      <w:r w:rsidRPr="00192F64">
        <w:rPr>
          <w:color w:val="000000" w:themeColor="text1"/>
        </w:rPr>
        <w:t xml:space="preserve">V primerjavi z letom 2024 so bili skupni prihodki Zavoda nominalno višji za 6,7 odstotka oziroma realno višji za 4,2 odstotka (povprečna letna inflacija je znašala 2,4 odstotka). </w:t>
      </w:r>
    </w:p>
    <w:p w14:paraId="075F2B09" w14:textId="77777777" w:rsidR="00192F64" w:rsidRPr="00192F64" w:rsidRDefault="00192F64" w:rsidP="00192F64">
      <w:pPr>
        <w:rPr>
          <w:color w:val="000000" w:themeColor="text1"/>
        </w:rPr>
      </w:pPr>
    </w:p>
    <w:p w14:paraId="6902AFAD" w14:textId="77777777" w:rsidR="00192F64" w:rsidRPr="00192F64" w:rsidRDefault="00192F64" w:rsidP="00192F64">
      <w:pPr>
        <w:numPr>
          <w:ilvl w:val="0"/>
          <w:numId w:val="23"/>
        </w:numPr>
        <w:rPr>
          <w:color w:val="000000" w:themeColor="text1"/>
        </w:rPr>
      </w:pPr>
      <w:r w:rsidRPr="00192F64">
        <w:rPr>
          <w:color w:val="000000" w:themeColor="text1"/>
        </w:rPr>
        <w:t>Zavod je v letu 2025 iz državnega proračuna RS prejel skupaj 1.520.832.109 evrov, kar je za 7,1 odstotka oziroma 100,8 milijona evrov več, kot je bilo načrtovano v Finančnem načrtu Zavoda za leto 2025.</w:t>
      </w:r>
    </w:p>
    <w:p w14:paraId="271A7945" w14:textId="77777777" w:rsidR="00192F64" w:rsidRPr="00192F64" w:rsidRDefault="00192F64" w:rsidP="00192F64">
      <w:pPr>
        <w:rPr>
          <w:color w:val="000000" w:themeColor="text1"/>
        </w:rPr>
      </w:pPr>
    </w:p>
    <w:p w14:paraId="3DAB2023" w14:textId="77777777" w:rsidR="00192F64" w:rsidRPr="00192F64" w:rsidRDefault="00192F64" w:rsidP="00192F64">
      <w:pPr>
        <w:numPr>
          <w:ilvl w:val="0"/>
          <w:numId w:val="23"/>
        </w:numPr>
        <w:rPr>
          <w:color w:val="000000" w:themeColor="text1"/>
        </w:rPr>
      </w:pPr>
      <w:bookmarkStart w:id="0" w:name="_Hlk131749651"/>
      <w:r w:rsidRPr="00192F64">
        <w:rPr>
          <w:color w:val="000000" w:themeColor="text1"/>
        </w:rPr>
        <w:t xml:space="preserve">V letu 2025 so se pokojnine in drugi prejemki redno uskladili za 4,5 odstotka. Uskladitev je bila izvedena 28. februarja 2025 z izplačilom februarskih pokojnin ter z veljavnostjo od 1. januarja 2025 in poračunom za januar tega leta. </w:t>
      </w:r>
    </w:p>
    <w:p w14:paraId="68FCB0E9" w14:textId="77777777" w:rsidR="00192F64" w:rsidRPr="00192F64" w:rsidRDefault="00192F64" w:rsidP="00192F64">
      <w:pPr>
        <w:rPr>
          <w:color w:val="000000" w:themeColor="text1"/>
        </w:rPr>
      </w:pPr>
    </w:p>
    <w:bookmarkEnd w:id="0"/>
    <w:p w14:paraId="411BBE73" w14:textId="77777777" w:rsidR="00192F64" w:rsidRPr="00192F64" w:rsidRDefault="00192F64" w:rsidP="00192F64">
      <w:pPr>
        <w:numPr>
          <w:ilvl w:val="0"/>
          <w:numId w:val="23"/>
        </w:numPr>
        <w:rPr>
          <w:color w:val="000000" w:themeColor="text1"/>
        </w:rPr>
      </w:pPr>
      <w:r w:rsidRPr="00192F64">
        <w:rPr>
          <w:color w:val="000000" w:themeColor="text1"/>
        </w:rPr>
        <w:t xml:space="preserve">Zneski dodatka za pomoč in postrežbo (DPP) so se od 1. januarja 2025 do 28. februarja 2025 izplačevali še v skladu s Sklepom o uskladitvi in zneskih dodatka za pomoč in postrežbo od 1. marca 2024, po katerem je DPP za opravljanje vseh osnovnih življenjskih potreb znašal 361,69 evra, za opravljanje večine osnovnih življenjskih potreb 180,85 evra, za najtežje kategorije upravičencev pa 518,66 evra. Po uskladitvi za 1,9 odstotka s 1. marcem 2025 pa je znesek DPP za opravljanje vseh osnovnih življenjskih potreb znašal 368,56 evra, za opravljanje večine osnovnih življenjskih potreb 184,29 evra, za najtežje kategorije upravičencev pa 528,51 evra. </w:t>
      </w:r>
    </w:p>
    <w:p w14:paraId="60661984" w14:textId="77777777" w:rsidR="00192F64" w:rsidRPr="00192F64" w:rsidRDefault="00192F64" w:rsidP="00192F64">
      <w:pPr>
        <w:rPr>
          <w:color w:val="000000" w:themeColor="text1"/>
        </w:rPr>
      </w:pPr>
    </w:p>
    <w:p w14:paraId="47EDD1B1" w14:textId="77777777" w:rsidR="00192F64" w:rsidRPr="00192F64" w:rsidRDefault="00192F64" w:rsidP="00192F64">
      <w:pPr>
        <w:numPr>
          <w:ilvl w:val="0"/>
          <w:numId w:val="23"/>
        </w:numPr>
        <w:rPr>
          <w:color w:val="000000" w:themeColor="text1"/>
        </w:rPr>
      </w:pPr>
      <w:r w:rsidRPr="00192F64">
        <w:rPr>
          <w:color w:val="000000" w:themeColor="text1"/>
        </w:rPr>
        <w:t xml:space="preserve">Do letnega dodatka so bili v letu 2025 v skladu z ZIPRS2526 ponovno upravičeni vsi upokojenci in uživalci nadomestil iz invalidskega zavarovanja, in sicer v petih različnih zneskih, pri čemer so se v primerjavi z letom 2024 spremenile višine in mejni zneski za izplačilo letnega dodatka. </w:t>
      </w:r>
    </w:p>
    <w:p w14:paraId="09924CFE" w14:textId="77777777" w:rsidR="00192F64" w:rsidRPr="00192F64" w:rsidRDefault="00192F64" w:rsidP="00192F64">
      <w:pPr>
        <w:rPr>
          <w:color w:val="000000" w:themeColor="text1"/>
        </w:rPr>
      </w:pPr>
    </w:p>
    <w:p w14:paraId="4CA07002" w14:textId="77777777" w:rsidR="00192F64" w:rsidRPr="00192F64" w:rsidRDefault="00192F64" w:rsidP="00192F64">
      <w:pPr>
        <w:numPr>
          <w:ilvl w:val="0"/>
          <w:numId w:val="23"/>
        </w:numPr>
        <w:rPr>
          <w:color w:val="000000" w:themeColor="text1"/>
        </w:rPr>
      </w:pPr>
      <w:r w:rsidRPr="00192F64">
        <w:rPr>
          <w:color w:val="000000" w:themeColor="text1"/>
        </w:rPr>
        <w:lastRenderedPageBreak/>
        <w:t xml:space="preserve">Na podlagi Zakona o izplačilu zimskega regresa ter prenovi ugotavljanja davčne osnove z upoštevanjem normiranih odhodkov, ki je v veljavi od 20. novembra 2025, je Zavod uživalcem pokojnin in nadomestil iz invalidskega zavarovanja, ki so bili upravičeni do letnega dodatka za leto 2025, izplačal zimski dodatek v višini 150 evrov. </w:t>
      </w:r>
    </w:p>
    <w:p w14:paraId="41F5DE5C" w14:textId="77777777" w:rsidR="00192F64" w:rsidRPr="00192F64" w:rsidRDefault="00192F64" w:rsidP="00192F64">
      <w:pPr>
        <w:rPr>
          <w:color w:val="000000" w:themeColor="text1"/>
        </w:rPr>
      </w:pPr>
      <w:bookmarkStart w:id="1" w:name="_Hlk131749967"/>
    </w:p>
    <w:p w14:paraId="10603CE7" w14:textId="77777777" w:rsidR="00192F64" w:rsidRPr="00192F64" w:rsidRDefault="00192F64" w:rsidP="00192F64">
      <w:pPr>
        <w:numPr>
          <w:ilvl w:val="0"/>
          <w:numId w:val="23"/>
        </w:numPr>
        <w:rPr>
          <w:color w:val="000000" w:themeColor="text1"/>
        </w:rPr>
      </w:pPr>
      <w:r w:rsidRPr="00192F64">
        <w:rPr>
          <w:color w:val="000000" w:themeColor="text1"/>
        </w:rPr>
        <w:t>Najnižja starostna oziroma invalidska pokojnina uživalca, ki je dopolnil pokojninsko dobo, predpisano za pridobitev pravice do starostne pokojnine pri najnižji starosti, to je zagotovljena pokojnina, je od 1. januarja 2025 znašala 781,94 evra. Do zagotovljene pokojnine je bilo v decembru 2025 upravičenih 83.810 uživalcev starostne in invalidske pokojnine, od tega 75.838 uživalcev starostne pokojnine (43.847 žensk in 31.991 moških) in 7.972 uživalcev invalidske pokojnine (4.913 žensk in 3.059 moških).</w:t>
      </w:r>
    </w:p>
    <w:p w14:paraId="570D1659" w14:textId="77777777" w:rsidR="00192F64" w:rsidRPr="00192F64" w:rsidRDefault="00192F64" w:rsidP="00192F64">
      <w:pPr>
        <w:rPr>
          <w:color w:val="000000" w:themeColor="text1"/>
        </w:rPr>
      </w:pPr>
    </w:p>
    <w:p w14:paraId="2C1F4985" w14:textId="77777777" w:rsidR="00192F64" w:rsidRPr="00192F64" w:rsidRDefault="00192F64" w:rsidP="00192F64">
      <w:pPr>
        <w:numPr>
          <w:ilvl w:val="0"/>
          <w:numId w:val="23"/>
        </w:numPr>
        <w:rPr>
          <w:color w:val="000000" w:themeColor="text1"/>
        </w:rPr>
      </w:pPr>
      <w:r w:rsidRPr="00192F64">
        <w:rPr>
          <w:color w:val="000000" w:themeColor="text1"/>
        </w:rPr>
        <w:t xml:space="preserve">Najnižja pokojninska osnova, veljavna od 1. januarja 2025, je znašala 1.219,95 evra in je bila v primerjavi z letom 2024 povprečno višja za 1,4 odstotka. Najvišja pokojninska osnova, ki je enaka štirikratniku najnižje pokojninske osnove, je znašala 4.879,80 evra. </w:t>
      </w:r>
    </w:p>
    <w:p w14:paraId="47545074" w14:textId="77777777" w:rsidR="00192F64" w:rsidRPr="00192F64" w:rsidRDefault="00192F64" w:rsidP="00192F64">
      <w:pPr>
        <w:rPr>
          <w:color w:val="000000" w:themeColor="text1"/>
        </w:rPr>
      </w:pPr>
    </w:p>
    <w:bookmarkEnd w:id="1"/>
    <w:p w14:paraId="089F4384" w14:textId="77777777" w:rsidR="00192F64" w:rsidRPr="00192F64" w:rsidRDefault="00192F64" w:rsidP="00192F64">
      <w:pPr>
        <w:numPr>
          <w:ilvl w:val="0"/>
          <w:numId w:val="23"/>
        </w:numPr>
        <w:rPr>
          <w:color w:val="000000" w:themeColor="text1"/>
        </w:rPr>
      </w:pPr>
      <w:r w:rsidRPr="00192F64">
        <w:rPr>
          <w:color w:val="000000" w:themeColor="text1"/>
        </w:rPr>
        <w:t xml:space="preserve">Povprečna mesečna bruto starostna pokojnina brez uživalcev sorazmernega dela pokojnine in uživalcev delne pokojnine </w:t>
      </w:r>
      <w:bookmarkStart w:id="2" w:name="_Hlk131749194"/>
      <w:r w:rsidRPr="00192F64">
        <w:rPr>
          <w:color w:val="000000" w:themeColor="text1"/>
        </w:rPr>
        <w:t>je v letu 2025 znašala 1.077,24 evra, kar je za 5,7 odstotka več v primerjavi z letom 2024. Povprečna bruto starostna pokojnina z dopolnjenimi 40 ali več leti pokojninske dobe (brez sorazmernih delov pokojnin in delnih pokojnin) je v letu 2025 znašala 1.176,11 evra in je bila v primerjavi s predhodnim letom višja za 4,9 odstotka.</w:t>
      </w:r>
    </w:p>
    <w:bookmarkEnd w:id="2"/>
    <w:p w14:paraId="60EDDC78" w14:textId="77777777" w:rsidR="00192F64" w:rsidRPr="00192F64" w:rsidRDefault="00192F64" w:rsidP="00192F64">
      <w:pPr>
        <w:rPr>
          <w:color w:val="000000" w:themeColor="text1"/>
        </w:rPr>
      </w:pPr>
    </w:p>
    <w:p w14:paraId="094EA10C" w14:textId="41CAAAEA" w:rsidR="008327A9" w:rsidRPr="00192F64" w:rsidRDefault="00192F64" w:rsidP="00192F64">
      <w:pPr>
        <w:numPr>
          <w:ilvl w:val="0"/>
          <w:numId w:val="23"/>
        </w:numPr>
        <w:rPr>
          <w:color w:val="000000" w:themeColor="text1"/>
        </w:rPr>
      </w:pPr>
      <w:r w:rsidRPr="00192F64">
        <w:rPr>
          <w:color w:val="000000" w:themeColor="text1"/>
        </w:rPr>
        <w:t xml:space="preserve">V letu 2025 je bilo iz naslova začasnega in občasnega dela študentov in dijakov v pokojninsko blagajno vplačanih za </w:t>
      </w:r>
      <w:bookmarkStart w:id="3" w:name="_Hlk131749254"/>
      <w:r w:rsidRPr="00192F64">
        <w:rPr>
          <w:color w:val="000000" w:themeColor="text1"/>
        </w:rPr>
        <w:t xml:space="preserve">88.922.172 </w:t>
      </w:r>
      <w:bookmarkEnd w:id="3"/>
      <w:r w:rsidRPr="00192F64">
        <w:rPr>
          <w:color w:val="000000" w:themeColor="text1"/>
        </w:rPr>
        <w:t xml:space="preserve">evrov prispevkov za pokojninsko in invalidsko zavarovanje (v primerjavi s 83.159.600 evri v letu 2024). Po podatkih Finančne uprave Republike Slovenije je v letu 2025 prispevke v okviru študentskega dela vplačevalo </w:t>
      </w:r>
      <w:bookmarkStart w:id="4" w:name="_Hlk131749300"/>
      <w:bookmarkStart w:id="5" w:name="_Hlk194065544"/>
      <w:r w:rsidRPr="00192F64">
        <w:rPr>
          <w:color w:val="000000" w:themeColor="text1"/>
        </w:rPr>
        <w:t>105.</w:t>
      </w:r>
      <w:bookmarkEnd w:id="4"/>
      <w:r w:rsidRPr="00192F64">
        <w:rPr>
          <w:color w:val="000000" w:themeColor="text1"/>
        </w:rPr>
        <w:t xml:space="preserve">463 </w:t>
      </w:r>
      <w:bookmarkEnd w:id="5"/>
      <w:r w:rsidRPr="00192F64">
        <w:rPr>
          <w:color w:val="000000" w:themeColor="text1"/>
        </w:rPr>
        <w:t>oseb, ki so v povprečju pridobile 2 meseca in 20 dni pokojninske dobe.</w:t>
      </w:r>
    </w:p>
    <w:p w14:paraId="30C2E1DD" w14:textId="170BA7AE" w:rsidR="00192F64" w:rsidRPr="00192F64" w:rsidRDefault="00192F64" w:rsidP="00192F64">
      <w:pPr>
        <w:pStyle w:val="Vir"/>
      </w:pPr>
      <w:r w:rsidRPr="00192F64">
        <w:t xml:space="preserve">Vir: </w:t>
      </w:r>
      <w:r>
        <w:t>Ministrstvo za delo, družino, socialne zadeve in enake možnosti</w:t>
      </w:r>
    </w:p>
    <w:p w14:paraId="65797A32" w14:textId="0A8414CC" w:rsidR="00F9283D" w:rsidRPr="00F9283D" w:rsidRDefault="00F9283D" w:rsidP="00F9283D">
      <w:pPr>
        <w:pStyle w:val="Naslov2"/>
      </w:pPr>
      <w:r w:rsidRPr="00F9283D">
        <w:rPr>
          <w:lang w:eastAsia="sl-SI"/>
        </w:rPr>
        <w:t>Poročilo o izvedbi strateških usmeritev in prioritet inšpektoratov oziroma inšpekcij v letu 2025</w:t>
      </w:r>
    </w:p>
    <w:p w14:paraId="59E503A9" w14:textId="77777777" w:rsidR="00F9283D" w:rsidRPr="00F9283D" w:rsidRDefault="00F9283D" w:rsidP="00F9283D">
      <w:pPr>
        <w:pStyle w:val="Neotevilenodstavek"/>
        <w:spacing w:before="0" w:after="0" w:line="240" w:lineRule="auto"/>
        <w:textAlignment w:val="auto"/>
        <w:rPr>
          <w:iCs/>
          <w:color w:val="000000" w:themeColor="text1"/>
          <w:sz w:val="20"/>
          <w:szCs w:val="20"/>
        </w:rPr>
      </w:pPr>
      <w:r w:rsidRPr="00F9283D">
        <w:rPr>
          <w:iCs/>
          <w:color w:val="000000" w:themeColor="text1"/>
          <w:sz w:val="20"/>
          <w:szCs w:val="20"/>
        </w:rPr>
        <w:t>Vlada se je seznanila s Poročilom o izvedbi strateških usmeritev in prioritet inšpektoratov oziroma inšpekcij v letu 2025.</w:t>
      </w:r>
    </w:p>
    <w:p w14:paraId="41CA53BF" w14:textId="77777777" w:rsidR="00F9283D" w:rsidRPr="00F9283D" w:rsidRDefault="00F9283D" w:rsidP="00F9283D">
      <w:pPr>
        <w:pStyle w:val="Neotevilenodstavek"/>
        <w:spacing w:before="0" w:after="0" w:line="240" w:lineRule="auto"/>
        <w:textAlignment w:val="auto"/>
        <w:rPr>
          <w:iCs/>
          <w:color w:val="000000" w:themeColor="text1"/>
          <w:sz w:val="20"/>
          <w:szCs w:val="20"/>
        </w:rPr>
      </w:pPr>
    </w:p>
    <w:p w14:paraId="1032376F" w14:textId="13A0A0ED" w:rsidR="008327A9" w:rsidRPr="008B4A82" w:rsidRDefault="00F9283D" w:rsidP="008B4A82">
      <w:pPr>
        <w:overflowPunct w:val="0"/>
        <w:autoSpaceDE w:val="0"/>
        <w:autoSpaceDN w:val="0"/>
        <w:adjustRightInd w:val="0"/>
        <w:spacing w:line="240" w:lineRule="auto"/>
        <w:jc w:val="both"/>
        <w:textAlignment w:val="baseline"/>
        <w:rPr>
          <w:iCs/>
          <w:color w:val="000000" w:themeColor="text1"/>
          <w:szCs w:val="20"/>
        </w:rPr>
      </w:pPr>
      <w:r w:rsidRPr="00F9283D">
        <w:rPr>
          <w:color w:val="000000" w:themeColor="text1"/>
          <w:szCs w:val="20"/>
        </w:rPr>
        <w:t xml:space="preserve">Ministrstvo za javno upravo je, v skladu s sklepom vlade in </w:t>
      </w:r>
      <w:r w:rsidRPr="00F9283D">
        <w:rPr>
          <w:rFonts w:eastAsiaTheme="minorHAnsi" w:cs="Arial"/>
          <w:color w:val="000000" w:themeColor="text1"/>
          <w:szCs w:val="20"/>
        </w:rPr>
        <w:t xml:space="preserve">na podlagi podatkov, ki so jih poslali inšpekcijski organi oziroma inšpekcije, ministrstva in Urad Vlade Republike Slovenije za informacijsko varnost, pripravilo skupno poročilo. To zajema poročila posameznih inšpekcijskih organov oziroma inšpekcij glede sistemskih inšpekcijskih nadzorov, prioritetnih inšpekcijskih nadzorov na osnovi prejetih pobud in prijav, inšpekcijskih nadzorov na podlagi ostalih prejetih pobud in prijav, ki niso bili določeni kot prioritetni, prekrškovnih postopkov in skupnih inšpekcijskih nadzorov oziroma sodelovanja. K poročilom so dodane tudi ocene o izvedbi. </w:t>
      </w:r>
      <w:r w:rsidRPr="00F9283D">
        <w:rPr>
          <w:rFonts w:cs="Arial"/>
          <w:color w:val="000000" w:themeColor="text1"/>
          <w:szCs w:val="20"/>
        </w:rPr>
        <w:t xml:space="preserve">Dokument bo objavljen </w:t>
      </w:r>
      <w:hyperlink r:id="rId13" w:history="1">
        <w:r w:rsidRPr="00F9283D">
          <w:rPr>
            <w:rStyle w:val="Hiperpovezava"/>
            <w:rFonts w:cs="Arial"/>
            <w:color w:val="000000" w:themeColor="text1"/>
            <w:szCs w:val="20"/>
          </w:rPr>
          <w:t>na spletnem mestu GOV.SI</w:t>
        </w:r>
      </w:hyperlink>
      <w:r w:rsidRPr="00F9283D">
        <w:rPr>
          <w:rFonts w:cs="Arial"/>
          <w:color w:val="000000" w:themeColor="text1"/>
          <w:szCs w:val="20"/>
        </w:rPr>
        <w:t>.</w:t>
      </w:r>
    </w:p>
    <w:p w14:paraId="5DCEDB76" w14:textId="14CB8A2F" w:rsidR="00F9283D" w:rsidRPr="00F9283D" w:rsidRDefault="00F9283D" w:rsidP="00F9283D">
      <w:pPr>
        <w:pStyle w:val="Vir"/>
      </w:pPr>
      <w:r w:rsidRPr="00F9283D">
        <w:t>Vir: Ministrstvo za javno upravo</w:t>
      </w:r>
    </w:p>
    <w:p w14:paraId="48DE4CCE" w14:textId="59C37538" w:rsidR="002B710E" w:rsidRPr="002B710E" w:rsidRDefault="002B710E" w:rsidP="002B710E">
      <w:pPr>
        <w:pStyle w:val="Naslov2"/>
      </w:pPr>
      <w:r w:rsidRPr="002B710E">
        <w:t>Vlada prerazporedila proračunska sredstva</w:t>
      </w:r>
    </w:p>
    <w:p w14:paraId="7FE463AE" w14:textId="4DD4C63D" w:rsidR="002B710E" w:rsidRPr="002B710E" w:rsidRDefault="002B710E" w:rsidP="002B710E">
      <w:pPr>
        <w:rPr>
          <w:color w:val="000000" w:themeColor="text1"/>
        </w:rPr>
      </w:pPr>
      <w:r w:rsidRPr="002B710E">
        <w:rPr>
          <w:color w:val="000000" w:themeColor="text1"/>
        </w:rPr>
        <w:t>Vlada je potrdila prerazporeditve pravic porabe v letošnjem državnem proračunu in odprtje nove proračunske postavke pri Ministrstvu za zunanje in evropske zadeve.</w:t>
      </w:r>
    </w:p>
    <w:p w14:paraId="77D108B0" w14:textId="77777777" w:rsidR="002B710E" w:rsidRPr="002B710E" w:rsidRDefault="002B710E" w:rsidP="002B710E">
      <w:pPr>
        <w:rPr>
          <w:color w:val="000000" w:themeColor="text1"/>
        </w:rPr>
      </w:pPr>
    </w:p>
    <w:p w14:paraId="29473928" w14:textId="77777777" w:rsidR="002B710E" w:rsidRPr="002B710E" w:rsidRDefault="002B710E" w:rsidP="002B710E">
      <w:pPr>
        <w:rPr>
          <w:color w:val="000000" w:themeColor="text1"/>
        </w:rPr>
      </w:pPr>
      <w:r w:rsidRPr="002B710E">
        <w:rPr>
          <w:color w:val="000000" w:themeColor="text1"/>
        </w:rPr>
        <w:t xml:space="preserve">Med drugim bo Finančna uprava Republike Slovenije znotraj svojega finančnega načrta prerazporedila pravice porabe v višini 786.076 evrov. Sredstva bo namenila nadaljnjemu vzdrževanju licenčne programske opreme SAP in najemu cloud rešitve ter s tem nemoteni uporabi informacijskega </w:t>
      </w:r>
      <w:r w:rsidRPr="002B710E">
        <w:rPr>
          <w:color w:val="000000" w:themeColor="text1"/>
        </w:rPr>
        <w:lastRenderedPageBreak/>
        <w:t xml:space="preserve">sistema eDIS v skladu z zahtevami veljavne slovenske in evropske zakonodaje, uporabniškimi zahtevami ter potrebami in strategijo naročnika. </w:t>
      </w:r>
    </w:p>
    <w:p w14:paraId="2C6878B1" w14:textId="77777777" w:rsidR="002B710E" w:rsidRPr="002B710E" w:rsidRDefault="002B710E" w:rsidP="002B710E">
      <w:pPr>
        <w:rPr>
          <w:color w:val="000000" w:themeColor="text1"/>
        </w:rPr>
      </w:pPr>
    </w:p>
    <w:p w14:paraId="3EEAEAE1" w14:textId="77777777" w:rsidR="002B710E" w:rsidRPr="002B710E" w:rsidRDefault="002B710E" w:rsidP="002B710E">
      <w:pPr>
        <w:rPr>
          <w:color w:val="000000" w:themeColor="text1"/>
        </w:rPr>
      </w:pPr>
      <w:r w:rsidRPr="002B710E">
        <w:rPr>
          <w:color w:val="000000" w:themeColor="text1"/>
        </w:rPr>
        <w:t>Ministrstvo za visoko šolstvo, znanost in inovacije bo znotraj svojega finančnega načrta prerazporedilo pravice porabe v višini 400.000 evrov. Tako bodo zagotovili sredstva za načrtovano izplačilo zimskega regresa.</w:t>
      </w:r>
    </w:p>
    <w:p w14:paraId="554185A4" w14:textId="77777777" w:rsidR="002B710E" w:rsidRPr="002B710E" w:rsidRDefault="002B710E" w:rsidP="002B710E">
      <w:pPr>
        <w:rPr>
          <w:color w:val="000000" w:themeColor="text1"/>
        </w:rPr>
      </w:pPr>
    </w:p>
    <w:p w14:paraId="4DB0BE7E" w14:textId="77777777" w:rsidR="002B710E" w:rsidRPr="002B710E" w:rsidRDefault="002B710E" w:rsidP="002B710E">
      <w:pPr>
        <w:rPr>
          <w:color w:val="000000" w:themeColor="text1"/>
        </w:rPr>
      </w:pPr>
      <w:r w:rsidRPr="002B710E">
        <w:rPr>
          <w:color w:val="000000" w:themeColor="text1"/>
        </w:rPr>
        <w:t>Ministrstvo za javno upravo bo znotraj svojega finančnega načrta prerazporedilo pravice porabe v višini 325.244 evrov, in sicer za plače.</w:t>
      </w:r>
    </w:p>
    <w:p w14:paraId="1088C06B" w14:textId="77777777" w:rsidR="002B710E" w:rsidRPr="002B710E" w:rsidRDefault="002B710E" w:rsidP="002B710E">
      <w:pPr>
        <w:rPr>
          <w:color w:val="000000" w:themeColor="text1"/>
        </w:rPr>
      </w:pPr>
    </w:p>
    <w:p w14:paraId="2306E1A6" w14:textId="21875EEF" w:rsidR="002B710E" w:rsidRDefault="002B710E" w:rsidP="002B710E">
      <w:pPr>
        <w:rPr>
          <w:color w:val="000000" w:themeColor="text1"/>
        </w:rPr>
      </w:pPr>
      <w:r w:rsidRPr="002B710E">
        <w:rPr>
          <w:color w:val="000000" w:themeColor="text1"/>
        </w:rPr>
        <w:t>Poleg tega je vlada potrdila odprtje integralne proračunske postavke pri Ministrstvu za zunanje in evropske zadeve. Namenjena bo razvojnim projektom diplomatsko-konzularnih predstavništev, sredstva za pokrivanje obveznosti na tej postavki v višini 1,2 milijona evrov pa bodo letos zagotovili s prerazporeditvijo pravic porabe znotraj finančnega načrta ministrstva.</w:t>
      </w:r>
    </w:p>
    <w:p w14:paraId="12EC0889" w14:textId="6151B935" w:rsidR="008327A9" w:rsidRPr="002B710E" w:rsidRDefault="002B710E" w:rsidP="002B710E">
      <w:pPr>
        <w:pStyle w:val="Vir"/>
      </w:pPr>
      <w:r>
        <w:t>Vir: Ministrstvo za finance</w:t>
      </w:r>
    </w:p>
    <w:p w14:paraId="688A1493" w14:textId="31A40EAF" w:rsidR="00187EBD" w:rsidRPr="00187EBD" w:rsidRDefault="00187EBD" w:rsidP="00187EBD">
      <w:pPr>
        <w:pStyle w:val="Naslov2"/>
      </w:pPr>
      <w:r w:rsidRPr="00187EBD">
        <w:t>Uvrstitev projekta Informacijske storitve za upravljanje prometa v EU v veljavni Načrt razvojnih programov 2026–2029</w:t>
      </w:r>
    </w:p>
    <w:p w14:paraId="18D664D9" w14:textId="782342A5" w:rsidR="00187EBD" w:rsidRPr="00187EBD" w:rsidRDefault="00187EBD" w:rsidP="00187EBD">
      <w:pPr>
        <w:rPr>
          <w:color w:val="000000" w:themeColor="text1"/>
        </w:rPr>
      </w:pPr>
      <w:r w:rsidRPr="00187EBD">
        <w:rPr>
          <w:color w:val="000000" w:themeColor="text1"/>
        </w:rPr>
        <w:t>Vlada je sprejela sklep, da se v načrt razvojnih programov Informacijske storitve za upravljanje prometa v EU.</w:t>
      </w:r>
    </w:p>
    <w:p w14:paraId="73E79E70" w14:textId="77777777" w:rsidR="00187EBD" w:rsidRPr="00187EBD" w:rsidRDefault="00187EBD" w:rsidP="00187EBD">
      <w:pPr>
        <w:rPr>
          <w:color w:val="000000" w:themeColor="text1"/>
        </w:rPr>
      </w:pPr>
    </w:p>
    <w:p w14:paraId="17B62514" w14:textId="77777777" w:rsidR="00187EBD" w:rsidRPr="00187EBD" w:rsidRDefault="00187EBD" w:rsidP="00187EBD">
      <w:pPr>
        <w:rPr>
          <w:color w:val="000000" w:themeColor="text1"/>
        </w:rPr>
      </w:pPr>
      <w:r w:rsidRPr="00187EBD">
        <w:rPr>
          <w:color w:val="000000" w:themeColor="text1"/>
        </w:rPr>
        <w:t xml:space="preserve">Projekt Informacijske storitve za upravljanje prometa v EU oz TISGRADE (Traffic management Information Services upgrade Europe) je strateški evropski projekt, ki ga financira instrument CEF Transport 2024. Projekt se osredotoča na nadgradnjo prometno-informacijskih storitev z namenom izboljšanja kakovosti, dostopnosti in čezmejne povezljivosti podatkov o prometu v Evropi. Poudarek je na zagotavljanju konsistentnih, zanesljivih in uporabnikom prijaznih prometnih informacij, ki so ključne za varno in učinkovito mobilnost na cestah. Glavni cilj projekta Informacijske storitve za upravljanje prometa v EU je izboljšanje razpoložljivosti in kakovosti prometnih informacij ter njihova harmonizacija med državami članicami EU. Informacijske storitve za upravljanje prometa v EU je obsežen projekt, katerega cilj je izboljšati kakovost, dostopnost in uporabo ključnih podatkov o prometu v realnem času v Evropi. </w:t>
      </w:r>
    </w:p>
    <w:p w14:paraId="41B92371" w14:textId="77777777" w:rsidR="00187EBD" w:rsidRPr="00187EBD" w:rsidRDefault="00187EBD" w:rsidP="00187EBD">
      <w:pPr>
        <w:rPr>
          <w:color w:val="000000" w:themeColor="text1"/>
        </w:rPr>
      </w:pPr>
    </w:p>
    <w:p w14:paraId="76918236" w14:textId="77777777" w:rsidR="00187EBD" w:rsidRPr="00187EBD" w:rsidRDefault="00187EBD" w:rsidP="00187EBD">
      <w:pPr>
        <w:rPr>
          <w:color w:val="000000" w:themeColor="text1"/>
        </w:rPr>
      </w:pPr>
      <w:r w:rsidRPr="00187EBD">
        <w:rPr>
          <w:color w:val="000000" w:themeColor="text1"/>
        </w:rPr>
        <w:t xml:space="preserve">S sodelovanjem med javnim in zasebnim sektorjem bo projekt pripomogel k vzpostavitvi robustnega ekosistema za bolj pametno in učinkovito upravljanje prometa ter zagotovil bolj točne in uporabne podatke za vse vključene strani. Nacionalni center za upravljanje prometa (NCUP), ki deluje pod okriljem Ministrstva za infrastrukturo Republike Slovenije, v projektu sodeluje v vseh delovnih sklopih. </w:t>
      </w:r>
    </w:p>
    <w:p w14:paraId="473D3B7E" w14:textId="77777777" w:rsidR="00187EBD" w:rsidRPr="00187EBD" w:rsidRDefault="00187EBD" w:rsidP="00187EBD">
      <w:pPr>
        <w:rPr>
          <w:color w:val="000000" w:themeColor="text1"/>
        </w:rPr>
      </w:pPr>
    </w:p>
    <w:p w14:paraId="521B7135" w14:textId="499822AE" w:rsidR="00187EBD" w:rsidRPr="00187EBD" w:rsidRDefault="00187EBD" w:rsidP="00187EBD">
      <w:pPr>
        <w:rPr>
          <w:color w:val="000000" w:themeColor="text1"/>
        </w:rPr>
      </w:pPr>
      <w:r w:rsidRPr="00187EBD">
        <w:rPr>
          <w:color w:val="000000" w:themeColor="text1"/>
        </w:rPr>
        <w:t>Na projektu sodeluje Ministrstvo za infrastrukturo – Nacionalni center za upravljanje prometa. Vrednost dodeljenih IPE sredstev na podlagi podpisanega Grant Agreementu za MZI znašajo 1.200.000 EUR brez DDV, od tega znašajo EU sredstva 600.000 EUR, lastna udeležba s pripadajočim DDV-jem pa znaša 829.900 EUR, skupna vrednost projekta tako znaša 1.429.900 EUR. Delež sofinanciranja na projektu znaša 50%, obdobje upravičenosti je od 1.11.2025 do 31.12.2028</w:t>
      </w:r>
      <w:r w:rsidR="00C97CF0">
        <w:rPr>
          <w:color w:val="000000" w:themeColor="text1"/>
        </w:rPr>
        <w:t>.</w:t>
      </w:r>
    </w:p>
    <w:p w14:paraId="19DD9D9A" w14:textId="01D2F22C" w:rsidR="008327A9" w:rsidRPr="00187EBD" w:rsidRDefault="00187EBD" w:rsidP="00187EBD">
      <w:pPr>
        <w:pStyle w:val="Vir"/>
      </w:pPr>
      <w:r w:rsidRPr="00187EBD">
        <w:t>Vir: Ministrstvo za infrastrukturo</w:t>
      </w:r>
    </w:p>
    <w:p w14:paraId="2FD6511A" w14:textId="05326F98" w:rsidR="00FE6B93" w:rsidRPr="00FE6B93" w:rsidRDefault="00FE6B93" w:rsidP="00FE6B93">
      <w:pPr>
        <w:pStyle w:val="Naslov2"/>
      </w:pPr>
      <w:r w:rsidRPr="00FE6B93">
        <w:t>V načrt razvojnih programov se uvrsti projekt Elektronske informacije o tovornem prometu eFTI4LIVE</w:t>
      </w:r>
    </w:p>
    <w:p w14:paraId="7441DFEC" w14:textId="4EE52FB1" w:rsidR="00FE6B93" w:rsidRPr="00FE6B93" w:rsidRDefault="00FE6B93" w:rsidP="00FE6B93">
      <w:pPr>
        <w:rPr>
          <w:color w:val="000000" w:themeColor="text1"/>
        </w:rPr>
      </w:pPr>
      <w:r w:rsidRPr="00FE6B93">
        <w:rPr>
          <w:color w:val="000000" w:themeColor="text1"/>
        </w:rPr>
        <w:t>Vlada je sprejela sklep, da se v načrt razvojnih programov uvrsti projekt Elektronske informacije o tovornem prometu eFTI4LIVE.</w:t>
      </w:r>
    </w:p>
    <w:p w14:paraId="1E384BF6" w14:textId="77777777" w:rsidR="00FE6B93" w:rsidRPr="00FE6B93" w:rsidRDefault="00FE6B93" w:rsidP="00FE6B93">
      <w:pPr>
        <w:rPr>
          <w:color w:val="000000" w:themeColor="text1"/>
        </w:rPr>
      </w:pPr>
    </w:p>
    <w:p w14:paraId="70C6CD25" w14:textId="77777777" w:rsidR="00FE6B93" w:rsidRPr="00FE6B93" w:rsidRDefault="00FE6B93" w:rsidP="00FE6B93">
      <w:pPr>
        <w:rPr>
          <w:color w:val="000000" w:themeColor="text1"/>
        </w:rPr>
      </w:pPr>
      <w:r w:rsidRPr="00FE6B93">
        <w:rPr>
          <w:color w:val="000000" w:themeColor="text1"/>
        </w:rPr>
        <w:lastRenderedPageBreak/>
        <w:t>Učinkovitost tovornega prometa in logistike je ključnega pomena za rast in konkurenčnost gospodarstva EU, delovanje notranjega trga ter socialno in ekonomsko kohezijo vseh njenih regij. Digitalizacija prevoznih dokumentov in izvajanje nemotene izmenjave informacij brez papirja med podjetji in organi sta postala velik izziv. Za izmenjavo informacij o tovornem prometu se trenutno po vsej Evropi uporablja več IT-rešitev. Zaradi nezdružljivosti teh rešitev vozniki pogosto dajejo prednost papirnim dokumentom, kar je drag in dolgotrajen postopek. Uredba (EU) 2020/1056 Evropskega parlamenta in Sveta z dne 15. julija 2020 o elektronskih informacijah o tovornem prevozu (eFTI) si prizadeva povečati učinkovitost tovornega prometa in logistike z nadomestitvijo papirne dokumentacije z elektronskimi podatki v vseh načinih prevoza. Vzpostavlja pravni okvir za prevoznike v cestnem, železniškem, kombiniranem in zračnem prometu, da si z organi pregona izmenjujejo informacije o prevozu blaga znotraj Evropske unije v elektronski obliki.</w:t>
      </w:r>
    </w:p>
    <w:p w14:paraId="15B8E7CD" w14:textId="77777777" w:rsidR="00FE6B93" w:rsidRPr="00FE6B93" w:rsidRDefault="00FE6B93" w:rsidP="00FE6B93">
      <w:pPr>
        <w:rPr>
          <w:color w:val="000000" w:themeColor="text1"/>
        </w:rPr>
      </w:pPr>
    </w:p>
    <w:p w14:paraId="71A1518D" w14:textId="77777777" w:rsidR="00FE6B93" w:rsidRPr="00FE6B93" w:rsidRDefault="00FE6B93" w:rsidP="00FE6B93">
      <w:pPr>
        <w:rPr>
          <w:color w:val="000000" w:themeColor="text1"/>
        </w:rPr>
      </w:pPr>
      <w:r w:rsidRPr="00FE6B93">
        <w:rPr>
          <w:color w:val="000000" w:themeColor="text1"/>
        </w:rPr>
        <w:t>Glavni cilj uredbe eFTI je spodbujati in uporabljati digitalizacijo tovornega prometa in logistike za zmanjšanje upravnih stroškov, izboljšanje zmogljivosti pristojnih organov za izvrševanje predpisov ter povečanje učinkovitosti in trajnosti prometa s prehodom s papirnih dobavnih verig na digitalne procese.</w:t>
      </w:r>
    </w:p>
    <w:p w14:paraId="54C28342" w14:textId="77777777" w:rsidR="00FE6B93" w:rsidRPr="00FE6B93" w:rsidRDefault="00FE6B93" w:rsidP="00FE6B93">
      <w:pPr>
        <w:rPr>
          <w:color w:val="000000" w:themeColor="text1"/>
        </w:rPr>
      </w:pPr>
    </w:p>
    <w:p w14:paraId="453270B0" w14:textId="77777777" w:rsidR="00FE6B93" w:rsidRPr="00FE6B93" w:rsidRDefault="00FE6B93" w:rsidP="00FE6B93">
      <w:pPr>
        <w:rPr>
          <w:color w:val="000000" w:themeColor="text1"/>
        </w:rPr>
      </w:pPr>
      <w:r w:rsidRPr="00FE6B93">
        <w:rPr>
          <w:color w:val="000000" w:themeColor="text1"/>
        </w:rPr>
        <w:t xml:space="preserve">Trenutni časovni načrt Evropske komisije za eFTI zahteva, da imajo organi držav članic do 9. julija 2027 vzpostavljene delujoče sisteme za izmenjavo podatkov eFTI, ki gospodarskim subjektom omogočajo, da svoje prometne informacije posredujejo v obliki naborov podatkov in podnaborov podatkov eFTI. </w:t>
      </w:r>
    </w:p>
    <w:p w14:paraId="3B19F77D" w14:textId="77777777" w:rsidR="00FE6B93" w:rsidRPr="00FE6B93" w:rsidRDefault="00FE6B93" w:rsidP="00FE6B93">
      <w:pPr>
        <w:rPr>
          <w:color w:val="000000" w:themeColor="text1"/>
        </w:rPr>
      </w:pPr>
    </w:p>
    <w:p w14:paraId="0193B71E" w14:textId="1F7D306A" w:rsidR="00FE6B93" w:rsidRPr="00FE6B93" w:rsidRDefault="00FE6B93" w:rsidP="00FE6B93">
      <w:pPr>
        <w:rPr>
          <w:color w:val="000000" w:themeColor="text1"/>
        </w:rPr>
      </w:pPr>
      <w:r w:rsidRPr="00FE6B93">
        <w:rPr>
          <w:color w:val="000000" w:themeColor="text1"/>
        </w:rPr>
        <w:t>Celotna vrednost projekta je 47.764.470,00 EUR brez DDV, pri čemer je vrednost projekta Ministrstva za infrastrukturo 2.000.000,00 brez DDV oziroma 2.418.000,00 EUR z DDV (od tega je 1.000.000,00 EUR prispevek EU). Glavnina predvidenih sredstev na projektu je namenjena izdelavi in polni interoperabilnosti sistema eFTI v Slovenijo in se bo porabljala v obliki podizvajalskih storitev. Uradni datum začetka projekta je 1. 7. 2025. Projekt se predvidoma zaključi 30. 6. 2029. Skupno trajanje je 48 mesecev.</w:t>
      </w:r>
    </w:p>
    <w:p w14:paraId="5EC029A3" w14:textId="20B71186" w:rsidR="008327A9" w:rsidRPr="00FE6B93" w:rsidRDefault="00FE6B93" w:rsidP="00FE6B93">
      <w:pPr>
        <w:pStyle w:val="Vir"/>
      </w:pPr>
      <w:r w:rsidRPr="00FE6B93">
        <w:t>Vir: Ministrstvo za infrastrukturo</w:t>
      </w:r>
    </w:p>
    <w:p w14:paraId="397139AD" w14:textId="1E892A07" w:rsidR="00DE6B05" w:rsidRPr="00DE6B05" w:rsidRDefault="00DE6B05" w:rsidP="00DE6B05">
      <w:pPr>
        <w:pStyle w:val="Naslov2"/>
      </w:pPr>
      <w:r w:rsidRPr="00DE6B05">
        <w:t>Vlada je v veljavni Načrt razvojnih programov uvrstila projekt Investicije v osnovna sredstva in investicijsko vzdrževanje za potrebe Inšpektorata RS za delo</w:t>
      </w:r>
    </w:p>
    <w:p w14:paraId="6E2C482E" w14:textId="77777777" w:rsidR="00DE6B05" w:rsidRPr="00DE6B05" w:rsidRDefault="00DE6B05" w:rsidP="00DE6B05">
      <w:pPr>
        <w:rPr>
          <w:color w:val="000000" w:themeColor="text1"/>
        </w:rPr>
      </w:pPr>
      <w:r w:rsidRPr="00DE6B05">
        <w:rPr>
          <w:color w:val="000000" w:themeColor="text1"/>
        </w:rPr>
        <w:t>Inšpektorat zagotavlja sredstva za zagotavljanje pogojev za delo organa, kar se nanaša na ustrezne delovne pogoje, opremo, prevozna sredstva za opravljanje inšpekcijskega nadzora. Z zagotavljanjem sredstev se izvajajo tudi zakonske obveznosti, ki jih ima inšpektorat kot delodajalec do zaposlenih.</w:t>
      </w:r>
    </w:p>
    <w:p w14:paraId="33DA0785" w14:textId="77777777" w:rsidR="00DE6B05" w:rsidRPr="00DE6B05" w:rsidRDefault="00DE6B05" w:rsidP="00DE6B05">
      <w:pPr>
        <w:rPr>
          <w:color w:val="000000" w:themeColor="text1"/>
        </w:rPr>
      </w:pPr>
    </w:p>
    <w:p w14:paraId="4E5F4811" w14:textId="77777777" w:rsidR="00DE6B05" w:rsidRPr="00DE6B05" w:rsidRDefault="00DE6B05" w:rsidP="00DE6B05">
      <w:pPr>
        <w:rPr>
          <w:color w:val="000000" w:themeColor="text1"/>
        </w:rPr>
      </w:pPr>
      <w:r w:rsidRPr="00DE6B05">
        <w:rPr>
          <w:color w:val="000000" w:themeColor="text1"/>
        </w:rPr>
        <w:t xml:space="preserve">Plan za leto 2026, 2027 in 2028 je nabava novih dodatnih službenih vozil in hkrati obnavljanje obstoječega voznega parka zaradi zagotavljanja varnosti pri delu pri opravljanju inšpekcijskega nadzora. Z zaposlitvijo novih inšpektorjev je posledično nujno investirati v nakup cca 5-6 službenih vozil in dodatno pisarniško opremo. Širitev pisarne Zagorje ob Savi v okviru projekta MJU bo realizirana v letu 2026, zato je potrebno investirati v dodatno pisarniško opremo na lokaciji. Predvideva se tudi prostorska širitev območne enote Novo mesto-Brežice, ki je nujno potrebna in s tem potrebna sredstva za nakup pisarniške opreme za dodatne prostore. MJU kot upravljavec državnega premoženja izvaja aktivnosti za selitev območne enote Ljubljana zaradi zagotavljanja ustreznih delovnih pogojev. Na vseh ostalih lokacijah inšpektorata ima vsaka nova zaposlitev za posledico potrebo po dodatnih prostorih. Del sredstev se bo namenil za nabavo najnujnejše pisarniške opreme zaradi dotrajanosti, investicijsko vzdrževanje poslovnih prostorov, zamenjavo fotoaparatov in GSM aparatov v okviru skupnega javnega naročila MJU, službenih koles ipd.. </w:t>
      </w:r>
    </w:p>
    <w:p w14:paraId="5E3139C0" w14:textId="5DDD1D59" w:rsidR="008327A9" w:rsidRPr="00DE6B05" w:rsidRDefault="00DE6B05" w:rsidP="00DE6B05">
      <w:pPr>
        <w:rPr>
          <w:color w:val="000000" w:themeColor="text1"/>
        </w:rPr>
      </w:pPr>
      <w:r w:rsidRPr="00DE6B05">
        <w:rPr>
          <w:color w:val="000000" w:themeColor="text1"/>
        </w:rPr>
        <w:t>Predvidena sredstva za leto 2026 znašajo 430.298,26 evra, za leto 2027 406.000,00 evra in za leto 2028 406.000,00 evra.</w:t>
      </w:r>
    </w:p>
    <w:p w14:paraId="05B573D8" w14:textId="06BBCDDB" w:rsidR="00DE6B05" w:rsidRPr="00DE6B05" w:rsidRDefault="00DE6B05" w:rsidP="00DE6B05">
      <w:pPr>
        <w:pStyle w:val="Vir"/>
      </w:pPr>
      <w:r w:rsidRPr="00DE6B05">
        <w:lastRenderedPageBreak/>
        <w:t>Vir: Ministrstvo za delo, družino, socialne zadeve in enake možnosti</w:t>
      </w:r>
    </w:p>
    <w:p w14:paraId="3C0F5E43" w14:textId="6297CA26" w:rsidR="00A07571" w:rsidRPr="00A07571" w:rsidRDefault="00A07571" w:rsidP="00A07571">
      <w:pPr>
        <w:pStyle w:val="Naslov2"/>
      </w:pPr>
      <w:r w:rsidRPr="00A07571">
        <w:t>Vlada sprejela spremembo vrednosti projekta visokovodnega nasipa Sneberje</w:t>
      </w:r>
    </w:p>
    <w:p w14:paraId="7C400688" w14:textId="42D0F54B" w:rsidR="00A07571" w:rsidRPr="00A07571" w:rsidRDefault="00A07571" w:rsidP="00A07571">
      <w:pPr>
        <w:rPr>
          <w:color w:val="000000" w:themeColor="text1"/>
        </w:rPr>
      </w:pPr>
      <w:r w:rsidRPr="00A07571">
        <w:rPr>
          <w:color w:val="000000" w:themeColor="text1"/>
        </w:rPr>
        <w:t>Vlada je sprejela spremembo izhodiščne vrednosti projekta »Visokovodni nasip Sneberje«, ki je uvrščen v veljavni Načrt razvojnih programov 2026–2029.</w:t>
      </w:r>
    </w:p>
    <w:p w14:paraId="3F4795E7" w14:textId="77777777" w:rsidR="00A07571" w:rsidRPr="00A07571" w:rsidRDefault="00A07571" w:rsidP="00A07571">
      <w:pPr>
        <w:rPr>
          <w:color w:val="000000" w:themeColor="text1"/>
        </w:rPr>
      </w:pPr>
    </w:p>
    <w:p w14:paraId="384E9A8E" w14:textId="77777777" w:rsidR="00A07571" w:rsidRPr="00A07571" w:rsidRDefault="00A07571" w:rsidP="00A07571">
      <w:pPr>
        <w:rPr>
          <w:color w:val="000000" w:themeColor="text1"/>
        </w:rPr>
      </w:pPr>
      <w:r w:rsidRPr="00A07571">
        <w:rPr>
          <w:color w:val="000000" w:themeColor="text1"/>
        </w:rPr>
        <w:t>Projekt obsega rekonstrukcijo in dogradnjo obstoječega visokovodnega nasipa v dolžini približno 1.510 metrov na območju Sneberij, kjer je nasip zaradi dotrajanosti in lokalnih posegov v slabem stanju. Z izvedbo ukrepov se bo zmanjšala poplavna ogroženost območja ob reki Savi.</w:t>
      </w:r>
    </w:p>
    <w:p w14:paraId="3A8C190C" w14:textId="77777777" w:rsidR="00A07571" w:rsidRPr="00A07571" w:rsidRDefault="00A07571" w:rsidP="00A07571">
      <w:pPr>
        <w:rPr>
          <w:color w:val="000000" w:themeColor="text1"/>
        </w:rPr>
      </w:pPr>
      <w:r w:rsidRPr="00A07571">
        <w:rPr>
          <w:color w:val="000000" w:themeColor="text1"/>
        </w:rPr>
        <w:t xml:space="preserve"> </w:t>
      </w:r>
    </w:p>
    <w:p w14:paraId="2BA9A492" w14:textId="77777777" w:rsidR="00A07571" w:rsidRPr="00A07571" w:rsidRDefault="00A07571" w:rsidP="00A07571">
      <w:pPr>
        <w:rPr>
          <w:color w:val="000000" w:themeColor="text1"/>
        </w:rPr>
      </w:pPr>
      <w:r w:rsidRPr="00A07571">
        <w:rPr>
          <w:color w:val="000000" w:themeColor="text1"/>
        </w:rPr>
        <w:t>Sprememba vrednosti projekta je posledica sprememb razpisne dokumentacije za izbor izvajalca gradbenih del ter uskladitve z zakonodajo na področju upravnih postopkov in dovoljenj. Nova ocenjena vrednost projekta znaša 4.227.137,56 evra z DDV, projekt pa se bo izvajal v obdobju od 2025 do 2027.</w:t>
      </w:r>
    </w:p>
    <w:p w14:paraId="004943F1" w14:textId="7252E668" w:rsidR="00A07571" w:rsidRPr="00A07571" w:rsidRDefault="00A07571" w:rsidP="00A07571">
      <w:pPr>
        <w:rPr>
          <w:color w:val="000000" w:themeColor="text1"/>
        </w:rPr>
      </w:pPr>
      <w:r w:rsidRPr="00A07571">
        <w:rPr>
          <w:color w:val="000000" w:themeColor="text1"/>
        </w:rPr>
        <w:t>S sprejetjem spremembe se omogoča nadaljevanje postopkov za izvedbo projekta.</w:t>
      </w:r>
    </w:p>
    <w:p w14:paraId="7D120E6F" w14:textId="715E1ED0" w:rsidR="008327A9" w:rsidRPr="00A07571" w:rsidRDefault="00A07571" w:rsidP="00A07571">
      <w:pPr>
        <w:pStyle w:val="Vir"/>
      </w:pPr>
      <w:r w:rsidRPr="00A07571">
        <w:t>Vir: Ministrstvo za naravne vire in prostor</w:t>
      </w:r>
    </w:p>
    <w:p w14:paraId="2BD7FE7C" w14:textId="293B3F7B" w:rsidR="00A240A2" w:rsidRPr="00A240A2" w:rsidRDefault="00A240A2" w:rsidP="00A240A2">
      <w:pPr>
        <w:pStyle w:val="Naslov2"/>
      </w:pPr>
      <w:r w:rsidRPr="00A240A2">
        <w:t>Odgovor na uradni opomin Evropske komisije zaradi nenotifikacije predpisov za prenos Delegirane direktive Komisije (EU) 2024/1262 v pravni red Republike Slovenije</w:t>
      </w:r>
    </w:p>
    <w:p w14:paraId="41F91797" w14:textId="77777777" w:rsidR="00A240A2" w:rsidRPr="00A240A2" w:rsidRDefault="00A240A2" w:rsidP="00A240A2">
      <w:pPr>
        <w:rPr>
          <w:color w:val="000000" w:themeColor="text1"/>
        </w:rPr>
      </w:pPr>
      <w:r w:rsidRPr="00A240A2">
        <w:rPr>
          <w:color w:val="000000" w:themeColor="text1"/>
        </w:rPr>
        <w:t xml:space="preserve">Vlada je sprejela Odgovor Republike Slovenije v predsodnem postopku na uradni opomin Evropske komisije z dne 29. 1. 2026 zaradi nenotifikacije predpisov za prenos Delegirane direktive Komisije (EU) 2024/1262 z dne 13. marca 2024 o spremembi Direktive 2010/63/EU Evropskega parlamenta in Sveta glede zahtev za ustanove ter za oskrbo in nastanitev živali ter glede metod usmrtitve živali v pravni red. </w:t>
      </w:r>
    </w:p>
    <w:p w14:paraId="0C0AC7B0" w14:textId="77777777" w:rsidR="00A240A2" w:rsidRPr="00A240A2" w:rsidRDefault="00A240A2" w:rsidP="00A240A2">
      <w:pPr>
        <w:rPr>
          <w:color w:val="000000" w:themeColor="text1"/>
        </w:rPr>
      </w:pPr>
      <w:r w:rsidRPr="00A240A2">
        <w:rPr>
          <w:color w:val="000000" w:themeColor="text1"/>
        </w:rPr>
        <w:t>Del določb, ki jih spreminja navedena delegirana direktiva, je že ustrezno prenesen, saj se veljavni pravilnik, ki ureja pogoje za izvajanje postopkov na živalih, neposredno sklicuje na spremenjene določbe osnovne direktive 2010/63/EU. Ostale določbe bo Slovenija prenesla s pravilnikom o spremembah in dopolnitvah pravilnika o pogojih za izvajanje postopkov na živalih, s čimer bo zagotovljena popolna uskladitev.</w:t>
      </w:r>
    </w:p>
    <w:p w14:paraId="149B65E9" w14:textId="77777777" w:rsidR="00A240A2" w:rsidRPr="00A240A2" w:rsidRDefault="00A240A2" w:rsidP="00A240A2">
      <w:pPr>
        <w:rPr>
          <w:color w:val="000000" w:themeColor="text1"/>
        </w:rPr>
      </w:pPr>
      <w:r w:rsidRPr="00A240A2">
        <w:rPr>
          <w:color w:val="000000" w:themeColor="text1"/>
        </w:rPr>
        <w:t>Spremembe bodo poleg prenosa določb evropske zakonodaje naslovile tudi posodobitve določb na področju usposobljenosti oseb, ki delajo z živalmi v postopkih, kar je ključno za zagotavljanje njihove dobrobiti.</w:t>
      </w:r>
    </w:p>
    <w:p w14:paraId="4F1D4D2B" w14:textId="1D3FC6CA" w:rsidR="00A240A2" w:rsidRPr="00A240A2" w:rsidRDefault="00A240A2" w:rsidP="00A240A2">
      <w:pPr>
        <w:rPr>
          <w:color w:val="000000" w:themeColor="text1"/>
        </w:rPr>
      </w:pPr>
      <w:r w:rsidRPr="00A240A2">
        <w:rPr>
          <w:color w:val="000000" w:themeColor="text1"/>
        </w:rPr>
        <w:t>Sprejetje pravilnika o spremembah in dopolnitvah pravilnika o pogojih za izvajanje postopkov na živalih je predviden do konca marca 2026, po objavi pa bo nemudoma posredovan Evropski komisiji. Slovenija bo s tem v celoti izpolnila svoje obveznosti.</w:t>
      </w:r>
    </w:p>
    <w:p w14:paraId="688657C8" w14:textId="796148DB" w:rsidR="00A240A2" w:rsidRPr="004D5DDF" w:rsidRDefault="00A240A2" w:rsidP="004D5DDF">
      <w:pPr>
        <w:pStyle w:val="Vir"/>
      </w:pPr>
      <w:r w:rsidRPr="00A240A2">
        <w:t>Ministrstvo za kmetijstvo, gozdarstvo in prehrano</w:t>
      </w:r>
    </w:p>
    <w:p w14:paraId="71935E97" w14:textId="47544D1E" w:rsidR="004D5DDF" w:rsidRPr="004D5DDF" w:rsidRDefault="004D5DDF" w:rsidP="004D5DDF">
      <w:pPr>
        <w:pStyle w:val="Naslov2"/>
      </w:pPr>
      <w:r w:rsidRPr="004D5DDF">
        <w:t>Vlada sprejela odgovora na uradna opomina Evropske komisije glede prenosa direktiv s področja varstva potrošnikov</w:t>
      </w:r>
    </w:p>
    <w:p w14:paraId="5CB6741F" w14:textId="77777777" w:rsidR="004D5DDF" w:rsidRPr="004D5DDF" w:rsidRDefault="004D5DDF" w:rsidP="004D5DDF">
      <w:pPr>
        <w:rPr>
          <w:color w:val="000000" w:themeColor="text1"/>
        </w:rPr>
      </w:pPr>
      <w:r w:rsidRPr="004D5DDF">
        <w:rPr>
          <w:color w:val="000000" w:themeColor="text1"/>
        </w:rPr>
        <w:t>Vlada je sprejela odgovora na uradna opomina Evropske komisije zaradi nenotifikacije predpisov za prenos Direktive (EU) 2023/2673 o pogodbah o finančnih storitvah, sklenjenih na daljavo, in Direktive (EU) 2023/2225 o potrošniških kreditnih pogodbah.</w:t>
      </w:r>
    </w:p>
    <w:p w14:paraId="5E91B981" w14:textId="77777777" w:rsidR="004D5DDF" w:rsidRPr="004D5DDF" w:rsidRDefault="004D5DDF" w:rsidP="004D5DDF">
      <w:pPr>
        <w:rPr>
          <w:color w:val="000000" w:themeColor="text1"/>
        </w:rPr>
      </w:pPr>
    </w:p>
    <w:p w14:paraId="17866774" w14:textId="77777777" w:rsidR="004D5DDF" w:rsidRPr="004D5DDF" w:rsidRDefault="004D5DDF" w:rsidP="004D5DDF">
      <w:pPr>
        <w:rPr>
          <w:color w:val="000000" w:themeColor="text1"/>
        </w:rPr>
      </w:pPr>
      <w:r w:rsidRPr="004D5DDF">
        <w:rPr>
          <w:color w:val="000000" w:themeColor="text1"/>
        </w:rPr>
        <w:t>Evropska komisija je Republiki Sloveniji očitala, da ni bila obveščena o vseh ukrepih za prenos obeh direktiv v nacionalno zakonodajo, ter jo pozvala, naj v dveh mesecih predloži pojasnila in informacije o sprejetih ter načrtovanih ukrepih.</w:t>
      </w:r>
    </w:p>
    <w:p w14:paraId="1A3B7B99" w14:textId="77777777" w:rsidR="004D5DDF" w:rsidRPr="004D5DDF" w:rsidRDefault="004D5DDF" w:rsidP="004D5DDF">
      <w:pPr>
        <w:rPr>
          <w:color w:val="000000" w:themeColor="text1"/>
        </w:rPr>
      </w:pPr>
    </w:p>
    <w:p w14:paraId="770167BB" w14:textId="77777777" w:rsidR="004D5DDF" w:rsidRPr="004D5DDF" w:rsidRDefault="004D5DDF" w:rsidP="004D5DDF">
      <w:pPr>
        <w:rPr>
          <w:color w:val="000000" w:themeColor="text1"/>
        </w:rPr>
      </w:pPr>
      <w:r w:rsidRPr="004D5DDF">
        <w:rPr>
          <w:color w:val="000000" w:themeColor="text1"/>
        </w:rPr>
        <w:lastRenderedPageBreak/>
        <w:t>Vlada pojasnjuje, da bo Direktiva (EU) 2023/2673 v slovenski pravni red prenesena z novelo Zakona o varstvu potrošnikov (ZVPot-1A) in spremembo podzakonskega akta, ki ureja obrazce za uveljavljanje pravice do odstopa od pogodb, sklenjenih na daljavo ali zunaj poslovnih prostorov. Predlog novele je že bil v javni obravnavi ter medresorskem usklajevanju.</w:t>
      </w:r>
    </w:p>
    <w:p w14:paraId="0BF57842" w14:textId="77777777" w:rsidR="004D5DDF" w:rsidRPr="004D5DDF" w:rsidRDefault="004D5DDF" w:rsidP="004D5DDF">
      <w:pPr>
        <w:rPr>
          <w:color w:val="000000" w:themeColor="text1"/>
        </w:rPr>
      </w:pPr>
    </w:p>
    <w:p w14:paraId="63133140" w14:textId="77777777" w:rsidR="004D5DDF" w:rsidRPr="004D5DDF" w:rsidRDefault="004D5DDF" w:rsidP="004D5DDF">
      <w:pPr>
        <w:rPr>
          <w:color w:val="000000" w:themeColor="text1"/>
        </w:rPr>
      </w:pPr>
      <w:r w:rsidRPr="004D5DDF">
        <w:rPr>
          <w:color w:val="000000" w:themeColor="text1"/>
        </w:rPr>
        <w:t>Direktiva (EU) 2023/2225 pa bo v celoti prenesena z novim Zakonom o potrošniških kreditih (ZPotK-3) in podzakonskim aktom, ki ureja vsebino predhodnih informacij ter obrazce za potrošniške kredite. Predlog zakona je bil že v javni obravnavi in medresorskem usklajevanju, pri čemer so bile zaradi kompleksnosti področja podane obsežne pripombe, ki zahtevajo dodatno strokovno usklajevanje.</w:t>
      </w:r>
    </w:p>
    <w:p w14:paraId="725543B5" w14:textId="77777777" w:rsidR="004D5DDF" w:rsidRPr="004D5DDF" w:rsidRDefault="004D5DDF" w:rsidP="004D5DDF">
      <w:pPr>
        <w:rPr>
          <w:color w:val="000000" w:themeColor="text1"/>
        </w:rPr>
      </w:pPr>
    </w:p>
    <w:p w14:paraId="4C136054" w14:textId="77777777" w:rsidR="004D5DDF" w:rsidRPr="004D5DDF" w:rsidRDefault="004D5DDF" w:rsidP="004D5DDF">
      <w:pPr>
        <w:rPr>
          <w:color w:val="000000" w:themeColor="text1"/>
        </w:rPr>
      </w:pPr>
      <w:r w:rsidRPr="004D5DDF">
        <w:rPr>
          <w:color w:val="000000" w:themeColor="text1"/>
        </w:rPr>
        <w:t>Zaradi zaključka mandata Državnega zbora in razpisa rednih parlamentarnih volitev marca 2026 zakonodajni postopki za oba predpisa v tem mandatu niso mogli biti zaključeni. Obravnava predlogov zakonov se bo zato nadaljevala po konstituiranju novega Državnega zbora in oblikovanju nove vlade.</w:t>
      </w:r>
    </w:p>
    <w:p w14:paraId="1E634DCF" w14:textId="77777777" w:rsidR="004D5DDF" w:rsidRPr="004D5DDF" w:rsidRDefault="004D5DDF" w:rsidP="004D5DDF">
      <w:pPr>
        <w:rPr>
          <w:color w:val="000000" w:themeColor="text1"/>
        </w:rPr>
      </w:pPr>
    </w:p>
    <w:p w14:paraId="62ACC920" w14:textId="77777777" w:rsidR="004D5DDF" w:rsidRPr="004D5DDF" w:rsidRDefault="004D5DDF" w:rsidP="004D5DDF">
      <w:pPr>
        <w:rPr>
          <w:color w:val="000000" w:themeColor="text1"/>
        </w:rPr>
      </w:pPr>
      <w:r w:rsidRPr="004D5DDF">
        <w:rPr>
          <w:color w:val="000000" w:themeColor="text1"/>
        </w:rPr>
        <w:t>Vlada načrtuje, da bosta predloga zakonov obravnavana takoj po nastopu nove vlade, sprejem v Državnem zboru pa je predviden v zadnjem četrtletju 2026. Podzakonska akta bosta sprejeta v najkrajšem možnem času po uveljavitvi zakonov.</w:t>
      </w:r>
    </w:p>
    <w:p w14:paraId="19ACC30B" w14:textId="77777777" w:rsidR="004D5DDF" w:rsidRPr="004D5DDF" w:rsidRDefault="004D5DDF" w:rsidP="004D5DDF">
      <w:pPr>
        <w:rPr>
          <w:color w:val="000000" w:themeColor="text1"/>
        </w:rPr>
      </w:pPr>
    </w:p>
    <w:p w14:paraId="4440EB72" w14:textId="6E51B378" w:rsidR="004D5DDF" w:rsidRPr="004D5DDF" w:rsidRDefault="004D5DDF" w:rsidP="004D5DDF">
      <w:pPr>
        <w:rPr>
          <w:color w:val="000000" w:themeColor="text1"/>
        </w:rPr>
      </w:pPr>
      <w:r w:rsidRPr="004D5DDF">
        <w:rPr>
          <w:color w:val="000000" w:themeColor="text1"/>
        </w:rPr>
        <w:t>Republika Slovenija načrtuje, da bo Direktiva (EU) 2023/2225 prenesena do 30. novembra 2026, Direktiva (EU) 2023/2673 pa do 31. decembra 2026. O napredku bo sproti obveščala Evropsko komisijo.</w:t>
      </w:r>
    </w:p>
    <w:p w14:paraId="19C5D8ED" w14:textId="4F5EFDB3" w:rsidR="008327A9" w:rsidRPr="004D5DDF" w:rsidRDefault="004D5DDF" w:rsidP="004D5DDF">
      <w:pPr>
        <w:pStyle w:val="Vir"/>
      </w:pPr>
      <w:r w:rsidRPr="004D5DDF">
        <w:t>Vir: Ministrstvo za gospodarstvo, turizem in šport</w:t>
      </w:r>
    </w:p>
    <w:p w14:paraId="3270DD45" w14:textId="15D4A72F" w:rsidR="001958B6" w:rsidRPr="001958B6" w:rsidRDefault="001958B6" w:rsidP="001958B6">
      <w:pPr>
        <w:pStyle w:val="Naslov2"/>
      </w:pPr>
      <w:r w:rsidRPr="001958B6">
        <w:t>Splošna določitev stalne predstavnice RS pri Evropski uniji za podpis in sprejetje mednarodnih pogodb v okviru EU</w:t>
      </w:r>
    </w:p>
    <w:p w14:paraId="3465D7C0" w14:textId="49198A51" w:rsidR="001958B6" w:rsidRPr="001958B6" w:rsidRDefault="001958B6" w:rsidP="001958B6">
      <w:pPr>
        <w:rPr>
          <w:color w:val="000000" w:themeColor="text1"/>
        </w:rPr>
      </w:pPr>
      <w:r w:rsidRPr="001958B6">
        <w:rPr>
          <w:color w:val="000000" w:themeColor="text1"/>
        </w:rPr>
        <w:t>Vlada je Metko Ipavic, stalno predstavnico Republike Slovenije pri Evropski uniji, splošno določila za podpis in sprejetje mednarodnih pogodb, ki se sklepajo v okviru članstva Republike Slovenije v Evropski uniji.</w:t>
      </w:r>
    </w:p>
    <w:p w14:paraId="4212A546" w14:textId="77777777" w:rsidR="001958B6" w:rsidRPr="001958B6" w:rsidRDefault="001958B6" w:rsidP="001958B6">
      <w:pPr>
        <w:rPr>
          <w:color w:val="000000" w:themeColor="text1"/>
        </w:rPr>
      </w:pPr>
    </w:p>
    <w:p w14:paraId="26B2DA81" w14:textId="7AC861D6" w:rsidR="001958B6" w:rsidRPr="001958B6" w:rsidRDefault="001958B6" w:rsidP="001958B6">
      <w:pPr>
        <w:rPr>
          <w:color w:val="000000" w:themeColor="text1"/>
        </w:rPr>
      </w:pPr>
      <w:r w:rsidRPr="001958B6">
        <w:rPr>
          <w:color w:val="000000" w:themeColor="text1"/>
        </w:rPr>
        <w:t>Zakon o mednarodnih pogodbah in drugih mednarodnih aktih (Uradni list RS, št. 12/26) v 9. členu ureja ključne vidike sklenitve mednarodnih pogodb, vključno z opredelitvijo trenutka sklenitve in notranje pravnim postopkom za podpis ter izdajo pooblastil. Glede slednjega posebna izjema glede vsakokratne poimenske opredelitve pooblaščene oseba za podpis mednarodne pogodbe velja za stalnega predstavnika Republike Slovenije pri Evropski uniji (EU): vlada ga lahko splošno pooblasti za podpis ali sprejetje besedil mednarodnih pogodb, ki se sklepajo v okviru EU. To splošno pooblastilo omogoča fleksibilnost in poenostavitev postopkov, saj stalni predstavnik lahko deluje brez potrebe po vsakokratnem novem sklepu vlade.</w:t>
      </w:r>
    </w:p>
    <w:p w14:paraId="3F2F64C9" w14:textId="4068CBED" w:rsidR="008327A9" w:rsidRPr="001958B6" w:rsidRDefault="001958B6" w:rsidP="001958B6">
      <w:pPr>
        <w:pStyle w:val="Vir"/>
      </w:pPr>
      <w:r w:rsidRPr="001958B6">
        <w:t>Vir: Ministrstvo za zunanje in evropske zadeve</w:t>
      </w:r>
    </w:p>
    <w:p w14:paraId="2AE27DCA" w14:textId="69C4F551" w:rsidR="00CB0CB9" w:rsidRPr="00CB0CB9" w:rsidRDefault="00CB0CB9" w:rsidP="00CB0CB9">
      <w:pPr>
        <w:pStyle w:val="Naslov2"/>
      </w:pPr>
      <w:r w:rsidRPr="00CB0CB9">
        <w:t>Uredba o ratifikaciji Sporazuma o ureditvi statusa stalnega sedeža Balkanskih zdravstvenih namenskih sil in njegovega osebja v državi gostiteljici</w:t>
      </w:r>
    </w:p>
    <w:p w14:paraId="004C7FDF" w14:textId="00971CEF" w:rsidR="00CB0CB9" w:rsidRPr="00CB0CB9" w:rsidRDefault="00CB0CB9" w:rsidP="00CB0CB9">
      <w:pPr>
        <w:rPr>
          <w:color w:val="000000" w:themeColor="text1"/>
        </w:rPr>
      </w:pPr>
      <w:r w:rsidRPr="00CB0CB9">
        <w:rPr>
          <w:color w:val="000000" w:themeColor="text1"/>
        </w:rPr>
        <w:t>Vlada je izdala Uredbo o ratifikaciji Sporazuma med Vlado Republike Severne Makedonije in Svetom ministrov Republike Albanije, Svetom ministrov Bosne in Hercegovine, Vlado Črne gore, Vlado Republike Srbije In Vlado Republike Slovenije o ureditvi statusa stalnega sedeža Balkanskih zdravstvenih namenskih sil in njegovega osebja v državi gostiteljici, sklenjenega 12. maja 2022, in jo objavi v Uradnem listu Republike Slovenije.</w:t>
      </w:r>
    </w:p>
    <w:p w14:paraId="11D250ED" w14:textId="77777777" w:rsidR="00CB0CB9" w:rsidRPr="00CB0CB9" w:rsidRDefault="00CB0CB9" w:rsidP="00CB0CB9">
      <w:pPr>
        <w:rPr>
          <w:color w:val="000000" w:themeColor="text1"/>
        </w:rPr>
      </w:pPr>
    </w:p>
    <w:p w14:paraId="4C774F71" w14:textId="77777777" w:rsidR="00CB0CB9" w:rsidRPr="00CB0CB9" w:rsidRDefault="00CB0CB9" w:rsidP="00CB0CB9">
      <w:pPr>
        <w:rPr>
          <w:color w:val="000000" w:themeColor="text1"/>
        </w:rPr>
      </w:pPr>
      <w:r w:rsidRPr="00CB0CB9">
        <w:rPr>
          <w:color w:val="000000" w:themeColor="text1"/>
        </w:rPr>
        <w:t xml:space="preserve">Namen sporazuma je določitev statusa Stalnega sedeža Balkanske zdravstvene namenske sile - BMTF, ki je v vojašnici Ilinden v Skopju v Republiki Severni Makedoniji. S sklenitvijo sporazuma je </w:t>
      </w:r>
      <w:r w:rsidRPr="00CB0CB9">
        <w:rPr>
          <w:color w:val="000000" w:themeColor="text1"/>
        </w:rPr>
        <w:lastRenderedPageBreak/>
        <w:t>Stalni sedež BMTF pridobil status pravne osebe in s tem povezane pravice in dolžnosti. Hkrati je s sklenitvijo sporazuma urejen tudi status zaposlenih na Stalnem sedežu BMTF, vključno s pripadniki Slovenske vojske, ki tam opravljajo svoje naloge.</w:t>
      </w:r>
    </w:p>
    <w:p w14:paraId="182F84DD" w14:textId="77777777" w:rsidR="00CB0CB9" w:rsidRPr="00CB0CB9" w:rsidRDefault="00CB0CB9" w:rsidP="00CB0CB9">
      <w:pPr>
        <w:rPr>
          <w:color w:val="000000" w:themeColor="text1"/>
        </w:rPr>
      </w:pPr>
    </w:p>
    <w:p w14:paraId="5A20E743" w14:textId="021FC690" w:rsidR="00CB0CB9" w:rsidRPr="00CB0CB9" w:rsidRDefault="00CB0CB9" w:rsidP="00CB0CB9">
      <w:pPr>
        <w:rPr>
          <w:color w:val="000000" w:themeColor="text1"/>
        </w:rPr>
      </w:pPr>
      <w:r w:rsidRPr="00CB0CB9">
        <w:rPr>
          <w:color w:val="000000" w:themeColor="text1"/>
        </w:rPr>
        <w:t>Izvajanje sporazuma neposredno ne zahteva dodatnih finančnih sredstev. Izvajal se bo v okviru rednih dejavnosti Ministrstva za obrambo.</w:t>
      </w:r>
    </w:p>
    <w:p w14:paraId="6CFABA14" w14:textId="32D875AE" w:rsidR="008327A9" w:rsidRPr="002B0AA4" w:rsidRDefault="00CB0CB9" w:rsidP="002B0AA4">
      <w:pPr>
        <w:pStyle w:val="Vir"/>
      </w:pPr>
      <w:r w:rsidRPr="00CB0CB9">
        <w:t>Vir: Ministrstvo za zunanje in evropske zadeve</w:t>
      </w:r>
    </w:p>
    <w:p w14:paraId="165E26C6" w14:textId="24C9726F" w:rsidR="002B0AA4" w:rsidRPr="002B0AA4" w:rsidRDefault="002B0AA4" w:rsidP="002B0AA4">
      <w:pPr>
        <w:pStyle w:val="Naslov2"/>
      </w:pPr>
      <w:r w:rsidRPr="002B0AA4">
        <w:t>Poročilo nacionalne koordinatorke za Sredozemlje o aktivnostih Republike Slovenije v Sredozemlju v letu 2025</w:t>
      </w:r>
    </w:p>
    <w:p w14:paraId="2EA34B51" w14:textId="27413929" w:rsidR="002B0AA4" w:rsidRPr="002B0AA4" w:rsidRDefault="002B0AA4" w:rsidP="002B0AA4">
      <w:pPr>
        <w:rPr>
          <w:color w:val="000000" w:themeColor="text1"/>
        </w:rPr>
      </w:pPr>
      <w:r w:rsidRPr="002B0AA4">
        <w:rPr>
          <w:color w:val="000000" w:themeColor="text1"/>
        </w:rPr>
        <w:t>Vlada se je seznanila s Poročilom nacionalne koordinatorke za Sredozemlje o aktivnostih Republike Slovenije v okviru Unije za Sredozemlje, MED9 in Fundacije Anna Lindh v letu 2025.</w:t>
      </w:r>
    </w:p>
    <w:p w14:paraId="498D3CB7" w14:textId="77777777" w:rsidR="002B0AA4" w:rsidRPr="002B0AA4" w:rsidRDefault="002B0AA4" w:rsidP="002B0AA4">
      <w:pPr>
        <w:rPr>
          <w:color w:val="000000" w:themeColor="text1"/>
        </w:rPr>
      </w:pPr>
    </w:p>
    <w:p w14:paraId="4A5F0D99" w14:textId="0C3AA846" w:rsidR="002B0AA4" w:rsidRPr="002B0AA4" w:rsidRDefault="002B0AA4" w:rsidP="002B0AA4">
      <w:pPr>
        <w:rPr>
          <w:color w:val="000000" w:themeColor="text1"/>
        </w:rPr>
      </w:pPr>
      <w:r w:rsidRPr="002B0AA4">
        <w:rPr>
          <w:color w:val="000000" w:themeColor="text1"/>
        </w:rPr>
        <w:t>Vlada je namenila letni prispevek v letu 2026 Uniji za Sredozemlje v višini 20.000,00 evrov in letni prispevek Fundaciji Anna Lindh v višini 10.000,00 evrov.</w:t>
      </w:r>
    </w:p>
    <w:p w14:paraId="3B998D9C" w14:textId="77777777" w:rsidR="002B0AA4" w:rsidRPr="002B0AA4" w:rsidRDefault="002B0AA4" w:rsidP="002B0AA4">
      <w:pPr>
        <w:rPr>
          <w:color w:val="000000" w:themeColor="text1"/>
        </w:rPr>
      </w:pPr>
    </w:p>
    <w:p w14:paraId="0CDA6A26" w14:textId="77777777" w:rsidR="002B0AA4" w:rsidRPr="002B0AA4" w:rsidRDefault="002B0AA4" w:rsidP="002B0AA4">
      <w:pPr>
        <w:rPr>
          <w:color w:val="000000" w:themeColor="text1"/>
        </w:rPr>
      </w:pPr>
      <w:r w:rsidRPr="002B0AA4">
        <w:rPr>
          <w:color w:val="000000" w:themeColor="text1"/>
        </w:rPr>
        <w:t xml:space="preserve">Za Slovenijo je Sredozemlje tudi v letu 2025 predstavljalo pomembno prednostno območje zunanjepolitičnega delovanja in uresničevanja interesov, zlasti v vlogi predsedujoče skupini MED9. V okviru EU, Unije za Sredozemlje (UzS) ter drugih večstranskih in regionalnih forumov je aktivno podpirala stabilnost, mirno reševanje sporov, spoštovanje človekovih pravic in mednarodnega prava, multilateralizem ter krepitev odpornosti v regiji. </w:t>
      </w:r>
    </w:p>
    <w:p w14:paraId="3226EA6E" w14:textId="77777777" w:rsidR="002B0AA4" w:rsidRPr="002B0AA4" w:rsidRDefault="002B0AA4" w:rsidP="002B0AA4">
      <w:pPr>
        <w:rPr>
          <w:color w:val="000000" w:themeColor="text1"/>
        </w:rPr>
      </w:pPr>
    </w:p>
    <w:p w14:paraId="19FC4166" w14:textId="77777777" w:rsidR="002B0AA4" w:rsidRPr="002B0AA4" w:rsidRDefault="002B0AA4" w:rsidP="002B0AA4">
      <w:pPr>
        <w:rPr>
          <w:color w:val="000000" w:themeColor="text1"/>
        </w:rPr>
      </w:pPr>
      <w:r w:rsidRPr="002B0AA4">
        <w:rPr>
          <w:color w:val="000000" w:themeColor="text1"/>
        </w:rPr>
        <w:t xml:space="preserve">Slovenija je dejavno prispevala k spodbujanju dialoga in sodelovanja med severnim in južnim delom Sredozemlja, zlasti pri pripravi Pakta za Sredozemlje, pri čemer je zagovarjala celosten, vključujoč in trajnosten pristop k razvoju in varnosti regije. Posebno pozornost je namenjala vprašanjem podnebne varnosti, opolnomočenju mladih in žensk, povezovanju izobraževanja, znanosti in mobilnosti. Ta prizadevanja bo nadalje uresničevala v funkciji namestnice generalnega sekretarja UzS, na katero je imenovana predstavnica Republike Slovenije.  </w:t>
      </w:r>
    </w:p>
    <w:p w14:paraId="7D65ABCF" w14:textId="77777777" w:rsidR="002B0AA4" w:rsidRPr="002B0AA4" w:rsidRDefault="002B0AA4" w:rsidP="002B0AA4">
      <w:pPr>
        <w:rPr>
          <w:color w:val="000000" w:themeColor="text1"/>
        </w:rPr>
      </w:pPr>
    </w:p>
    <w:p w14:paraId="1C886E21" w14:textId="0FE3564D" w:rsidR="002B0AA4" w:rsidRPr="002B0AA4" w:rsidRDefault="002B0AA4" w:rsidP="002B0AA4">
      <w:pPr>
        <w:rPr>
          <w:color w:val="000000" w:themeColor="text1"/>
        </w:rPr>
      </w:pPr>
      <w:r w:rsidRPr="002B0AA4">
        <w:rPr>
          <w:color w:val="000000" w:themeColor="text1"/>
        </w:rPr>
        <w:t>Omenjene prioritete je Slovenija uresničevala v okviru uspešnega prvega predsedovanja neformalni skupini devetih južnoevropskih držav (MED9). V sklopu tega vladnega projekta je slovensko predsedstvo izvedlo sedem ministrskih zasedanj in vrh voditeljev MED9. Poleg Portoroške deklaracije voditeljev MED9 pomemben dosežek na tem področju predstavlja tudi skupna izjava o razmerah na Bližnjem vzhodu, skupaj s pozivom k doslednemu spoštovanju resolucij Združenih narodov ter obstoječih pravnih okvirov.</w:t>
      </w:r>
    </w:p>
    <w:p w14:paraId="77BAA2EA" w14:textId="75210C57" w:rsidR="008327A9" w:rsidRPr="002B0AA4" w:rsidRDefault="002B0AA4" w:rsidP="002B0AA4">
      <w:pPr>
        <w:pStyle w:val="Vir"/>
      </w:pPr>
      <w:r w:rsidRPr="002B0AA4">
        <w:t>Vir: Ministrstvo za zunanje in evropske zadeve</w:t>
      </w:r>
    </w:p>
    <w:p w14:paraId="4648C67C" w14:textId="095523E8" w:rsidR="002B0AA4" w:rsidRPr="002B0AA4" w:rsidRDefault="002B0AA4" w:rsidP="002B0AA4">
      <w:pPr>
        <w:pStyle w:val="Naslov2"/>
      </w:pPr>
      <w:r w:rsidRPr="002B0AA4">
        <w:t>Prispevki Republike Slovenije mednarodnim organizacijam in za izvajanje mednarodnega razvojnega sodelovanja in humanitarne pomoči v letu 2026</w:t>
      </w:r>
    </w:p>
    <w:p w14:paraId="62F9468A" w14:textId="7B780F30" w:rsidR="002B0AA4" w:rsidRPr="002B0AA4" w:rsidRDefault="002B0AA4" w:rsidP="002B0AA4">
      <w:pPr>
        <w:rPr>
          <w:color w:val="000000" w:themeColor="text1"/>
        </w:rPr>
      </w:pPr>
      <w:r w:rsidRPr="002B0AA4">
        <w:rPr>
          <w:color w:val="000000" w:themeColor="text1"/>
        </w:rPr>
        <w:t>Vlada bo v letu 2026 mednarodnim organizacijam in skladom ter drugim organizacijam, ki so upravičene izvajati mednarodno razvojno sodelovanje in humanitarno pomoč v skladu s pogoji Odbora za razvojno pomoč Organizacije za gospodarsko sodelovanje in razvoj (OECD DAC), namenila prispevke v skupni vrednosti 1.335.000 evrov, in sicer: 1.280.000 evrov za humanitarne in 55.000 evrov za razvojne prispevke, in sicer naslednjim organizacijam:</w:t>
      </w:r>
    </w:p>
    <w:p w14:paraId="1013F6F3" w14:textId="61B42AB0" w:rsidR="002B0AA4" w:rsidRPr="002B0AA4" w:rsidRDefault="002B0AA4" w:rsidP="002B0AA4">
      <w:pPr>
        <w:pStyle w:val="Odstavekseznama"/>
        <w:numPr>
          <w:ilvl w:val="0"/>
          <w:numId w:val="24"/>
        </w:numPr>
        <w:rPr>
          <w:color w:val="000000" w:themeColor="text1"/>
        </w:rPr>
      </w:pPr>
      <w:r w:rsidRPr="002B0AA4">
        <w:rPr>
          <w:color w:val="000000" w:themeColor="text1"/>
        </w:rPr>
        <w:t xml:space="preserve">humanitarni prispevek Mednarodnemu odboru Rdečega križa (ICRC) za blažitev nujnih humanitarnih potreb v Etiopiji v višini 180.000 evrov. </w:t>
      </w:r>
    </w:p>
    <w:p w14:paraId="68F58172" w14:textId="60662D1D" w:rsidR="002B0AA4" w:rsidRPr="002B0AA4" w:rsidRDefault="002B0AA4" w:rsidP="002B0AA4">
      <w:pPr>
        <w:pStyle w:val="Odstavekseznama"/>
        <w:numPr>
          <w:ilvl w:val="0"/>
          <w:numId w:val="24"/>
        </w:numPr>
        <w:rPr>
          <w:color w:val="000000" w:themeColor="text1"/>
        </w:rPr>
      </w:pPr>
      <w:r w:rsidRPr="002B0AA4">
        <w:rPr>
          <w:color w:val="000000" w:themeColor="text1"/>
        </w:rPr>
        <w:t xml:space="preserve">humanitarni prispevek Svetovnemu programu za hrano (WFP) za program "Žito iz Ukrajine" oziroma obravnavo prehranske varnosti v najmanj razvitih državah Podsaharske Afrike in na Bližnjem vzhodu v višini 1.000.000 evrov. </w:t>
      </w:r>
    </w:p>
    <w:p w14:paraId="2D73E2F5" w14:textId="319763C5" w:rsidR="002B0AA4" w:rsidRPr="002B0AA4" w:rsidRDefault="002B0AA4" w:rsidP="002B0AA4">
      <w:pPr>
        <w:pStyle w:val="Odstavekseznama"/>
        <w:numPr>
          <w:ilvl w:val="0"/>
          <w:numId w:val="24"/>
        </w:numPr>
        <w:rPr>
          <w:color w:val="000000" w:themeColor="text1"/>
        </w:rPr>
      </w:pPr>
      <w:r w:rsidRPr="002B0AA4">
        <w:rPr>
          <w:color w:val="000000" w:themeColor="text1"/>
        </w:rPr>
        <w:lastRenderedPageBreak/>
        <w:t xml:space="preserve">humanitarni prispevek v Sklad ZN za prebivalstvo (UNFPA) v višini 100.000 evrov za delovanje na Madagaskarju. </w:t>
      </w:r>
    </w:p>
    <w:p w14:paraId="6719F741" w14:textId="77777777" w:rsidR="002B0AA4" w:rsidRDefault="002B0AA4" w:rsidP="002B0AA4">
      <w:pPr>
        <w:pStyle w:val="Odstavekseznama"/>
        <w:numPr>
          <w:ilvl w:val="0"/>
          <w:numId w:val="24"/>
        </w:numPr>
        <w:rPr>
          <w:color w:val="000000" w:themeColor="text1"/>
        </w:rPr>
      </w:pPr>
      <w:r w:rsidRPr="002B0AA4">
        <w:rPr>
          <w:color w:val="000000" w:themeColor="text1"/>
        </w:rPr>
        <w:t xml:space="preserve">razvojni prispevek Odboru za razvojno pomoč Organizacije za gospodarsko sodelovanje in razvoj (OECD DAC) v višini 45.000 evrov, od tega 25.000 evrov za program dela in proračun OECD DAC, 20.000 evrov pa za izvedbo tehnične pomoči Črni gori in izgradnjo zmogljivosti. </w:t>
      </w:r>
    </w:p>
    <w:p w14:paraId="32623DC8" w14:textId="382B1038" w:rsidR="002B0AA4" w:rsidRPr="002B0AA4" w:rsidRDefault="002B0AA4" w:rsidP="002B0AA4">
      <w:pPr>
        <w:pStyle w:val="Odstavekseznama"/>
        <w:numPr>
          <w:ilvl w:val="0"/>
          <w:numId w:val="24"/>
        </w:numPr>
        <w:rPr>
          <w:color w:val="000000" w:themeColor="text1"/>
        </w:rPr>
      </w:pPr>
      <w:r w:rsidRPr="002B0AA4">
        <w:rPr>
          <w:color w:val="000000" w:themeColor="text1"/>
        </w:rPr>
        <w:t xml:space="preserve">razvojni prispevek Evropski mreži za globalno učenje (GENE) v skupnem znesku 10.000 evrov. </w:t>
      </w:r>
    </w:p>
    <w:p w14:paraId="7DE8EE4E" w14:textId="77777777" w:rsidR="002B0AA4" w:rsidRPr="002B0AA4" w:rsidRDefault="002B0AA4" w:rsidP="002B0AA4">
      <w:pPr>
        <w:rPr>
          <w:color w:val="000000" w:themeColor="text1"/>
        </w:rPr>
      </w:pPr>
    </w:p>
    <w:p w14:paraId="6C0B1F91" w14:textId="77777777" w:rsidR="002B0AA4" w:rsidRPr="002B0AA4" w:rsidRDefault="002B0AA4" w:rsidP="002B0AA4">
      <w:pPr>
        <w:rPr>
          <w:color w:val="000000" w:themeColor="text1"/>
        </w:rPr>
      </w:pPr>
      <w:r w:rsidRPr="002B0AA4">
        <w:rPr>
          <w:color w:val="000000" w:themeColor="text1"/>
        </w:rPr>
        <w:t>Republika Slovenija s prostovoljnimi prispevki izkazuje podporo skupnim ciljem in vrednotam, ki jih deli z izbranimi mednarodnimi organizacijami, kot so mir, stabilnost, varnost, mednarodno pravo, človekove pravice, enakost spolov, opolnomočenje žensk in ranljivih skupin ter trajnostni razvoj in podnebno prilagajanje. S humanitarnimi in razvojnimi prispevki mednarodnim organizacijam Republika Slovenija tudi krepi svoj vpliv in povečuje svojo mednarodno kredibilnost in s tem možnost oblikovanja politik v mednarodni skupnosti.</w:t>
      </w:r>
    </w:p>
    <w:p w14:paraId="01C6F9FC" w14:textId="77777777" w:rsidR="002B0AA4" w:rsidRPr="002B0AA4" w:rsidRDefault="002B0AA4" w:rsidP="002B0AA4">
      <w:pPr>
        <w:rPr>
          <w:color w:val="000000" w:themeColor="text1"/>
        </w:rPr>
      </w:pPr>
    </w:p>
    <w:p w14:paraId="0E155D19" w14:textId="6398B55C" w:rsidR="002B0AA4" w:rsidRPr="002B0AA4" w:rsidRDefault="002B0AA4" w:rsidP="002B0AA4">
      <w:pPr>
        <w:rPr>
          <w:color w:val="000000" w:themeColor="text1"/>
        </w:rPr>
      </w:pPr>
      <w:r w:rsidRPr="002B0AA4">
        <w:rPr>
          <w:color w:val="000000" w:themeColor="text1"/>
        </w:rPr>
        <w:t xml:space="preserve">Vlada se je seznanila z informacijo o nameravani sklenitvi Standardnega sporazuma med Vlado Republike Slovenije in Skladom ZN za prebivalstvo (UNFPA) o prispevku Slovenije za Madagaskar in potrdila njegovo besedilo. Na slovenski strani bo podpisnik veleposlanik Samuel Žbogar, stalni predstavnik Republike Slovenije pri OZN v New Yorku. </w:t>
      </w:r>
    </w:p>
    <w:p w14:paraId="654076F9" w14:textId="5D0B2945" w:rsidR="002B0AA4" w:rsidRPr="002F68BD" w:rsidRDefault="002B0AA4" w:rsidP="002F68BD">
      <w:pPr>
        <w:pStyle w:val="Vir"/>
      </w:pPr>
      <w:r w:rsidRPr="002B0AA4">
        <w:t>Vir: Ministrstvo za zunanje in evropske zadeve</w:t>
      </w:r>
    </w:p>
    <w:p w14:paraId="026FE833" w14:textId="7921B30E" w:rsidR="005950B7" w:rsidRPr="005950B7" w:rsidRDefault="005950B7" w:rsidP="005950B7">
      <w:pPr>
        <w:pStyle w:val="Naslov2"/>
      </w:pPr>
      <w:r w:rsidRPr="005950B7">
        <w:t xml:space="preserve">Prostovoljni prispevki Slovenije mednarodnim organizacijam in skladom za promocijo mednarodnega miru in varnosti, vladavine prava in človekovih pravic v letu 2026  </w:t>
      </w:r>
    </w:p>
    <w:p w14:paraId="154D278F" w14:textId="6FFAAB53" w:rsidR="005950B7" w:rsidRPr="005950B7" w:rsidRDefault="005950B7" w:rsidP="005950B7">
      <w:pPr>
        <w:rPr>
          <w:color w:val="000000" w:themeColor="text1"/>
        </w:rPr>
      </w:pPr>
      <w:r w:rsidRPr="005950B7">
        <w:rPr>
          <w:color w:val="000000" w:themeColor="text1"/>
        </w:rPr>
        <w:t xml:space="preserve">Vlada bo v letu 2026 mednarodnim organizacijam in skladom za promocijo mednarodnega miru in varnosti, vladavine prava in človekovih pravic namenila prostovoljne prispevke v skupni vrednosti 640.000 evrov. </w:t>
      </w:r>
    </w:p>
    <w:p w14:paraId="4BF35EC8" w14:textId="77777777" w:rsidR="005950B7" w:rsidRPr="005950B7" w:rsidRDefault="005950B7" w:rsidP="005950B7">
      <w:pPr>
        <w:rPr>
          <w:color w:val="000000" w:themeColor="text1"/>
        </w:rPr>
      </w:pPr>
    </w:p>
    <w:p w14:paraId="09226171" w14:textId="48E22053" w:rsidR="005950B7" w:rsidRPr="005950B7" w:rsidRDefault="005950B7" w:rsidP="005950B7">
      <w:pPr>
        <w:rPr>
          <w:color w:val="000000" w:themeColor="text1"/>
        </w:rPr>
      </w:pPr>
      <w:r w:rsidRPr="005950B7">
        <w:rPr>
          <w:color w:val="000000" w:themeColor="text1"/>
        </w:rPr>
        <w:t>Vlada se je seznanila z informacijami o nameravanih podpisih dogovorov in sporazumov, ki so potrebni za izvedbo teh prispevkov:</w:t>
      </w:r>
    </w:p>
    <w:p w14:paraId="46FE5EAB" w14:textId="4BCDBECE" w:rsidR="005950B7" w:rsidRPr="005950B7" w:rsidRDefault="005950B7" w:rsidP="005950B7">
      <w:pPr>
        <w:rPr>
          <w:color w:val="000000" w:themeColor="text1"/>
        </w:rPr>
      </w:pPr>
      <w:r w:rsidRPr="005950B7">
        <w:rPr>
          <w:color w:val="000000" w:themeColor="text1"/>
        </w:rPr>
        <w:t>-</w:t>
      </w:r>
      <w:r>
        <w:rPr>
          <w:color w:val="000000" w:themeColor="text1"/>
        </w:rPr>
        <w:t xml:space="preserve"> </w:t>
      </w:r>
      <w:r w:rsidRPr="005950B7">
        <w:rPr>
          <w:color w:val="000000" w:themeColor="text1"/>
        </w:rPr>
        <w:t>dodatka št. 1 k Standardnemu upravnemu dogovoru med Vlado Republike Slovenije in Programom OZN za razvoj (UNDP) o prispevku Slovenije za Skupino izvedencev za vladavino prava in spolno nasilje v konfliktih za situacijo v Demokratični republiki Kongo.</w:t>
      </w:r>
    </w:p>
    <w:p w14:paraId="2782A369" w14:textId="267B9E3E" w:rsidR="005950B7" w:rsidRPr="005950B7" w:rsidRDefault="005950B7" w:rsidP="005950B7">
      <w:pPr>
        <w:rPr>
          <w:color w:val="000000" w:themeColor="text1"/>
        </w:rPr>
      </w:pPr>
      <w:r w:rsidRPr="005950B7">
        <w:rPr>
          <w:color w:val="000000" w:themeColor="text1"/>
        </w:rPr>
        <w:t>-</w:t>
      </w:r>
      <w:r>
        <w:rPr>
          <w:color w:val="000000" w:themeColor="text1"/>
        </w:rPr>
        <w:t xml:space="preserve"> </w:t>
      </w:r>
      <w:r w:rsidRPr="005950B7">
        <w:rPr>
          <w:color w:val="000000" w:themeColor="text1"/>
        </w:rPr>
        <w:t>Sporazuma med Vlado Republike Slovenije in Agencijo OZN za ženske (UN Women) o prispevku Slovenije za aktivnosti UN Women v Afganistanu;</w:t>
      </w:r>
    </w:p>
    <w:p w14:paraId="59C3AC17" w14:textId="138CD900" w:rsidR="005950B7" w:rsidRPr="005950B7" w:rsidRDefault="005950B7" w:rsidP="005950B7">
      <w:pPr>
        <w:rPr>
          <w:color w:val="000000" w:themeColor="text1"/>
        </w:rPr>
      </w:pPr>
      <w:r w:rsidRPr="005950B7">
        <w:rPr>
          <w:color w:val="000000" w:themeColor="text1"/>
        </w:rPr>
        <w:t>-</w:t>
      </w:r>
      <w:r>
        <w:rPr>
          <w:color w:val="000000" w:themeColor="text1"/>
        </w:rPr>
        <w:t xml:space="preserve"> </w:t>
      </w:r>
      <w:r w:rsidRPr="005950B7">
        <w:rPr>
          <w:color w:val="000000" w:themeColor="text1"/>
        </w:rPr>
        <w:t>Sporazuma med Vlado Republike Slovenije in Programom OZN za razvoj (UNDP) o prispevku Slovenije za Posebno kazensko sodišče v Srednjeafriški republiki;</w:t>
      </w:r>
    </w:p>
    <w:p w14:paraId="42ADC9FE" w14:textId="10BFE379" w:rsidR="005950B7" w:rsidRPr="005950B7" w:rsidRDefault="005950B7" w:rsidP="005950B7">
      <w:pPr>
        <w:rPr>
          <w:color w:val="000000" w:themeColor="text1"/>
        </w:rPr>
      </w:pPr>
      <w:r w:rsidRPr="005950B7">
        <w:rPr>
          <w:color w:val="000000" w:themeColor="text1"/>
        </w:rPr>
        <w:t>-</w:t>
      </w:r>
      <w:r>
        <w:rPr>
          <w:color w:val="000000" w:themeColor="text1"/>
        </w:rPr>
        <w:t xml:space="preserve"> </w:t>
      </w:r>
      <w:r w:rsidRPr="005950B7">
        <w:rPr>
          <w:color w:val="000000" w:themeColor="text1"/>
        </w:rPr>
        <w:t>Standardnega upravnega dogovora med Vlado Republike Slovenije in Programom OZN za razvoj (UNDP) o prispevku Slovenije v Mehanizem za podnebno varnost (CSM);</w:t>
      </w:r>
    </w:p>
    <w:p w14:paraId="202AF4BC" w14:textId="3AD825D6" w:rsidR="005950B7" w:rsidRPr="005950B7" w:rsidRDefault="005950B7" w:rsidP="005950B7">
      <w:pPr>
        <w:rPr>
          <w:color w:val="000000" w:themeColor="text1"/>
        </w:rPr>
      </w:pPr>
      <w:r w:rsidRPr="005950B7">
        <w:rPr>
          <w:color w:val="000000" w:themeColor="text1"/>
        </w:rPr>
        <w:t>-</w:t>
      </w:r>
      <w:r>
        <w:rPr>
          <w:color w:val="000000" w:themeColor="text1"/>
        </w:rPr>
        <w:t xml:space="preserve"> </w:t>
      </w:r>
      <w:r w:rsidRPr="005950B7">
        <w:rPr>
          <w:color w:val="000000" w:themeColor="text1"/>
        </w:rPr>
        <w:t>Sporazuma med Vlado Republike Slovenije in Organizacijo Združenih narodov za prehrano in kmetijstvo (FAO) o prispevku Slovenije za čebelarske in polinatorske aktivnosti ter</w:t>
      </w:r>
    </w:p>
    <w:p w14:paraId="2AFB9382" w14:textId="072E93E0" w:rsidR="005950B7" w:rsidRPr="005950B7" w:rsidRDefault="005950B7" w:rsidP="005950B7">
      <w:pPr>
        <w:rPr>
          <w:color w:val="000000" w:themeColor="text1"/>
        </w:rPr>
      </w:pPr>
      <w:r w:rsidRPr="005950B7">
        <w:rPr>
          <w:color w:val="000000" w:themeColor="text1"/>
        </w:rPr>
        <w:t>-</w:t>
      </w:r>
      <w:r>
        <w:rPr>
          <w:color w:val="000000" w:themeColor="text1"/>
        </w:rPr>
        <w:t xml:space="preserve"> </w:t>
      </w:r>
      <w:r w:rsidRPr="005950B7">
        <w:rPr>
          <w:color w:val="000000" w:themeColor="text1"/>
        </w:rPr>
        <w:t>Sporazuma med Vlado Republike Slovenije in Svetom Evrope o prispevku Slovenije za promocijo otrokovih pravic, vključno z izvajanjem Strategije Sveta Evrope za otrokove pravice v obdobju 2022–2027.</w:t>
      </w:r>
    </w:p>
    <w:p w14:paraId="1056B972" w14:textId="77777777" w:rsidR="005950B7" w:rsidRPr="005950B7" w:rsidRDefault="005950B7" w:rsidP="005950B7">
      <w:pPr>
        <w:rPr>
          <w:color w:val="000000" w:themeColor="text1"/>
        </w:rPr>
      </w:pPr>
    </w:p>
    <w:p w14:paraId="456038D6" w14:textId="6A312C29" w:rsidR="005950B7" w:rsidRPr="005950B7" w:rsidRDefault="005950B7" w:rsidP="005950B7">
      <w:pPr>
        <w:rPr>
          <w:color w:val="000000" w:themeColor="text1"/>
        </w:rPr>
      </w:pPr>
      <w:r w:rsidRPr="005950B7">
        <w:rPr>
          <w:color w:val="000000" w:themeColor="text1"/>
        </w:rPr>
        <w:t xml:space="preserve">Slovenija je zagovornica učinkovitega multilateralizma, v središču katerega je Organizacija združenih narodov (OZN). Predlog prispevkov sledi zunanjepolitičnim ciljem in interesom na področju multilateralnega sodelovanja, s poudarkom na aktualnih oziroma skorajšnjih članstvih Republike Slovenije v okviru mednarodnih organizacij – članstvo v Svetu OZN za človekove pravice (2026–2028), Izvršnem svetu Organizacije za preprečevanje kemičnega orožja – OPCW (2026–2028), Komisiji OZN za narkotične droge (2026–2029), predsedovanje Konvenciji o varstvu in rabi čezmejnih vodotokov in mednarodnih jezer (Vodna konvencija).  </w:t>
      </w:r>
    </w:p>
    <w:p w14:paraId="2A17F080" w14:textId="4DD11A29" w:rsidR="005950B7" w:rsidRPr="0078193C" w:rsidRDefault="005950B7" w:rsidP="0078193C">
      <w:pPr>
        <w:pStyle w:val="Vir"/>
      </w:pPr>
      <w:r w:rsidRPr="005950B7">
        <w:lastRenderedPageBreak/>
        <w:t>Vir: Ministrstvo za zunanje in evropske zadeve</w:t>
      </w:r>
    </w:p>
    <w:p w14:paraId="695C3DDE" w14:textId="2B3465FA" w:rsidR="00A218DA" w:rsidRPr="00A218DA" w:rsidRDefault="00A218DA" w:rsidP="00A218DA">
      <w:pPr>
        <w:pStyle w:val="Naslov2"/>
      </w:pPr>
      <w:r w:rsidRPr="00A218DA">
        <w:t>Vlada podpira krepitev regionalnega odziva na sušo v jugovzhodni Evropi</w:t>
      </w:r>
    </w:p>
    <w:p w14:paraId="2D1C064B" w14:textId="77777777" w:rsidR="00A218DA" w:rsidRPr="00A218DA" w:rsidRDefault="00A218DA" w:rsidP="00A218DA">
      <w:pPr>
        <w:rPr>
          <w:color w:val="000000" w:themeColor="text1"/>
        </w:rPr>
      </w:pPr>
      <w:r w:rsidRPr="00A218DA">
        <w:rPr>
          <w:color w:val="000000" w:themeColor="text1"/>
        </w:rPr>
        <w:t xml:space="preserve">Vlada je sprejela sklep o prostovoljnem prispevku za krepitev zmogljivosti Centra za obvladovanje tveganja suše v jugovzhodni Evropi (DMCSEE), ki deluje v okviru Agencije RS za okolje in pod okriljem Svetovne meteorološke organizacije. Slovenija bo za ta namen v letu 2026 namenila 200.000 evrov iz Sklada za podnebne spremembe Ministrstva za okolje, podnebje in energijo. </w:t>
      </w:r>
    </w:p>
    <w:p w14:paraId="272A36ED" w14:textId="77777777" w:rsidR="00A218DA" w:rsidRPr="00A218DA" w:rsidRDefault="00A218DA" w:rsidP="00A218DA">
      <w:pPr>
        <w:rPr>
          <w:color w:val="000000" w:themeColor="text1"/>
        </w:rPr>
      </w:pPr>
    </w:p>
    <w:p w14:paraId="1989E71C" w14:textId="77777777" w:rsidR="00A218DA" w:rsidRPr="00A218DA" w:rsidRDefault="00A218DA" w:rsidP="00A218DA">
      <w:pPr>
        <w:rPr>
          <w:color w:val="000000" w:themeColor="text1"/>
        </w:rPr>
      </w:pPr>
      <w:r w:rsidRPr="00A218DA">
        <w:rPr>
          <w:color w:val="000000" w:themeColor="text1"/>
        </w:rPr>
        <w:t>Prispevek bo omogočil nadaljnji razvoj in izvajanje ključnih dejavnosti DMCSEE, ki igra pomembno vlogo pri obvladovanju posledic suše v eni najbolj ranljivih regij Evrope. Jugovzhodna Evropa sodi med regije, ki jih podnebne spremembe najbolj prizadenejo, pri čemer suša povzroča vse večjo škodo v kmetijstvu, energetiki in oskrbi z vodo. Krepitev sodelovanja in pravočasno ukrepanje sta ključna za zmanjševanje teh vplivov. DMCSEE zato v sodelovanju z mednarodnimi partnerji razvija orodja in politike za spremljanje, obvladovanje in prilagajanje na sušo. S prispevkom bo center okrepil svoje aktivnosti na področju monitoringa, zgodnjega opozarjanja, izobraževanja strokovnjakov in izmenjave znanja v regiji.</w:t>
      </w:r>
    </w:p>
    <w:p w14:paraId="5A73DBD0" w14:textId="77777777" w:rsidR="00A218DA" w:rsidRPr="00A218DA" w:rsidRDefault="00A218DA" w:rsidP="00A218DA">
      <w:pPr>
        <w:rPr>
          <w:color w:val="000000" w:themeColor="text1"/>
        </w:rPr>
      </w:pPr>
    </w:p>
    <w:p w14:paraId="74A38EEA" w14:textId="79C2A630" w:rsidR="00A218DA" w:rsidRPr="00A218DA" w:rsidRDefault="00A218DA" w:rsidP="00A218DA">
      <w:pPr>
        <w:rPr>
          <w:color w:val="000000" w:themeColor="text1"/>
        </w:rPr>
      </w:pPr>
      <w:r w:rsidRPr="00A218DA">
        <w:rPr>
          <w:color w:val="000000" w:themeColor="text1"/>
        </w:rPr>
        <w:t xml:space="preserve">S prostovoljnim prispevkom Slovenija uresničuje ambicijo biti vodilna država v regiji JV Evrope na področju prilagajanja na podnebne spremembe, obenem pa izpolnjuje svoje zaveze v okviru mednarodnega podnebnega financiranja. </w:t>
      </w:r>
    </w:p>
    <w:p w14:paraId="2B8A2712" w14:textId="3B6E8902" w:rsidR="008327A9" w:rsidRPr="00A218DA" w:rsidRDefault="00A218DA" w:rsidP="00A218DA">
      <w:pPr>
        <w:pStyle w:val="Vir"/>
      </w:pPr>
      <w:r w:rsidRPr="00A218DA">
        <w:t>Vir: Ministrstvo za naravne vire in prostor</w:t>
      </w:r>
    </w:p>
    <w:p w14:paraId="23C20C16" w14:textId="0D493DB2" w:rsidR="004A4C1D" w:rsidRPr="004A4C1D" w:rsidRDefault="004A4C1D" w:rsidP="004A4C1D">
      <w:pPr>
        <w:pStyle w:val="Naslov2"/>
      </w:pPr>
      <w:r w:rsidRPr="004A4C1D">
        <w:t>Vlada sprejela mnenje o zahtevi Državnega sveta za oceno ustavnosti Zakona o parlamentarni preiskavi</w:t>
      </w:r>
    </w:p>
    <w:p w14:paraId="1A6477BE" w14:textId="6182B72A" w:rsidR="004A4C1D" w:rsidRPr="004A4C1D" w:rsidRDefault="004A4C1D" w:rsidP="004A4C1D">
      <w:pPr>
        <w:rPr>
          <w:color w:val="000000" w:themeColor="text1"/>
        </w:rPr>
      </w:pPr>
      <w:r w:rsidRPr="004A4C1D">
        <w:rPr>
          <w:color w:val="000000" w:themeColor="text1"/>
        </w:rPr>
        <w:t>Vlada je sprejela mnenje o zahtevi Državnega sveta Republike Slovenije za oceno ustavnosti 1.a člena, petega odstavka 3. člena, 3.a člena in tretjega odstavka 5. člena Zakona o parlamentarni preiskavi ter ga posredovala Državnemu zboru Republike Slovenije in Ustavnemu sodišču Republike Slovenije.</w:t>
      </w:r>
    </w:p>
    <w:p w14:paraId="1B527045" w14:textId="77777777" w:rsidR="004A4C1D" w:rsidRPr="004A4C1D" w:rsidRDefault="004A4C1D" w:rsidP="004A4C1D">
      <w:pPr>
        <w:rPr>
          <w:color w:val="000000" w:themeColor="text1"/>
        </w:rPr>
      </w:pPr>
    </w:p>
    <w:p w14:paraId="44A9BC0A" w14:textId="77777777" w:rsidR="004A4C1D" w:rsidRPr="004A4C1D" w:rsidRDefault="004A4C1D" w:rsidP="004A4C1D">
      <w:pPr>
        <w:rPr>
          <w:color w:val="000000" w:themeColor="text1"/>
        </w:rPr>
      </w:pPr>
      <w:r w:rsidRPr="004A4C1D">
        <w:rPr>
          <w:color w:val="000000" w:themeColor="text1"/>
        </w:rPr>
        <w:t>Državni svet v zahtevi izpodbija rešitve iz novele Zakona o parlamentarni preiskavi iz leta 2024 ter zatrjuje njihovo neskladnost z določbami 2. člena Ustave Republike Slovenije (načelo pravne države) in 93. člena Ustave Republike Slovenije (področje parlamentarnih preiskav), pa tudi z nekaterimi drugimi ustavnimi določbami.</w:t>
      </w:r>
    </w:p>
    <w:p w14:paraId="3E9FB595" w14:textId="77777777" w:rsidR="004A4C1D" w:rsidRPr="004A4C1D" w:rsidRDefault="004A4C1D" w:rsidP="004A4C1D">
      <w:pPr>
        <w:rPr>
          <w:color w:val="000000" w:themeColor="text1"/>
        </w:rPr>
      </w:pPr>
    </w:p>
    <w:p w14:paraId="1005E8D4" w14:textId="77777777" w:rsidR="004A4C1D" w:rsidRPr="004A4C1D" w:rsidRDefault="004A4C1D" w:rsidP="004A4C1D">
      <w:pPr>
        <w:rPr>
          <w:color w:val="000000" w:themeColor="text1"/>
        </w:rPr>
      </w:pPr>
      <w:r w:rsidRPr="004A4C1D">
        <w:rPr>
          <w:color w:val="000000" w:themeColor="text1"/>
        </w:rPr>
        <w:t xml:space="preserve">Po mnenju Vlade Državni svet v zahtevi daje preveliko težo sicer nedvomno legitimnemu pomenu učinkovitosti parlamentarne preiskave (kot nadzornemu mehanizmu zakonodajne veje oblasti), brez tega, da bi ustrezno ovrednotil pravice preiskovanih subjektov, v pravice katerih preiskava posega oziroma le-te razlaga pretežno kot potencialno zlorabo pravic. </w:t>
      </w:r>
      <w:r w:rsidRPr="004A4C1D">
        <w:rPr>
          <w:color w:val="000000" w:themeColor="text1"/>
        </w:rPr>
        <w:tab/>
      </w:r>
    </w:p>
    <w:p w14:paraId="4DC1BC5F" w14:textId="77777777" w:rsidR="004A4C1D" w:rsidRPr="004A4C1D" w:rsidRDefault="004A4C1D" w:rsidP="004A4C1D">
      <w:pPr>
        <w:rPr>
          <w:color w:val="000000" w:themeColor="text1"/>
        </w:rPr>
      </w:pPr>
    </w:p>
    <w:p w14:paraId="13CD32E9" w14:textId="20E3F624" w:rsidR="004A4C1D" w:rsidRPr="004A4C1D" w:rsidRDefault="004A4C1D" w:rsidP="004A4C1D">
      <w:pPr>
        <w:rPr>
          <w:color w:val="000000" w:themeColor="text1"/>
        </w:rPr>
      </w:pPr>
      <w:r w:rsidRPr="004A4C1D">
        <w:rPr>
          <w:color w:val="000000" w:themeColor="text1"/>
        </w:rPr>
        <w:t>Po oceni Vlade zahteva Državnega sveta ni utemeljena.</w:t>
      </w:r>
    </w:p>
    <w:p w14:paraId="7659DE23" w14:textId="2E1C6E5A" w:rsidR="008327A9" w:rsidRPr="00572F3A" w:rsidRDefault="004A4C1D" w:rsidP="00572F3A">
      <w:pPr>
        <w:pStyle w:val="Vir"/>
      </w:pPr>
      <w:r w:rsidRPr="004A4C1D">
        <w:t>Vir: Ministrstvo za pravosodje</w:t>
      </w:r>
    </w:p>
    <w:p w14:paraId="209D7E74" w14:textId="1CF1AC68" w:rsidR="000F736C" w:rsidRPr="000F736C" w:rsidRDefault="000F736C" w:rsidP="000F736C">
      <w:pPr>
        <w:pStyle w:val="Naslov2"/>
      </w:pPr>
      <w:bookmarkStart w:id="6" w:name="_Hlk225427734"/>
      <w:r w:rsidRPr="000F736C">
        <w:t xml:space="preserve">Vlada je sprejela Strategijo odpornosti Republike Slovenije do leta 2030  </w:t>
      </w:r>
    </w:p>
    <w:p w14:paraId="5053E8C4" w14:textId="4ADDE4BE" w:rsidR="000F736C" w:rsidRPr="000F736C" w:rsidRDefault="000F736C" w:rsidP="000F736C">
      <w:pPr>
        <w:rPr>
          <w:color w:val="000000" w:themeColor="text1"/>
        </w:rPr>
      </w:pPr>
      <w:r w:rsidRPr="000F736C">
        <w:rPr>
          <w:color w:val="000000" w:themeColor="text1"/>
        </w:rPr>
        <w:t xml:space="preserve">Sodobno varnostno okolje zaznamujejo vse pogostejši in medsebojno prepleteni izredni dogodki, ki jasno opozarjajo na nujnost oblikovanja celovitega ter usklajenega strateškega okvira za krepitev odpornosti Republike Slovenije. Strategija odpornosti Republike Slovenije do leta 2030 določa skupno vizijo in poslanstvo ter daje usmeritve za krepitev nacionalne odpornosti, pri čemer povezuje </w:t>
      </w:r>
      <w:r w:rsidRPr="000F736C">
        <w:rPr>
          <w:color w:val="000000" w:themeColor="text1"/>
        </w:rPr>
        <w:lastRenderedPageBreak/>
        <w:t>prednosti, naslavlja ugotovljene pomanjkljivosti ter vzpostavlja trdne temelje za celovito in dolgoročno odpornost na vseh ravneh delovanja države. Strateška izhodišča so usklajena s koncepti in mehanizmi Nata ter Evropske unije.</w:t>
      </w:r>
    </w:p>
    <w:p w14:paraId="3E159772" w14:textId="77777777" w:rsidR="000F736C" w:rsidRPr="000F736C" w:rsidRDefault="000F736C" w:rsidP="000F736C">
      <w:pPr>
        <w:rPr>
          <w:color w:val="000000" w:themeColor="text1"/>
        </w:rPr>
      </w:pPr>
    </w:p>
    <w:p w14:paraId="5D5FCDFF" w14:textId="77777777" w:rsidR="000F736C" w:rsidRPr="000F736C" w:rsidRDefault="000F736C" w:rsidP="000F736C">
      <w:pPr>
        <w:rPr>
          <w:color w:val="000000" w:themeColor="text1"/>
        </w:rPr>
      </w:pPr>
      <w:r w:rsidRPr="000F736C">
        <w:rPr>
          <w:color w:val="000000" w:themeColor="text1"/>
        </w:rPr>
        <w:t>Strategija obravnava 13 področij nacionalne odpornosti, za katera so opredeljeni strateški cilji. Ti se bodo uresničevali z izvajanjem akcijskega načrta, ki bo izhajal iz celovite nacionalne vaje kriznega upravljanja in odzivanja, ter z drugimi aktivnostmi nosilcev posameznih področij odpornosti in z njimi sodelujočih državnih organov.</w:t>
      </w:r>
    </w:p>
    <w:p w14:paraId="3F6EAAD2" w14:textId="77777777" w:rsidR="000F736C" w:rsidRPr="000F736C" w:rsidRDefault="000F736C" w:rsidP="000F736C">
      <w:pPr>
        <w:rPr>
          <w:color w:val="000000" w:themeColor="text1"/>
        </w:rPr>
      </w:pPr>
    </w:p>
    <w:p w14:paraId="139C0572" w14:textId="77777777" w:rsidR="000F736C" w:rsidRPr="000F736C" w:rsidRDefault="000F736C" w:rsidP="000F736C">
      <w:pPr>
        <w:rPr>
          <w:color w:val="000000" w:themeColor="text1"/>
        </w:rPr>
      </w:pPr>
      <w:r w:rsidRPr="000F736C">
        <w:rPr>
          <w:color w:val="000000" w:themeColor="text1"/>
        </w:rPr>
        <w:t>Področja nacionalne odpornosti so:</w:t>
      </w:r>
    </w:p>
    <w:p w14:paraId="6389A102" w14:textId="77777777" w:rsidR="000F736C" w:rsidRPr="000F736C" w:rsidRDefault="000F736C" w:rsidP="000F736C">
      <w:pPr>
        <w:rPr>
          <w:color w:val="000000" w:themeColor="text1"/>
        </w:rPr>
      </w:pPr>
      <w:r w:rsidRPr="000F736C">
        <w:rPr>
          <w:color w:val="000000" w:themeColor="text1"/>
        </w:rPr>
        <w:t>1. nacionalnovarnostni sistem in neprekinjeno delovanje države,</w:t>
      </w:r>
    </w:p>
    <w:p w14:paraId="31F2A537" w14:textId="77777777" w:rsidR="000F736C" w:rsidRPr="000F736C" w:rsidRDefault="000F736C" w:rsidP="000F736C">
      <w:pPr>
        <w:rPr>
          <w:color w:val="000000" w:themeColor="text1"/>
        </w:rPr>
      </w:pPr>
      <w:r w:rsidRPr="000F736C">
        <w:rPr>
          <w:color w:val="000000" w:themeColor="text1"/>
        </w:rPr>
        <w:t>2. energetika,</w:t>
      </w:r>
    </w:p>
    <w:p w14:paraId="44B90081" w14:textId="77777777" w:rsidR="000F736C" w:rsidRPr="000F736C" w:rsidRDefault="000F736C" w:rsidP="000F736C">
      <w:pPr>
        <w:rPr>
          <w:color w:val="000000" w:themeColor="text1"/>
        </w:rPr>
      </w:pPr>
      <w:r w:rsidRPr="000F736C">
        <w:rPr>
          <w:color w:val="000000" w:themeColor="text1"/>
        </w:rPr>
        <w:t>3. pitna voda,</w:t>
      </w:r>
    </w:p>
    <w:p w14:paraId="08552052" w14:textId="77777777" w:rsidR="000F736C" w:rsidRPr="000F736C" w:rsidRDefault="000F736C" w:rsidP="000F736C">
      <w:pPr>
        <w:rPr>
          <w:color w:val="000000" w:themeColor="text1"/>
        </w:rPr>
      </w:pPr>
      <w:r w:rsidRPr="000F736C">
        <w:rPr>
          <w:color w:val="000000" w:themeColor="text1"/>
        </w:rPr>
        <w:t>4. preskrba s hrano,</w:t>
      </w:r>
    </w:p>
    <w:p w14:paraId="44C599E5" w14:textId="77777777" w:rsidR="000F736C" w:rsidRPr="000F736C" w:rsidRDefault="000F736C" w:rsidP="000F736C">
      <w:pPr>
        <w:rPr>
          <w:color w:val="000000" w:themeColor="text1"/>
        </w:rPr>
      </w:pPr>
      <w:r w:rsidRPr="000F736C">
        <w:rPr>
          <w:color w:val="000000" w:themeColor="text1"/>
        </w:rPr>
        <w:t>5. finančni sistem in bančništvo,</w:t>
      </w:r>
    </w:p>
    <w:p w14:paraId="6BADB131" w14:textId="77777777" w:rsidR="000F736C" w:rsidRPr="000F736C" w:rsidRDefault="000F736C" w:rsidP="000F736C">
      <w:pPr>
        <w:rPr>
          <w:color w:val="000000" w:themeColor="text1"/>
        </w:rPr>
      </w:pPr>
      <w:r w:rsidRPr="000F736C">
        <w:rPr>
          <w:color w:val="000000" w:themeColor="text1"/>
        </w:rPr>
        <w:t>6. gospodarstvo,</w:t>
      </w:r>
    </w:p>
    <w:p w14:paraId="01739E30" w14:textId="77777777" w:rsidR="000F736C" w:rsidRPr="000F736C" w:rsidRDefault="000F736C" w:rsidP="000F736C">
      <w:pPr>
        <w:rPr>
          <w:color w:val="000000" w:themeColor="text1"/>
        </w:rPr>
      </w:pPr>
      <w:r w:rsidRPr="000F736C">
        <w:rPr>
          <w:color w:val="000000" w:themeColor="text1"/>
        </w:rPr>
        <w:t>7. zdravje,</w:t>
      </w:r>
    </w:p>
    <w:p w14:paraId="4B8854CE" w14:textId="77777777" w:rsidR="000F736C" w:rsidRPr="000F736C" w:rsidRDefault="000F736C" w:rsidP="000F736C">
      <w:pPr>
        <w:rPr>
          <w:color w:val="000000" w:themeColor="text1"/>
        </w:rPr>
      </w:pPr>
      <w:r w:rsidRPr="000F736C">
        <w:rPr>
          <w:color w:val="000000" w:themeColor="text1"/>
        </w:rPr>
        <w:t>8. informacijsko-komunikacijski sistemi in omrežja,</w:t>
      </w:r>
    </w:p>
    <w:p w14:paraId="482A339C" w14:textId="77777777" w:rsidR="000F736C" w:rsidRPr="000F736C" w:rsidRDefault="000F736C" w:rsidP="000F736C">
      <w:pPr>
        <w:rPr>
          <w:color w:val="000000" w:themeColor="text1"/>
        </w:rPr>
      </w:pPr>
      <w:r w:rsidRPr="000F736C">
        <w:rPr>
          <w:color w:val="000000" w:themeColor="text1"/>
        </w:rPr>
        <w:t>9. promet,</w:t>
      </w:r>
    </w:p>
    <w:p w14:paraId="160AC5A3" w14:textId="77777777" w:rsidR="000F736C" w:rsidRPr="000F736C" w:rsidRDefault="000F736C" w:rsidP="000F736C">
      <w:pPr>
        <w:rPr>
          <w:color w:val="000000" w:themeColor="text1"/>
        </w:rPr>
      </w:pPr>
      <w:r w:rsidRPr="000F736C">
        <w:rPr>
          <w:color w:val="000000" w:themeColor="text1"/>
        </w:rPr>
        <w:t>10. družbena odpornost,</w:t>
      </w:r>
    </w:p>
    <w:p w14:paraId="364CA926" w14:textId="77777777" w:rsidR="000F736C" w:rsidRPr="000F736C" w:rsidRDefault="000F736C" w:rsidP="000F736C">
      <w:pPr>
        <w:rPr>
          <w:color w:val="000000" w:themeColor="text1"/>
        </w:rPr>
      </w:pPr>
      <w:r w:rsidRPr="000F736C">
        <w:rPr>
          <w:color w:val="000000" w:themeColor="text1"/>
        </w:rPr>
        <w:t>11. okolje, prostor in naravni viri,</w:t>
      </w:r>
    </w:p>
    <w:p w14:paraId="3601F3B7" w14:textId="77777777" w:rsidR="000F736C" w:rsidRPr="000F736C" w:rsidRDefault="000F736C" w:rsidP="000F736C">
      <w:pPr>
        <w:rPr>
          <w:color w:val="000000" w:themeColor="text1"/>
        </w:rPr>
      </w:pPr>
      <w:r w:rsidRPr="000F736C">
        <w:rPr>
          <w:color w:val="000000" w:themeColor="text1"/>
        </w:rPr>
        <w:t>12. strateško komuniciranje,</w:t>
      </w:r>
    </w:p>
    <w:p w14:paraId="03EF9651" w14:textId="77777777" w:rsidR="000F736C" w:rsidRPr="000F736C" w:rsidRDefault="000F736C" w:rsidP="000F736C">
      <w:pPr>
        <w:rPr>
          <w:color w:val="000000" w:themeColor="text1"/>
        </w:rPr>
      </w:pPr>
      <w:r w:rsidRPr="000F736C">
        <w:rPr>
          <w:color w:val="000000" w:themeColor="text1"/>
        </w:rPr>
        <w:t>13. vesolje in nove tehnologije.</w:t>
      </w:r>
    </w:p>
    <w:p w14:paraId="196644F2" w14:textId="77777777" w:rsidR="000F736C" w:rsidRPr="000F736C" w:rsidRDefault="000F736C" w:rsidP="000F736C">
      <w:pPr>
        <w:rPr>
          <w:color w:val="000000" w:themeColor="text1"/>
        </w:rPr>
      </w:pPr>
    </w:p>
    <w:p w14:paraId="036FAF24" w14:textId="77777777" w:rsidR="000F736C" w:rsidRPr="000F736C" w:rsidRDefault="000F736C" w:rsidP="000F736C">
      <w:pPr>
        <w:rPr>
          <w:color w:val="000000" w:themeColor="text1"/>
        </w:rPr>
      </w:pPr>
      <w:r w:rsidRPr="000F736C">
        <w:rPr>
          <w:color w:val="000000" w:themeColor="text1"/>
        </w:rPr>
        <w:t xml:space="preserve">Nekateri strateški cilji se že uresničujejo na podlagi Akcijskega načrta za krepitev odpornosti države in družbe, ki ga je Vlada RS sprejela po celoviti nacionalni vaji kriznega upravljanja in odzivanja, izvedeni leta 2024. Celovita nacionalna vaja kriznega upravljanja in odzivanja bo v Republiki Sloveniji izvedena na vsaki dve leti. Naslednja je načrtovana v drugi polovici leta 2026. Najpozneje šest mesecev po vsaki taki vaji bosta izvedeni revizija in posodobitev akcijskega načrta. </w:t>
      </w:r>
    </w:p>
    <w:p w14:paraId="6E9EA688" w14:textId="77777777" w:rsidR="000F736C" w:rsidRPr="000F736C" w:rsidRDefault="000F736C" w:rsidP="000F736C">
      <w:pPr>
        <w:rPr>
          <w:color w:val="000000" w:themeColor="text1"/>
        </w:rPr>
      </w:pPr>
    </w:p>
    <w:p w14:paraId="5767A0EC" w14:textId="77777777" w:rsidR="000F736C" w:rsidRPr="000F736C" w:rsidRDefault="000F736C" w:rsidP="000F736C">
      <w:pPr>
        <w:rPr>
          <w:color w:val="000000" w:themeColor="text1"/>
        </w:rPr>
      </w:pPr>
      <w:r w:rsidRPr="000F736C">
        <w:rPr>
          <w:color w:val="000000" w:themeColor="text1"/>
        </w:rPr>
        <w:t>Do prenove trenutno veljavnega akcijskega načrta bodo najpozneje v treh mesecih po sprejetju strategije oblikovani kratkoročni ukrepi, ki bodo v obdobju pred izvedbo vaje leta 2026 dodatno prispevali k uresničevanju ciljev strategije. V okviru kratkoročnih ukrepov se predvideva oblikovanje 13 delovnih skupin po posameznih področjih nacionalne odpornosti. Vsaka delovna skupina bo v okviru svojega področja nacionalne odpornosti opredelila ukrepe za uresničevanje strateških ciljev, merila za spremljanje ukrepov, nosilce ukrepov in sodelujoče, časovnico, finančni okvir in potrebne investicije, ki bodo vključeni v prenovljen akcijski načrt.</w:t>
      </w:r>
    </w:p>
    <w:p w14:paraId="3D955EC4" w14:textId="77777777" w:rsidR="000F736C" w:rsidRPr="000F736C" w:rsidRDefault="000F736C" w:rsidP="000F736C">
      <w:pPr>
        <w:rPr>
          <w:color w:val="000000" w:themeColor="text1"/>
        </w:rPr>
      </w:pPr>
    </w:p>
    <w:p w14:paraId="266167A9" w14:textId="77777777" w:rsidR="000F736C" w:rsidRPr="000F736C" w:rsidRDefault="000F736C" w:rsidP="000F736C">
      <w:pPr>
        <w:rPr>
          <w:color w:val="000000" w:themeColor="text1"/>
        </w:rPr>
      </w:pPr>
      <w:r w:rsidRPr="000F736C">
        <w:rPr>
          <w:color w:val="000000" w:themeColor="text1"/>
        </w:rPr>
        <w:t>Tako bodo vzpostavljeni trdni temelji za sistematično in celovito krepitev odpornosti Republike Slovenije ter tesno sodelovanje med državnimi organi, lokalnimi skupnostmi, varnostnimi sosveti, gospodarstvom, prebivalci in drugimi ključnimi deležniki. Aktivnosti bodo usmerjene v učinkovito pripravo na izredne dogodke, njihovo preprečevanje in obvladovanje ter hitro okrevanje po njih.</w:t>
      </w:r>
    </w:p>
    <w:p w14:paraId="01D28BCD" w14:textId="77777777" w:rsidR="000F736C" w:rsidRPr="000F736C" w:rsidRDefault="000F736C" w:rsidP="000F736C">
      <w:pPr>
        <w:rPr>
          <w:color w:val="000000" w:themeColor="text1"/>
        </w:rPr>
      </w:pPr>
    </w:p>
    <w:p w14:paraId="0549DCF1" w14:textId="77777777" w:rsidR="000F736C" w:rsidRPr="000F736C" w:rsidRDefault="000F736C" w:rsidP="000F736C">
      <w:pPr>
        <w:rPr>
          <w:color w:val="000000" w:themeColor="text1"/>
        </w:rPr>
      </w:pPr>
      <w:r w:rsidRPr="000F736C">
        <w:rPr>
          <w:color w:val="000000" w:themeColor="text1"/>
        </w:rPr>
        <w:t xml:space="preserve">Za uresničevanje ciljev odpornosti bodo deležniki zagotavljali svoje zmogljivosti in sredstva. Strateško pomembni cilji bodo deležni tudi spodbud Družbe za obrambo, varnost in odpornost (DOVOS) ter Ministrstva za obrambo. </w:t>
      </w:r>
    </w:p>
    <w:p w14:paraId="7DADB622" w14:textId="77777777" w:rsidR="000F736C" w:rsidRPr="000F736C" w:rsidRDefault="000F736C" w:rsidP="000F736C">
      <w:pPr>
        <w:rPr>
          <w:color w:val="000000" w:themeColor="text1"/>
        </w:rPr>
      </w:pPr>
    </w:p>
    <w:p w14:paraId="28418D33" w14:textId="3ECCF735" w:rsidR="000F736C" w:rsidRPr="000F736C" w:rsidRDefault="000F736C" w:rsidP="000F736C">
      <w:pPr>
        <w:rPr>
          <w:color w:val="000000" w:themeColor="text1"/>
        </w:rPr>
      </w:pPr>
      <w:r w:rsidRPr="000F736C">
        <w:rPr>
          <w:color w:val="000000" w:themeColor="text1"/>
        </w:rPr>
        <w:t>Ministrstvo za obrambo bo odgovorno za spremljanje uresničevanja strategije. Za izvedbo posameznih ukrepov bodo odgovorni določeni nosilci in z njimi sodelujoči državni organi, ki bodo jasno opredelili kadrovske, materialne ter finančne vire za njihovo izvedbo, pri čemer bo njihovo financiranje načrtovano in zagotovljeno v okviru državnega proračuna.</w:t>
      </w:r>
    </w:p>
    <w:p w14:paraId="2F24EA95" w14:textId="58347409" w:rsidR="000F736C" w:rsidRDefault="000F736C" w:rsidP="000F736C">
      <w:pPr>
        <w:pStyle w:val="Vir"/>
      </w:pPr>
      <w:r w:rsidRPr="000F736C">
        <w:t>Vir: Ministrstvo za obrambo</w:t>
      </w:r>
    </w:p>
    <w:bookmarkEnd w:id="6"/>
    <w:p w14:paraId="080DB208" w14:textId="4EF9B79A" w:rsidR="00741107" w:rsidRDefault="00741107" w:rsidP="00741107">
      <w:pPr>
        <w:pStyle w:val="Naslov2"/>
        <w:rPr>
          <w:lang w:eastAsia="sl-SI"/>
        </w:rPr>
      </w:pPr>
      <w:r>
        <w:rPr>
          <w:lang w:eastAsia="sl-SI"/>
        </w:rPr>
        <w:lastRenderedPageBreak/>
        <w:t xml:space="preserve">Sprejeti akti, ki se nanašajo na </w:t>
      </w:r>
      <w:r w:rsidRPr="00A23753">
        <w:t>zaračunavanje zunanjih stroškov prometa</w:t>
      </w:r>
    </w:p>
    <w:p w14:paraId="3DAD434F" w14:textId="42B24925" w:rsidR="00741107" w:rsidRPr="00A23753" w:rsidRDefault="00741107" w:rsidP="00741107">
      <w:pPr>
        <w:overflowPunct w:val="0"/>
        <w:autoSpaceDE w:val="0"/>
        <w:autoSpaceDN w:val="0"/>
        <w:adjustRightInd w:val="0"/>
        <w:jc w:val="both"/>
        <w:textAlignment w:val="baseline"/>
        <w:rPr>
          <w:rFonts w:cs="Arial"/>
          <w:iCs/>
          <w:color w:val="000000"/>
          <w:szCs w:val="20"/>
          <w:lang w:eastAsia="sl-SI"/>
        </w:rPr>
      </w:pPr>
      <w:r w:rsidRPr="00452FA6">
        <w:rPr>
          <w:rFonts w:cs="Arial"/>
          <w:iCs/>
          <w:szCs w:val="20"/>
          <w:lang w:eastAsia="sl-SI"/>
        </w:rPr>
        <w:t xml:space="preserve">Vlada </w:t>
      </w:r>
      <w:r>
        <w:rPr>
          <w:rFonts w:cs="Arial"/>
          <w:color w:val="000000"/>
          <w:szCs w:val="20"/>
          <w:lang w:eastAsia="sl-SI"/>
        </w:rPr>
        <w:t xml:space="preserve">je sprejela </w:t>
      </w:r>
      <w:r w:rsidRPr="00A23753">
        <w:rPr>
          <w:rFonts w:cs="Arial"/>
          <w:iCs/>
          <w:color w:val="000000"/>
          <w:szCs w:val="20"/>
          <w:lang w:eastAsia="sl-SI"/>
        </w:rPr>
        <w:t>Uredb</w:t>
      </w:r>
      <w:r>
        <w:rPr>
          <w:rFonts w:cs="Arial"/>
          <w:iCs/>
          <w:color w:val="000000"/>
          <w:szCs w:val="20"/>
          <w:lang w:eastAsia="sl-SI"/>
        </w:rPr>
        <w:t>o</w:t>
      </w:r>
      <w:r w:rsidRPr="00A23753">
        <w:rPr>
          <w:rFonts w:cs="Arial"/>
          <w:iCs/>
          <w:color w:val="000000"/>
          <w:szCs w:val="20"/>
          <w:lang w:eastAsia="sl-SI"/>
        </w:rPr>
        <w:t xml:space="preserve"> o spremembah in dopolnitvah Uredbe o cestninskih cestah in cestnini</w:t>
      </w:r>
      <w:r>
        <w:rPr>
          <w:rFonts w:cs="Arial"/>
          <w:iCs/>
          <w:color w:val="000000"/>
          <w:szCs w:val="20"/>
          <w:lang w:eastAsia="sl-SI"/>
        </w:rPr>
        <w:t xml:space="preserve">, </w:t>
      </w:r>
      <w:r w:rsidRPr="00A23753">
        <w:rPr>
          <w:rFonts w:cs="Arial"/>
          <w:iCs/>
          <w:color w:val="000000"/>
          <w:szCs w:val="20"/>
          <w:lang w:eastAsia="sl-SI"/>
        </w:rPr>
        <w:t xml:space="preserve">Sklep o določitvi višine pristojbine za zunanje stroške za posamezne razrede vozil nad 3.500 kg največje tehnično dovoljene mase </w:t>
      </w:r>
      <w:r>
        <w:rPr>
          <w:rFonts w:cs="Arial"/>
          <w:iCs/>
          <w:color w:val="000000"/>
          <w:szCs w:val="20"/>
          <w:lang w:eastAsia="sl-SI"/>
        </w:rPr>
        <w:t xml:space="preserve">in </w:t>
      </w:r>
      <w:r w:rsidRPr="00A23753">
        <w:rPr>
          <w:rFonts w:cs="Arial"/>
          <w:iCs/>
          <w:color w:val="000000"/>
          <w:szCs w:val="20"/>
          <w:lang w:eastAsia="sl-SI"/>
        </w:rPr>
        <w:t xml:space="preserve">Soglasje Vlade </w:t>
      </w:r>
      <w:r>
        <w:rPr>
          <w:rFonts w:cs="Arial"/>
          <w:iCs/>
          <w:color w:val="000000"/>
          <w:szCs w:val="20"/>
          <w:lang w:eastAsia="sl-SI"/>
        </w:rPr>
        <w:t xml:space="preserve">k </w:t>
      </w:r>
      <w:r w:rsidRPr="00A23753">
        <w:rPr>
          <w:rFonts w:cs="Arial"/>
          <w:iCs/>
          <w:color w:val="000000"/>
          <w:szCs w:val="20"/>
          <w:lang w:eastAsia="sl-SI"/>
        </w:rPr>
        <w:t xml:space="preserve">spremembi Cenika cestnine za uporabo cestninskih cest </w:t>
      </w:r>
    </w:p>
    <w:p w14:paraId="3AFBF003" w14:textId="77777777" w:rsidR="00741107" w:rsidRDefault="00741107" w:rsidP="00741107">
      <w:pPr>
        <w:overflowPunct w:val="0"/>
        <w:autoSpaceDE w:val="0"/>
        <w:autoSpaceDN w:val="0"/>
        <w:adjustRightInd w:val="0"/>
        <w:jc w:val="both"/>
        <w:textAlignment w:val="baseline"/>
        <w:rPr>
          <w:rFonts w:cs="Arial"/>
          <w:color w:val="000000"/>
          <w:szCs w:val="20"/>
          <w:lang w:eastAsia="sl-SI"/>
        </w:rPr>
      </w:pPr>
    </w:p>
    <w:p w14:paraId="6E337369" w14:textId="77777777" w:rsidR="00741107" w:rsidRPr="00A23753" w:rsidRDefault="00741107" w:rsidP="00741107">
      <w:pPr>
        <w:autoSpaceDE w:val="0"/>
        <w:autoSpaceDN w:val="0"/>
        <w:adjustRightInd w:val="0"/>
        <w:spacing w:line="276" w:lineRule="auto"/>
        <w:jc w:val="both"/>
        <w:rPr>
          <w:rFonts w:cs="Arial"/>
          <w:color w:val="000000"/>
          <w:szCs w:val="20"/>
          <w:lang w:eastAsia="sl-SI"/>
        </w:rPr>
      </w:pPr>
      <w:r w:rsidRPr="00A23753">
        <w:rPr>
          <w:rFonts w:cs="Arial"/>
          <w:color w:val="000000"/>
          <w:szCs w:val="20"/>
          <w:lang w:eastAsia="sl-SI"/>
        </w:rPr>
        <w:t>S spremembo Zakona o cestninjenju je Slovenija v svoj pravni red prenesla del evropske Direktive 1999/62/ES, ki uvaja zaračunavanje tako imenovanih zunanjih stroškov prometa zaradi onesnaževanja zraka in hrupa. Po novem bodo vozila z največjo dovoljeno maso nad 3,5 tone poleg infrastrukturne pristojbine plačevala še dodatno pristojbino za zunanje stroške. Ta bo odvisna od vrste ceste in območja, po katerem vozilo vozi. V skladu z zakonom je Vlada Republike Slovenije pri obveznih in izbirnih cestninskih cestah za vsak odsek določila vrsto cestnega odseka. Ti odseki so opredeljeni v prilogi novele Uredbe o cestninskih cestah in cestnini. Vlada je posamezne odseke, glede na kriterij gostote prebivalstva, kot je določen v Prilogi III.b Direktive 1999/62/ES, razvrstila na medmestne in primestne ceste.</w:t>
      </w:r>
    </w:p>
    <w:p w14:paraId="46DF788F" w14:textId="77777777" w:rsidR="00741107" w:rsidRPr="00A23753" w:rsidRDefault="00741107" w:rsidP="00741107">
      <w:pPr>
        <w:autoSpaceDE w:val="0"/>
        <w:autoSpaceDN w:val="0"/>
        <w:adjustRightInd w:val="0"/>
        <w:spacing w:line="276" w:lineRule="auto"/>
        <w:jc w:val="both"/>
        <w:rPr>
          <w:rFonts w:cs="Arial"/>
          <w:color w:val="000000"/>
          <w:szCs w:val="20"/>
          <w:lang w:eastAsia="sl-SI"/>
        </w:rPr>
      </w:pPr>
      <w:r w:rsidRPr="00A23753">
        <w:rPr>
          <w:rFonts w:cs="Arial"/>
          <w:color w:val="000000"/>
          <w:szCs w:val="20"/>
          <w:lang w:eastAsia="sl-SI"/>
        </w:rPr>
        <w:t> </w:t>
      </w:r>
    </w:p>
    <w:p w14:paraId="0620D1B5" w14:textId="4CACFB10" w:rsidR="00741107" w:rsidRPr="00A23753" w:rsidRDefault="00741107" w:rsidP="00741107">
      <w:pPr>
        <w:autoSpaceDE w:val="0"/>
        <w:autoSpaceDN w:val="0"/>
        <w:adjustRightInd w:val="0"/>
        <w:spacing w:line="276" w:lineRule="auto"/>
        <w:jc w:val="both"/>
        <w:rPr>
          <w:rFonts w:cs="Arial"/>
          <w:color w:val="000000"/>
          <w:szCs w:val="20"/>
          <w:lang w:eastAsia="sl-SI"/>
        </w:rPr>
      </w:pPr>
      <w:r w:rsidRPr="00A23753">
        <w:rPr>
          <w:rFonts w:cs="Arial"/>
          <w:color w:val="000000"/>
          <w:szCs w:val="20"/>
          <w:lang w:eastAsia="sl-SI"/>
        </w:rPr>
        <w:t>Vlada je s Sklepom o določitvi višine pristojbine za zunanje stroške za posamezne razrede vozil nad 3.500 kg največje tehnično dovoljene mase določila višino pristojbine za zunanje stroške v skladu z vrednostmi, ki jih določa Priloga III.b Direktive 1999/62/ES.</w:t>
      </w:r>
    </w:p>
    <w:p w14:paraId="3419B25E" w14:textId="77777777" w:rsidR="00741107" w:rsidRPr="00A23753" w:rsidRDefault="00741107" w:rsidP="00741107">
      <w:pPr>
        <w:autoSpaceDE w:val="0"/>
        <w:autoSpaceDN w:val="0"/>
        <w:adjustRightInd w:val="0"/>
        <w:spacing w:line="276" w:lineRule="auto"/>
        <w:jc w:val="both"/>
        <w:rPr>
          <w:rFonts w:cs="Arial"/>
          <w:color w:val="000000"/>
          <w:szCs w:val="20"/>
          <w:lang w:eastAsia="sl-SI"/>
        </w:rPr>
      </w:pPr>
      <w:r w:rsidRPr="00A23753">
        <w:rPr>
          <w:rFonts w:cs="Arial"/>
          <w:color w:val="000000"/>
          <w:szCs w:val="20"/>
          <w:lang w:eastAsia="sl-SI"/>
        </w:rPr>
        <w:t> </w:t>
      </w:r>
    </w:p>
    <w:p w14:paraId="58DCA108" w14:textId="77777777" w:rsidR="00741107" w:rsidRPr="00A23753" w:rsidRDefault="00741107" w:rsidP="00741107">
      <w:pPr>
        <w:autoSpaceDE w:val="0"/>
        <w:autoSpaceDN w:val="0"/>
        <w:adjustRightInd w:val="0"/>
        <w:spacing w:line="276" w:lineRule="auto"/>
        <w:jc w:val="both"/>
        <w:rPr>
          <w:rFonts w:cs="Arial"/>
          <w:color w:val="000000"/>
          <w:szCs w:val="20"/>
          <w:lang w:eastAsia="sl-SI"/>
        </w:rPr>
      </w:pPr>
      <w:r w:rsidRPr="00A23753">
        <w:rPr>
          <w:rFonts w:cs="Arial"/>
          <w:color w:val="000000"/>
          <w:szCs w:val="20"/>
          <w:lang w:eastAsia="sl-SI"/>
        </w:rPr>
        <w:t xml:space="preserve">Sočasno se spreminja tudi Cenik cestnine za uporabo cestninskih cest, ki sledi spremembam dolžin cestninskih odsekov v prej omenjeni noveli uredbe. Spremembe višine cestnine na posameznih cestnih odsekih so minimalne in so posledica uskladitve dolžin cestnih odsekov z dejanskim stanjem. </w:t>
      </w:r>
    </w:p>
    <w:p w14:paraId="231A846D" w14:textId="77777777" w:rsidR="00741107" w:rsidRPr="00A23753" w:rsidRDefault="00741107" w:rsidP="00741107">
      <w:pPr>
        <w:autoSpaceDE w:val="0"/>
        <w:autoSpaceDN w:val="0"/>
        <w:adjustRightInd w:val="0"/>
        <w:spacing w:line="276" w:lineRule="auto"/>
        <w:jc w:val="both"/>
        <w:rPr>
          <w:rFonts w:cs="Arial"/>
          <w:color w:val="000000"/>
          <w:szCs w:val="20"/>
          <w:lang w:eastAsia="sl-SI"/>
        </w:rPr>
      </w:pPr>
      <w:r w:rsidRPr="00A23753">
        <w:rPr>
          <w:rFonts w:cs="Arial"/>
          <w:color w:val="000000"/>
          <w:szCs w:val="20"/>
          <w:lang w:eastAsia="sl-SI"/>
        </w:rPr>
        <w:t> </w:t>
      </w:r>
    </w:p>
    <w:p w14:paraId="1DC2AD9B" w14:textId="232880DC" w:rsidR="001F6A7D" w:rsidRPr="00741107" w:rsidRDefault="00741107" w:rsidP="00741107">
      <w:pPr>
        <w:autoSpaceDE w:val="0"/>
        <w:autoSpaceDN w:val="0"/>
        <w:adjustRightInd w:val="0"/>
        <w:spacing w:line="276" w:lineRule="auto"/>
        <w:jc w:val="both"/>
        <w:rPr>
          <w:rFonts w:cs="Arial"/>
          <w:color w:val="000000"/>
          <w:szCs w:val="20"/>
          <w:lang w:eastAsia="sl-SI"/>
        </w:rPr>
      </w:pPr>
      <w:r w:rsidRPr="002A0AE3">
        <w:rPr>
          <w:rFonts w:cs="Arial"/>
          <w:color w:val="000000"/>
          <w:szCs w:val="20"/>
          <w:lang w:eastAsia="sl-SI"/>
        </w:rPr>
        <w:t>50 odstotkov predvidenih prihodkov bo namenjenih nepovratnim finančnim spodbudam avtoprevozniškemu sektorju. Vzpodbude bodo usmerjene v izboljšanje voznega parka z vidika emisij in porabe energije, optimizacijo in digitalizacijo logistike, vzpostavljanje varnih in varovanih parkirišč ter uvajanje tehnoloških rešitev za spremljanje vozil. Namen teh ukrepov je pospešiti prehod v čistejše, učinkovitejše in varnejše cestne prevoze ter zmanjšati njihove negativne vplive na okolje.</w:t>
      </w:r>
      <w:r>
        <w:rPr>
          <w:rFonts w:cs="Arial"/>
          <w:color w:val="000000"/>
          <w:szCs w:val="20"/>
          <w:lang w:eastAsia="sl-SI"/>
        </w:rPr>
        <w:t xml:space="preserve"> </w:t>
      </w:r>
      <w:r w:rsidRPr="002A0AE3">
        <w:rPr>
          <w:rFonts w:cs="Arial"/>
          <w:color w:val="000000"/>
          <w:szCs w:val="20"/>
          <w:lang w:eastAsia="sl-SI"/>
        </w:rPr>
        <w:t>Preostalih 50 odstotkov sredstev bo namenjenih nepovratnim finančnim spodbudam za tovorni železniški promet, razvoju državne cestne infrastrukture, digitalizaciji prometnega sistema in izboljšanju prometne varnosti. S tem se vzpostavlja celovit pristop, ki združuje podporo prevoznikom in hkratna vlaganja države v sodobno, varno in učinkovito prometno omrežje.</w:t>
      </w:r>
      <w:r>
        <w:rPr>
          <w:rFonts w:cs="Arial"/>
          <w:color w:val="000000"/>
          <w:szCs w:val="20"/>
          <w:lang w:eastAsia="sl-SI"/>
        </w:rPr>
        <w:t xml:space="preserve"> </w:t>
      </w:r>
      <w:r w:rsidRPr="00A23753">
        <w:rPr>
          <w:rFonts w:cs="Arial"/>
          <w:color w:val="000000"/>
          <w:szCs w:val="20"/>
          <w:lang w:eastAsia="sl-SI"/>
        </w:rPr>
        <w:t xml:space="preserve">Opisane spremembe bodo začele veljati 1. aprila 2026. </w:t>
      </w:r>
    </w:p>
    <w:p w14:paraId="1E785660" w14:textId="7F7B6DE4" w:rsidR="009E2723" w:rsidRPr="001F6A7D" w:rsidRDefault="001F6A7D" w:rsidP="001F6A7D">
      <w:pPr>
        <w:pStyle w:val="Vir"/>
      </w:pPr>
      <w:r>
        <w:t>Vir: Ministrstvo za infrastrukturo</w:t>
      </w:r>
    </w:p>
    <w:p w14:paraId="446A2011" w14:textId="3D2E8844" w:rsidR="005878AD" w:rsidRPr="005878AD" w:rsidRDefault="005878AD" w:rsidP="005878AD">
      <w:pPr>
        <w:pStyle w:val="Naslov2"/>
      </w:pPr>
      <w:r w:rsidRPr="005878AD">
        <w:t>Vlada dala soglasje k ceni premoga za leto 2026</w:t>
      </w:r>
    </w:p>
    <w:p w14:paraId="2C79F992" w14:textId="77777777" w:rsidR="005878AD" w:rsidRPr="005878AD" w:rsidRDefault="005878AD" w:rsidP="005878AD">
      <w:pPr>
        <w:rPr>
          <w:color w:val="000000" w:themeColor="text1"/>
        </w:rPr>
      </w:pPr>
      <w:r w:rsidRPr="005878AD">
        <w:rPr>
          <w:color w:val="000000" w:themeColor="text1"/>
        </w:rPr>
        <w:t>Vlada je dala soglasje k ceni premoga za leto 2026, ki znaša 7,45 evra na gigadžul, skladno s pogodbo med družbama Premogovnik Velenje in Termoelektrarna Šoštanj.</w:t>
      </w:r>
    </w:p>
    <w:p w14:paraId="5E682756" w14:textId="77777777" w:rsidR="005878AD" w:rsidRPr="005878AD" w:rsidRDefault="005878AD" w:rsidP="005878AD">
      <w:pPr>
        <w:rPr>
          <w:color w:val="000000" w:themeColor="text1"/>
        </w:rPr>
      </w:pPr>
    </w:p>
    <w:p w14:paraId="5CB9EB27" w14:textId="77777777" w:rsidR="005878AD" w:rsidRPr="005878AD" w:rsidRDefault="005878AD" w:rsidP="005878AD">
      <w:pPr>
        <w:rPr>
          <w:color w:val="000000" w:themeColor="text1"/>
        </w:rPr>
      </w:pPr>
      <w:r w:rsidRPr="005878AD">
        <w:rPr>
          <w:color w:val="000000" w:themeColor="text1"/>
        </w:rPr>
        <w:t>Določitev cene je pomembna za zagotavljanje zanesljive oskrbe s toploto v Šaleški dolini v obdobju postopnega izstopa iz premoga. Premogovnik Velenje ostaja ključni dobavitelj lignita za delovanje termoelektrarne, ki opravlja gospodarsko javno službo proizvodnje toplote.</w:t>
      </w:r>
    </w:p>
    <w:p w14:paraId="637F19FF" w14:textId="77777777" w:rsidR="005878AD" w:rsidRPr="005878AD" w:rsidRDefault="005878AD" w:rsidP="005878AD">
      <w:pPr>
        <w:rPr>
          <w:color w:val="000000" w:themeColor="text1"/>
        </w:rPr>
      </w:pPr>
    </w:p>
    <w:p w14:paraId="1E153BE2" w14:textId="77777777" w:rsidR="005878AD" w:rsidRPr="005878AD" w:rsidRDefault="005878AD" w:rsidP="005878AD">
      <w:pPr>
        <w:rPr>
          <w:color w:val="000000" w:themeColor="text1"/>
        </w:rPr>
      </w:pPr>
      <w:r w:rsidRPr="005878AD">
        <w:rPr>
          <w:color w:val="000000" w:themeColor="text1"/>
        </w:rPr>
        <w:t>Cena se oblikuje na podlagi upravičenih stroškov in ne sme presegati primerljivih cen na trgu. S tem se zagotavlja preglednost in nadzor nad stroški ter stabilno delovanje sistema v prehodnem obdobju.</w:t>
      </w:r>
    </w:p>
    <w:p w14:paraId="2FA70453" w14:textId="77777777" w:rsidR="005878AD" w:rsidRPr="005878AD" w:rsidRDefault="005878AD" w:rsidP="005878AD">
      <w:pPr>
        <w:rPr>
          <w:color w:val="000000" w:themeColor="text1"/>
        </w:rPr>
      </w:pPr>
    </w:p>
    <w:p w14:paraId="355DB8F9" w14:textId="77777777" w:rsidR="005878AD" w:rsidRPr="005878AD" w:rsidRDefault="005878AD" w:rsidP="005878AD">
      <w:pPr>
        <w:rPr>
          <w:color w:val="000000" w:themeColor="text1"/>
        </w:rPr>
      </w:pPr>
      <w:r w:rsidRPr="005878AD">
        <w:rPr>
          <w:color w:val="000000" w:themeColor="text1"/>
        </w:rPr>
        <w:t>Vlada je hkrati pozvala Slovenski državni holding, da zagotovi neodvisen pregled oblikovanja cene premoga. Namen pregleda je preveriti skladnost z zakonodajo in dodatno okrepiti zaupanje v pravilnost določitve cene.</w:t>
      </w:r>
    </w:p>
    <w:p w14:paraId="678DF39C" w14:textId="77777777" w:rsidR="005878AD" w:rsidRPr="005878AD" w:rsidRDefault="005878AD" w:rsidP="005878AD">
      <w:pPr>
        <w:rPr>
          <w:color w:val="000000" w:themeColor="text1"/>
        </w:rPr>
      </w:pPr>
    </w:p>
    <w:p w14:paraId="40D163FA" w14:textId="28C37E30" w:rsidR="005878AD" w:rsidRPr="005878AD" w:rsidRDefault="005878AD" w:rsidP="005878AD">
      <w:pPr>
        <w:rPr>
          <w:color w:val="000000" w:themeColor="text1"/>
        </w:rPr>
      </w:pPr>
      <w:r w:rsidRPr="005878AD">
        <w:rPr>
          <w:color w:val="000000" w:themeColor="text1"/>
        </w:rPr>
        <w:lastRenderedPageBreak/>
        <w:t>Ukrepi prispevajo k stabilni in nadzorovani oskrbi s toploto za prebivalce ter omogočajo postopno in pravično prestrukturiranje energetike v regiji.</w:t>
      </w:r>
    </w:p>
    <w:p w14:paraId="652A387E" w14:textId="6ECCCD7D" w:rsidR="009E2723" w:rsidRPr="005878AD" w:rsidRDefault="005878AD" w:rsidP="005878AD">
      <w:pPr>
        <w:pStyle w:val="Vir"/>
      </w:pPr>
      <w:r w:rsidRPr="005878AD">
        <w:t>Vir: Ministrstvo za naravne vire in prostor</w:t>
      </w:r>
    </w:p>
    <w:p w14:paraId="4FAB6987" w14:textId="6BD329BB" w:rsidR="00A55FE4" w:rsidRPr="00A55FE4" w:rsidRDefault="00A55FE4" w:rsidP="00780421">
      <w:pPr>
        <w:pStyle w:val="Naslov2"/>
      </w:pPr>
      <w:r w:rsidRPr="00A55FE4">
        <w:t>Informacija o stanju na trgih umetnih gnojil</w:t>
      </w:r>
    </w:p>
    <w:p w14:paraId="45E8274B" w14:textId="76A109B3" w:rsidR="00A55FE4" w:rsidRPr="00A55FE4" w:rsidRDefault="00A55FE4" w:rsidP="00A55FE4">
      <w:pPr>
        <w:rPr>
          <w:color w:val="000000" w:themeColor="text1"/>
        </w:rPr>
      </w:pPr>
      <w:r w:rsidRPr="00A55FE4">
        <w:rPr>
          <w:color w:val="000000" w:themeColor="text1"/>
        </w:rPr>
        <w:t xml:space="preserve">Vlada se je seznanila z aktualnimi informacijami o stanju na trgih umetnih gnojil v luči najnovejši dogodkov zaradi vojne na Bližnjem vzhodu. </w:t>
      </w:r>
    </w:p>
    <w:p w14:paraId="763850FE" w14:textId="77777777" w:rsidR="00A55FE4" w:rsidRPr="00A55FE4" w:rsidRDefault="00A55FE4" w:rsidP="00A55FE4">
      <w:pPr>
        <w:rPr>
          <w:color w:val="000000" w:themeColor="text1"/>
        </w:rPr>
      </w:pPr>
    </w:p>
    <w:p w14:paraId="69881DED" w14:textId="77777777" w:rsidR="00A55FE4" w:rsidRPr="00A55FE4" w:rsidRDefault="00A55FE4" w:rsidP="00A55FE4">
      <w:pPr>
        <w:rPr>
          <w:color w:val="000000" w:themeColor="text1"/>
        </w:rPr>
      </w:pPr>
      <w:r w:rsidRPr="00A55FE4">
        <w:rPr>
          <w:color w:val="000000" w:themeColor="text1"/>
        </w:rPr>
        <w:t>Zaprtje Hormuške ožine, ki je najpomembnejši svetovni koridor za izvoz dušičnih gnojil, predvsem amonijaka in uree, je povzročilo dvig cen na svetovnih trgih. Prav tako vojna v Perzijskem zalivu vpliva na izvoz žvepla iz Perzijskega zaliva, predvsem iz Savdske Arabije, Katarja in Združenih arabskih emiratov. Žveplo je stranski produkt rafiniranja nafte in plina in je osnovni reagent za predelavo fosfatne rude oziroma fosfatnih gnojil.</w:t>
      </w:r>
    </w:p>
    <w:p w14:paraId="25F0FE77" w14:textId="77777777" w:rsidR="00A55FE4" w:rsidRPr="00A55FE4" w:rsidRDefault="00A55FE4" w:rsidP="00A55FE4">
      <w:pPr>
        <w:rPr>
          <w:color w:val="000000" w:themeColor="text1"/>
        </w:rPr>
      </w:pPr>
    </w:p>
    <w:p w14:paraId="295EEE41" w14:textId="77777777" w:rsidR="00A55FE4" w:rsidRPr="00A55FE4" w:rsidRDefault="00A55FE4" w:rsidP="00A55FE4">
      <w:pPr>
        <w:rPr>
          <w:color w:val="000000" w:themeColor="text1"/>
        </w:rPr>
      </w:pPr>
      <w:r w:rsidRPr="00A55FE4">
        <w:rPr>
          <w:color w:val="000000" w:themeColor="text1"/>
        </w:rPr>
        <w:t xml:space="preserve">Po oceni Statističnega urada RS so imeli leta 2024 kmetijski pridelovalci v Sloveniji na razpolago ali so porabili za gnojenje kmetijskih površin okoli 119.000 ton mineralnih gnojil. Evropska unija (EU) ima proizvodne obrate in tehnološko razvito industrijo umetnih gnojil, vendar nima ključnih surovin, kar pomeni, da je neposredno odvisna od stabilnosti globalnih trgov. </w:t>
      </w:r>
    </w:p>
    <w:p w14:paraId="39E6F0FB" w14:textId="77777777" w:rsidR="00A55FE4" w:rsidRPr="00A55FE4" w:rsidRDefault="00A55FE4" w:rsidP="00A55FE4">
      <w:pPr>
        <w:rPr>
          <w:color w:val="000000" w:themeColor="text1"/>
        </w:rPr>
      </w:pPr>
    </w:p>
    <w:p w14:paraId="7E33927F" w14:textId="0197E1D1" w:rsidR="00A55FE4" w:rsidRPr="00A55FE4" w:rsidRDefault="00A55FE4" w:rsidP="00A55FE4">
      <w:pPr>
        <w:rPr>
          <w:color w:val="000000" w:themeColor="text1"/>
        </w:rPr>
      </w:pPr>
      <w:r w:rsidRPr="00A55FE4">
        <w:rPr>
          <w:color w:val="000000" w:themeColor="text1"/>
        </w:rPr>
        <w:t xml:space="preserve">Po podatkih, ki jih je Ministrstvo za kmetijstvo gozdarstvo in prehrano (MKGP) pridobilo neposredno od dobaviteljev, v Sloveniji sicer imamo zaloge (nabava še v lanskem letu), se pa cene dvigujejo. Poleg tega uvozniki iz EU spreminjajo dobavne roke in količine, ki so na voljo. Pojavljajo se tudi logistične težave pri dobavi, zaznan pa je zmanjšan izbor mineralnih gnojil v EU. </w:t>
      </w:r>
    </w:p>
    <w:p w14:paraId="0DCDE5B7" w14:textId="6E236639" w:rsidR="005523A5" w:rsidRPr="003D602F" w:rsidRDefault="00A55FE4" w:rsidP="003D602F">
      <w:pPr>
        <w:pStyle w:val="Vir"/>
      </w:pPr>
      <w:r w:rsidRPr="00A55FE4">
        <w:t>Vir: Ministrstvo za kmetijstvo, gozdarstvo in prehrano</w:t>
      </w:r>
    </w:p>
    <w:p w14:paraId="35F8021F" w14:textId="44B70B8B" w:rsidR="00420709" w:rsidRPr="00420709" w:rsidRDefault="00420709" w:rsidP="00420709">
      <w:pPr>
        <w:pStyle w:val="Naslov2"/>
      </w:pPr>
      <w:r w:rsidRPr="00420709">
        <w:t>Vlada se je seznanila z informacijo o preskrbi z energijo</w:t>
      </w:r>
    </w:p>
    <w:p w14:paraId="4B53AFAD" w14:textId="3E56EDFD" w:rsidR="00691B07" w:rsidRPr="00420709" w:rsidRDefault="00691B07" w:rsidP="00691B07">
      <w:pPr>
        <w:rPr>
          <w:color w:val="000000" w:themeColor="text1"/>
        </w:rPr>
      </w:pPr>
      <w:r w:rsidRPr="00420709">
        <w:rPr>
          <w:color w:val="000000" w:themeColor="text1"/>
        </w:rPr>
        <w:t xml:space="preserve">Razmere na področju naftnih derivatov so trenutno zaznamovane s povečanim kratkoročnim tveganjem, predvsem zaradi nihanj cen na mednarodnih trgih kot posledica še vedno trajajoče vojne v Iranu ter logističnih omejitev pri dobavi, v Sloveniji predvsem od zalog trgovcev do posameznih bencinskih servisov, kljub temu da količin goriv na ravni širše regije ne primanjkuje. Vlada je s spremenjeno regulacijo cen na </w:t>
      </w:r>
      <w:r w:rsidR="00095FA7">
        <w:rPr>
          <w:color w:val="000000" w:themeColor="text1"/>
        </w:rPr>
        <w:t>bencinskih servisih</w:t>
      </w:r>
      <w:r w:rsidRPr="00420709">
        <w:rPr>
          <w:color w:val="000000" w:themeColor="text1"/>
        </w:rPr>
        <w:t xml:space="preserve"> izven AC in deregulacijo cen na </w:t>
      </w:r>
      <w:r w:rsidR="00095FA7">
        <w:rPr>
          <w:color w:val="000000" w:themeColor="text1"/>
        </w:rPr>
        <w:t>bencinskih servisih</w:t>
      </w:r>
      <w:r w:rsidRPr="00420709">
        <w:rPr>
          <w:color w:val="000000" w:themeColor="text1"/>
        </w:rPr>
        <w:t xml:space="preserve"> izven AC, začasnim znižanjem trošarin, ukinitvijo okoljske dajatve na CO</w:t>
      </w:r>
      <w:r w:rsidRPr="00420709">
        <w:rPr>
          <w:rFonts w:ascii="Cambria Math" w:hAnsi="Cambria Math" w:cs="Cambria Math"/>
          <w:color w:val="000000" w:themeColor="text1"/>
        </w:rPr>
        <w:t>₂</w:t>
      </w:r>
      <w:r w:rsidRPr="00420709">
        <w:rPr>
          <w:color w:val="000000" w:themeColor="text1"/>
        </w:rPr>
        <w:t xml:space="preserve"> ter sprostitvijo dela dr</w:t>
      </w:r>
      <w:r w:rsidRPr="00420709">
        <w:rPr>
          <w:rFonts w:cs="Arial"/>
          <w:color w:val="000000" w:themeColor="text1"/>
        </w:rPr>
        <w:t>ž</w:t>
      </w:r>
      <w:r w:rsidRPr="00420709">
        <w:rPr>
          <w:color w:val="000000" w:themeColor="text1"/>
        </w:rPr>
        <w:t>avnih rezerv sprejela klju</w:t>
      </w:r>
      <w:r w:rsidRPr="00420709">
        <w:rPr>
          <w:rFonts w:cs="Arial"/>
          <w:color w:val="000000" w:themeColor="text1"/>
        </w:rPr>
        <w:t>č</w:t>
      </w:r>
      <w:r w:rsidRPr="00420709">
        <w:rPr>
          <w:color w:val="000000" w:themeColor="text1"/>
        </w:rPr>
        <w:t>ne stabilizacijske ukrepe za bla</w:t>
      </w:r>
      <w:r w:rsidRPr="00420709">
        <w:rPr>
          <w:rFonts w:cs="Arial"/>
          <w:color w:val="000000" w:themeColor="text1"/>
        </w:rPr>
        <w:t>ž</w:t>
      </w:r>
      <w:r w:rsidRPr="00420709">
        <w:rPr>
          <w:color w:val="000000" w:themeColor="text1"/>
        </w:rPr>
        <w:t>enje vplivov na kon</w:t>
      </w:r>
      <w:r w:rsidRPr="00420709">
        <w:rPr>
          <w:rFonts w:cs="Arial"/>
          <w:color w:val="000000" w:themeColor="text1"/>
        </w:rPr>
        <w:t>č</w:t>
      </w:r>
      <w:r w:rsidRPr="00420709">
        <w:rPr>
          <w:color w:val="000000" w:themeColor="text1"/>
        </w:rPr>
        <w:t>ne uporabnike. Klju</w:t>
      </w:r>
      <w:r w:rsidRPr="00420709">
        <w:rPr>
          <w:rFonts w:cs="Arial"/>
          <w:color w:val="000000" w:themeColor="text1"/>
        </w:rPr>
        <w:t>č</w:t>
      </w:r>
      <w:r w:rsidRPr="00420709">
        <w:rPr>
          <w:color w:val="000000" w:themeColor="text1"/>
        </w:rPr>
        <w:t>na tveganja ostajajo vezana na dobavne poti surove nafte na rafinerije v sredozemskem prostoru ter morebitne motnje v rafinerijski in transportni infrastrukturi, kar lahko kratkoro</w:t>
      </w:r>
      <w:r w:rsidRPr="00420709">
        <w:rPr>
          <w:rFonts w:cs="Arial"/>
          <w:color w:val="000000" w:themeColor="text1"/>
        </w:rPr>
        <w:t>č</w:t>
      </w:r>
      <w:r w:rsidRPr="00420709">
        <w:rPr>
          <w:color w:val="000000" w:themeColor="text1"/>
        </w:rPr>
        <w:t xml:space="preserve">no vpliva na dinamiko oskrbe. </w:t>
      </w:r>
    </w:p>
    <w:p w14:paraId="6487508B" w14:textId="77777777" w:rsidR="00691B07" w:rsidRPr="00691B07" w:rsidRDefault="00691B07" w:rsidP="00691B07">
      <w:pPr>
        <w:rPr>
          <w:color w:val="000000" w:themeColor="text1"/>
        </w:rPr>
      </w:pPr>
      <w:r w:rsidRPr="00691B07">
        <w:rPr>
          <w:color w:val="000000" w:themeColor="text1"/>
        </w:rPr>
        <w:t>Na področju zemeljskega plina so tveganja srednjeročna in zmerna, pri čemer je oskrba Slovenije za leto 2026 pogodbeno zagotovljena in ni neposredno odvisna od utekočinjenega plina iz kriznih območij, vendar ostaja določena cenovna izpostavljenost predvsem pri večjih poslovnih odjemalcih.  </w:t>
      </w:r>
    </w:p>
    <w:p w14:paraId="3629D663" w14:textId="550F5EC2" w:rsidR="00691B07" w:rsidRPr="00420709" w:rsidRDefault="00691B07" w:rsidP="00691B07">
      <w:pPr>
        <w:rPr>
          <w:color w:val="000000" w:themeColor="text1"/>
        </w:rPr>
      </w:pPr>
      <w:r w:rsidRPr="00691B07">
        <w:rPr>
          <w:color w:val="000000" w:themeColor="text1"/>
        </w:rPr>
        <w:t>Oskrba z električno energijo ostaja stabilna in zanesljiva, ob nizki ravni tveganja, saj so ključni proizvodni viri in dobavne verige za prihodnje obdobje ustrezno zagotovljeni.</w:t>
      </w:r>
    </w:p>
    <w:p w14:paraId="74DE358D" w14:textId="77777777" w:rsidR="00420709" w:rsidRPr="00420709" w:rsidRDefault="00420709" w:rsidP="00691B07">
      <w:pPr>
        <w:rPr>
          <w:color w:val="000000" w:themeColor="text1"/>
        </w:rPr>
      </w:pPr>
    </w:p>
    <w:p w14:paraId="617D874B" w14:textId="1A38B06F" w:rsidR="00420709" w:rsidRPr="00420709" w:rsidRDefault="00420709" w:rsidP="00691B07">
      <w:pPr>
        <w:rPr>
          <w:color w:val="000000" w:themeColor="text1"/>
        </w:rPr>
      </w:pPr>
      <w:r w:rsidRPr="00420709">
        <w:rPr>
          <w:color w:val="000000" w:themeColor="text1"/>
        </w:rPr>
        <w:t>Tržni inšpektorat je 21. marca 2026 opravil nadzor nad prodajo naftnih derivatov na bencinskih servisih. Pregled</w:t>
      </w:r>
      <w:r w:rsidRPr="00420709">
        <w:rPr>
          <w:color w:val="000000" w:themeColor="text1"/>
        </w:rPr>
        <w:t>a</w:t>
      </w:r>
      <w:r w:rsidRPr="00420709">
        <w:rPr>
          <w:color w:val="000000" w:themeColor="text1"/>
        </w:rPr>
        <w:t>nih je bilo 41 bencinskih servisov, od tega 38 Petrolovih, 2 Shellova in 1 MOL. Tržni inšpektorat je ugotovil, da bencinski servisi ne zadržujejo blaga, temveč ga v primeru zadostnih zalog prodajo kupcem. Iz pregledanih dokazil o dobavi naftnih derivatov izhaja, da so se dobave v zadnjih 14 dneh vršile manj pogosto, povpraševanje pa se je povečevalo. Ugotovljeno je bilo, da so bile dobave v zadnjih dveh dneh za polovico, nekje pa tudi za dve tretjini manjše.</w:t>
      </w:r>
    </w:p>
    <w:p w14:paraId="148F6559" w14:textId="77777777" w:rsidR="00420709" w:rsidRPr="00420709" w:rsidRDefault="00420709" w:rsidP="00691B07">
      <w:pPr>
        <w:rPr>
          <w:color w:val="000000" w:themeColor="text1"/>
        </w:rPr>
      </w:pPr>
    </w:p>
    <w:p w14:paraId="4078F557" w14:textId="7597DC82" w:rsidR="00420709" w:rsidRDefault="00420709" w:rsidP="00420709">
      <w:pPr>
        <w:rPr>
          <w:color w:val="000000" w:themeColor="text1"/>
        </w:rPr>
      </w:pPr>
      <w:r w:rsidRPr="00420709">
        <w:rPr>
          <w:color w:val="000000" w:themeColor="text1"/>
        </w:rPr>
        <w:t xml:space="preserve">V času od 23. do 25. 3. 2026 so bile na terenu ekipe vseh </w:t>
      </w:r>
      <w:r w:rsidR="00095FA7">
        <w:rPr>
          <w:color w:val="000000" w:themeColor="text1"/>
        </w:rPr>
        <w:t>m</w:t>
      </w:r>
      <w:r w:rsidRPr="00420709">
        <w:rPr>
          <w:color w:val="000000" w:themeColor="text1"/>
        </w:rPr>
        <w:t>obilnih oddelkov FURS na različnih lokacijah po državi, ki so izvajale nadzor z vidika kršitev Zakon o trošarinah  (ZTro-1) in Zakonu o prevozu nevarnega blaga (ZPNB). Pri nadzorih niso bile ugotovljene kršitve določb teh dveh zakonov, oskrba z gorivom pa je bila nemotena. Promet na bencinskih servisih, kjer se je izvajal nadzor, je bil nizek in se je le izjemoma zaznalo točenje tudi v prenosne posode. V primeru neustreznih prenosnih posod so točenje goriva zavrnili že sami uslužbenci bencinskih servisov. Na obmejnih črpalkah pa je bilo še vedno zaslediti točenje goriva s strani vozil s tujimi registrskimi tablicami.</w:t>
      </w:r>
    </w:p>
    <w:p w14:paraId="4CAE36E2" w14:textId="36639034" w:rsidR="0078193C" w:rsidRPr="0078193C" w:rsidRDefault="00420709" w:rsidP="00420709">
      <w:pPr>
        <w:pStyle w:val="Vir"/>
      </w:pPr>
      <w:r>
        <w:t>Vir: Ministrstvo za okolje, podnebje in energijo, Ministrstvo za gospodarstvo, turizem in šport in Ministrstvo za finance</w:t>
      </w:r>
    </w:p>
    <w:p w14:paraId="5E4D9DC4" w14:textId="3A9BCEC0" w:rsidR="00593415" w:rsidRPr="00593415" w:rsidRDefault="00593415" w:rsidP="00593415">
      <w:pPr>
        <w:pStyle w:val="Naslov2"/>
      </w:pPr>
      <w:r w:rsidRPr="00593415">
        <w:t>Vlada se je seznanila z izvajanjem Načrta za okrevanje in odpornost</w:t>
      </w:r>
    </w:p>
    <w:p w14:paraId="3B57F347" w14:textId="2CA0B2D1" w:rsidR="00593415" w:rsidRPr="00593415" w:rsidRDefault="00593415" w:rsidP="00593415">
      <w:pPr>
        <w:rPr>
          <w:color w:val="000000" w:themeColor="text1"/>
        </w:rPr>
      </w:pPr>
      <w:r w:rsidRPr="00593415">
        <w:rPr>
          <w:color w:val="000000" w:themeColor="text1"/>
        </w:rPr>
        <w:t>Vlada se je seznanila z Informacijo o izvajanju Načrta za okrevanje in odpornost in obravnavala Poročilo o uresničevanju Načrta za okrevanje in odpornost pred oddajo šestega zahtevka za plačilo.</w:t>
      </w:r>
    </w:p>
    <w:p w14:paraId="381CBAD1" w14:textId="77777777" w:rsidR="00593415" w:rsidRPr="00593415" w:rsidRDefault="00593415" w:rsidP="00593415">
      <w:pPr>
        <w:rPr>
          <w:color w:val="000000" w:themeColor="text1"/>
        </w:rPr>
      </w:pPr>
    </w:p>
    <w:p w14:paraId="4137BD77" w14:textId="77777777" w:rsidR="00593415" w:rsidRPr="00593415" w:rsidRDefault="00593415" w:rsidP="00593415">
      <w:pPr>
        <w:rPr>
          <w:color w:val="000000" w:themeColor="text1"/>
        </w:rPr>
      </w:pPr>
      <w:r w:rsidRPr="00593415">
        <w:rPr>
          <w:color w:val="000000" w:themeColor="text1"/>
        </w:rPr>
        <w:t xml:space="preserve">Slovenija je za izvedbo Načrta za okrevanje in odpornost (NOO) do sedaj prejela maksimalno možno izplačilo vseh zahtevkov, ki jih je do sedaj poslala v Bruselj, saj je izpolnila vse z njimi povezane mejnike/cilje. Do danes je prejela 1,54 milijarde evrov razpoložljivih sredstev, od tega 1,07 milijarde evrov nepovratnih sredstev in 0,47 milijarde evrov posojil. Od tega je država končnim prejemnikom od začetka izvajanja NOO leta 2021 do 20. marca 2026 izplačala skoraj 1,4 milijarde evrov. Samo v letošnjem letu je izplačala 87,9 milijona evrov. </w:t>
      </w:r>
    </w:p>
    <w:p w14:paraId="126C5A65" w14:textId="77777777" w:rsidR="00593415" w:rsidRPr="00593415" w:rsidRDefault="00593415" w:rsidP="00593415">
      <w:pPr>
        <w:rPr>
          <w:color w:val="000000" w:themeColor="text1"/>
        </w:rPr>
      </w:pPr>
    </w:p>
    <w:p w14:paraId="61D49833" w14:textId="77777777" w:rsidR="00593415" w:rsidRPr="00593415" w:rsidRDefault="00593415" w:rsidP="00593415">
      <w:pPr>
        <w:rPr>
          <w:color w:val="000000" w:themeColor="text1"/>
        </w:rPr>
      </w:pPr>
      <w:r w:rsidRPr="00593415">
        <w:rPr>
          <w:color w:val="000000" w:themeColor="text1"/>
        </w:rPr>
        <w:t xml:space="preserve">Trenutno je Slovenija v pričakovanju prejetja plačila petega zahtevka za plačilo v predvideni višini dobrih 230 milijonov evrov, ki ga je Evropska komisija (EK) pozitivno ocenila v začetku tega meseca. Prav tako je država v pričakovanju potrditve pete spremembe NOO, ki jo je EK pozitivno ocenila danes, na pristojnem svetu Evropske unije pa bo obravnavana predvidoma v aprilu. </w:t>
      </w:r>
    </w:p>
    <w:p w14:paraId="33DFCF9E" w14:textId="77777777" w:rsidR="00593415" w:rsidRPr="00593415" w:rsidRDefault="00593415" w:rsidP="00593415">
      <w:pPr>
        <w:rPr>
          <w:color w:val="000000" w:themeColor="text1"/>
        </w:rPr>
      </w:pPr>
    </w:p>
    <w:p w14:paraId="2C2CBA3D" w14:textId="77777777" w:rsidR="00593415" w:rsidRPr="00593415" w:rsidRDefault="00593415" w:rsidP="00593415">
      <w:pPr>
        <w:rPr>
          <w:color w:val="000000" w:themeColor="text1"/>
        </w:rPr>
      </w:pPr>
      <w:r w:rsidRPr="00593415">
        <w:rPr>
          <w:color w:val="000000" w:themeColor="text1"/>
        </w:rPr>
        <w:t xml:space="preserve">Po potrditvi petega zahtevka bo imela Slovenija uradno izpolnjenih 107 mejnikov in ciljev v okviru petih uspešno zaključenih zahtevkov za plačilo. </w:t>
      </w:r>
    </w:p>
    <w:p w14:paraId="4AF187D5" w14:textId="77777777" w:rsidR="00593415" w:rsidRPr="00593415" w:rsidRDefault="00593415" w:rsidP="00593415">
      <w:pPr>
        <w:rPr>
          <w:color w:val="000000" w:themeColor="text1"/>
        </w:rPr>
      </w:pPr>
    </w:p>
    <w:p w14:paraId="2EF4CFC5" w14:textId="77777777" w:rsidR="00593415" w:rsidRPr="00593415" w:rsidRDefault="00593415" w:rsidP="00593415">
      <w:pPr>
        <w:rPr>
          <w:color w:val="000000" w:themeColor="text1"/>
        </w:rPr>
      </w:pPr>
      <w:r w:rsidRPr="00593415">
        <w:rPr>
          <w:color w:val="000000" w:themeColor="text1"/>
        </w:rPr>
        <w:t xml:space="preserve">Za oddajo naslednjega, šestega zahtevka za plačilo, ki bo vključeval osmi obrok za nepovratna sredstva, je ključna peta sprememba NOO, na osnovi katere se en cilj prestavi iz devetega obroka v osmi obrok nepovratnih sredstev, trem ciljem se podaljša časovni rok izvedbe, opis enega mejnika in enega cilja pa se poenostavi. V dogovoru z EK bo Slovenija zaradi hitrejšega poteka postopkov na ravni Evropske unije šesti zahtevek za plačilo v Bruselj poslala do konca marca. </w:t>
      </w:r>
    </w:p>
    <w:p w14:paraId="00D386CC" w14:textId="77777777" w:rsidR="00593415" w:rsidRPr="00593415" w:rsidRDefault="00593415" w:rsidP="00593415">
      <w:pPr>
        <w:rPr>
          <w:color w:val="000000" w:themeColor="text1"/>
        </w:rPr>
      </w:pPr>
    </w:p>
    <w:p w14:paraId="4DE6E580" w14:textId="77777777" w:rsidR="00593415" w:rsidRPr="00593415" w:rsidRDefault="00593415" w:rsidP="00593415">
      <w:pPr>
        <w:rPr>
          <w:color w:val="000000" w:themeColor="text1"/>
        </w:rPr>
      </w:pPr>
      <w:r w:rsidRPr="00593415">
        <w:rPr>
          <w:color w:val="000000" w:themeColor="text1"/>
        </w:rPr>
        <w:t>Tako je vlada danes Uradu Republike Slovenije za okrevanje in odpornost (URSOO) naložila, da EK posreduje šesti zahtevek za plačilo, ki naj vključuje osmi obrok za nepovratna sredstva v skupni vrednosti 89,53 milijona evrov bruto oziroma 41 milijonov evrov neto – upoštevajoč končni poračun prejetih predplačil. Po oceni pristojnih ministrstev je namreč izpolnjenih vseh 15 mejnikov oziroma ciljev tega obroka.</w:t>
      </w:r>
    </w:p>
    <w:p w14:paraId="2DFF2B7B" w14:textId="77777777" w:rsidR="00593415" w:rsidRPr="00593415" w:rsidRDefault="00593415" w:rsidP="00593415">
      <w:pPr>
        <w:rPr>
          <w:color w:val="000000" w:themeColor="text1"/>
        </w:rPr>
      </w:pPr>
    </w:p>
    <w:p w14:paraId="18E25A1E" w14:textId="66172573" w:rsidR="008327A9" w:rsidRPr="00593415" w:rsidRDefault="00593415" w:rsidP="00593415">
      <w:pPr>
        <w:rPr>
          <w:color w:val="000000" w:themeColor="text1"/>
        </w:rPr>
      </w:pPr>
      <w:r w:rsidRPr="00593415">
        <w:rPr>
          <w:color w:val="000000" w:themeColor="text1"/>
        </w:rPr>
        <w:t>Zadnji oziroma sedmi zahtevek za plačilo, ki bo vključeval deveti obrok za nepovratna sredstva in četrti obrok posojil, mora Slovenija v Bruselj posredovati najkasneje do 30. septembra 2026.</w:t>
      </w:r>
    </w:p>
    <w:p w14:paraId="1315D57F" w14:textId="21049288" w:rsidR="00593415" w:rsidRDefault="00593415" w:rsidP="00593415">
      <w:pPr>
        <w:pStyle w:val="Vir"/>
      </w:pPr>
      <w:r w:rsidRPr="00593415">
        <w:t>Vir: Ministrstvo za finance</w:t>
      </w:r>
    </w:p>
    <w:p w14:paraId="7F3A36F1" w14:textId="4754D7D3" w:rsidR="0094441F" w:rsidRPr="0094441F" w:rsidRDefault="0094441F" w:rsidP="0094441F">
      <w:pPr>
        <w:pStyle w:val="Naslov2"/>
      </w:pPr>
      <w:r w:rsidRPr="0094441F">
        <w:t>Kandidatura Slovenije za državo sedeža OZN za arhive, ki jih trenutno upravljajo IRMCT in ICTY</w:t>
      </w:r>
    </w:p>
    <w:p w14:paraId="6F350908" w14:textId="2AAD02C2" w:rsidR="0094441F" w:rsidRPr="0094441F" w:rsidRDefault="0094441F" w:rsidP="0094441F">
      <w:pPr>
        <w:rPr>
          <w:color w:val="000000" w:themeColor="text1"/>
        </w:rPr>
      </w:pPr>
      <w:r w:rsidRPr="0094441F">
        <w:rPr>
          <w:color w:val="000000" w:themeColor="text1"/>
        </w:rPr>
        <w:t xml:space="preserve">Vlada je potrdila interes, da se Slovenija obravnava kot možna država sedeža arhivske enote Sekretariata OZN za upravljanje arhivov Mednarodnega rezidualnega mehanizma za kazenske </w:t>
      </w:r>
      <w:r w:rsidRPr="0094441F">
        <w:rPr>
          <w:color w:val="000000" w:themeColor="text1"/>
        </w:rPr>
        <w:lastRenderedPageBreak/>
        <w:t>tribunale v delu, ki se nanaša na arhive Mednarodnega kazenskega sodišča za nekdanjo Jugoslavijo. Prav tako je sprejela sklep o ustanovitvi Medresorske delovne skupine za pripravo strokovnih podlag glede omenjene zadeve.</w:t>
      </w:r>
    </w:p>
    <w:p w14:paraId="60A87350" w14:textId="77777777" w:rsidR="0094441F" w:rsidRPr="0094441F" w:rsidRDefault="0094441F" w:rsidP="0094441F">
      <w:pPr>
        <w:rPr>
          <w:color w:val="000000" w:themeColor="text1"/>
        </w:rPr>
      </w:pPr>
    </w:p>
    <w:p w14:paraId="395CA432" w14:textId="77777777" w:rsidR="0094441F" w:rsidRPr="0094441F" w:rsidRDefault="0094441F" w:rsidP="0094441F">
      <w:pPr>
        <w:rPr>
          <w:color w:val="000000" w:themeColor="text1"/>
        </w:rPr>
      </w:pPr>
      <w:r w:rsidRPr="0094441F">
        <w:rPr>
          <w:color w:val="000000" w:themeColor="text1"/>
        </w:rPr>
        <w:t>Ti arhivi predstavljajo eno največjih in najkompleksnejših arhivskih zbirk v sistemu OZN, ki vključuje več milijonov dokumentov, zemljevidov, fotografij, predmetov, elektronskih zapisov, spletnih vsebin in podatkovnih baz ter več sto tisoč ur zvočnih in video posnetkov sodnih postopkov. Gre za trajno zgodovinsko in pravno dediščino mednarodne skupnosti, ki je ključnega pomena za raziskovanje in razumevanje delovanja mednarodnega kazenskega pravosodja, razvoja mednarodnega prava ter pregona najhujših kaznivih dejanj, kot so genocid, hudodelstva zoper človečnost in vojna hudodelstva.</w:t>
      </w:r>
    </w:p>
    <w:p w14:paraId="3213EDBA" w14:textId="77777777" w:rsidR="0094441F" w:rsidRPr="0094441F" w:rsidRDefault="0094441F" w:rsidP="0094441F">
      <w:pPr>
        <w:rPr>
          <w:color w:val="000000" w:themeColor="text1"/>
        </w:rPr>
      </w:pPr>
    </w:p>
    <w:p w14:paraId="4193D110" w14:textId="77777777" w:rsidR="0094441F" w:rsidRPr="0094441F" w:rsidRDefault="0094441F" w:rsidP="0094441F">
      <w:pPr>
        <w:rPr>
          <w:color w:val="000000" w:themeColor="text1"/>
        </w:rPr>
      </w:pPr>
      <w:r w:rsidRPr="0094441F">
        <w:rPr>
          <w:color w:val="000000" w:themeColor="text1"/>
        </w:rPr>
        <w:t>Z gostovanjem arhivov bi Slovenija še utrdila svoj položaj zanesljive in angažirane članice mednarodne skupnosti, ki ne zgolj podpira, temveč dejavno sooblikuje multilateralne procese in prispeva k uresničevanju poslanstva OZN. Slovenija se dosledno zavzema za učinkovito mednarodno kazensko pravosodje in spoštovanje vladavine prava, kar dokazujemo z aktivno podporo Mednarodnemu kazenskemu sodišču in z dejavnim sodelovanjem pri vzpostavljanju učinkovitih mehanizmov za preprečevanje in pregon najhujših zločinov, ki zadevajo mednarodno skupnost ter mednarodni mir in varnost.</w:t>
      </w:r>
    </w:p>
    <w:p w14:paraId="5EC81A25" w14:textId="77777777" w:rsidR="0094441F" w:rsidRPr="0094441F" w:rsidRDefault="0094441F" w:rsidP="0094441F">
      <w:pPr>
        <w:rPr>
          <w:color w:val="000000" w:themeColor="text1"/>
        </w:rPr>
      </w:pPr>
    </w:p>
    <w:p w14:paraId="3D9FD449" w14:textId="77777777" w:rsidR="0094441F" w:rsidRPr="0094441F" w:rsidRDefault="0094441F" w:rsidP="0094441F">
      <w:pPr>
        <w:rPr>
          <w:color w:val="000000" w:themeColor="text1"/>
        </w:rPr>
      </w:pPr>
      <w:r w:rsidRPr="0094441F">
        <w:rPr>
          <w:color w:val="000000" w:themeColor="text1"/>
        </w:rPr>
        <w:t>Slovenija predstavlja lokacijo, ki je lahko sprejemljiva za vse in uživa ugled nevtralnega prostora. Prisotnost organa OZN na slovenskem ozemlju bi hkrati dodatno okrepila prepoznavnost Slovenije.</w:t>
      </w:r>
    </w:p>
    <w:p w14:paraId="379FBC01" w14:textId="77777777" w:rsidR="0094441F" w:rsidRPr="0094441F" w:rsidRDefault="0094441F" w:rsidP="0094441F">
      <w:pPr>
        <w:rPr>
          <w:color w:val="000000" w:themeColor="text1"/>
        </w:rPr>
      </w:pPr>
    </w:p>
    <w:p w14:paraId="36E827E6" w14:textId="39949650" w:rsidR="0094441F" w:rsidRPr="0094441F" w:rsidRDefault="0094441F" w:rsidP="0094441F">
      <w:pPr>
        <w:rPr>
          <w:color w:val="000000" w:themeColor="text1"/>
        </w:rPr>
      </w:pPr>
      <w:r w:rsidRPr="0094441F">
        <w:rPr>
          <w:color w:val="000000" w:themeColor="text1"/>
        </w:rPr>
        <w:t>Slovenija ima kot pravna naslednica nekdanje Jugoslavije neposredno zgodovinsko povezavo z delovanjem ICTY in vzdržuje konstruktivne odnose na celotnem območju nekdanje Jugoslavije. Sodišče je obravnavalo kazniva dejanja, storjena na območju nekdanje skupne države, vključno z dogodki, ki so neposredno vplivali na Slovenijo in njeno osamosvojitev.</w:t>
      </w:r>
    </w:p>
    <w:p w14:paraId="206726F9" w14:textId="14573E47" w:rsidR="00904671" w:rsidRPr="0094441F" w:rsidRDefault="0094441F" w:rsidP="0094441F">
      <w:pPr>
        <w:pStyle w:val="Vir"/>
      </w:pPr>
      <w:r w:rsidRPr="0094441F">
        <w:t>Vir: Ministrstvo za zunanje in evropske zadeve Republike Slovenije</w:t>
      </w:r>
    </w:p>
    <w:p w14:paraId="3A35862F" w14:textId="3E4D1A0B" w:rsidR="0012614A" w:rsidRPr="0012614A" w:rsidRDefault="0012614A" w:rsidP="0012614A">
      <w:pPr>
        <w:pStyle w:val="Naslov2"/>
      </w:pPr>
      <w:r w:rsidRPr="0012614A">
        <w:t>Vlada imenovala direktorja Agencije za radioaktivne odpadke</w:t>
      </w:r>
    </w:p>
    <w:p w14:paraId="16FF4F24" w14:textId="77777777" w:rsidR="0012614A" w:rsidRPr="0012614A" w:rsidRDefault="0012614A" w:rsidP="0012614A">
      <w:pPr>
        <w:rPr>
          <w:color w:val="000000" w:themeColor="text1"/>
        </w:rPr>
      </w:pPr>
      <w:r w:rsidRPr="0012614A">
        <w:rPr>
          <w:color w:val="000000" w:themeColor="text1"/>
        </w:rPr>
        <w:t>Vlada je izdala odločbo o imenovanju mag. Sandija Virška za direktorja Agencije za radioaktivne odpadke za mandatno dobo štirih let, od 15. julija 2026 do 14. julija 2030, z možnostjo ponovnega imenovanja.</w:t>
      </w:r>
    </w:p>
    <w:p w14:paraId="5B8BCCAD" w14:textId="77777777" w:rsidR="0012614A" w:rsidRPr="0012614A" w:rsidRDefault="0012614A" w:rsidP="0012614A">
      <w:pPr>
        <w:rPr>
          <w:color w:val="000000" w:themeColor="text1"/>
        </w:rPr>
      </w:pPr>
    </w:p>
    <w:p w14:paraId="1D37F652" w14:textId="77777777" w:rsidR="0012614A" w:rsidRPr="0012614A" w:rsidRDefault="0012614A" w:rsidP="0012614A">
      <w:pPr>
        <w:rPr>
          <w:color w:val="000000" w:themeColor="text1"/>
        </w:rPr>
      </w:pPr>
      <w:r w:rsidRPr="0012614A">
        <w:rPr>
          <w:color w:val="000000" w:themeColor="text1"/>
        </w:rPr>
        <w:t>Imenovanje je bilo izvedeno na podlagi javnega razpisa, v katerem je bil izbran kot najprimernejši kandidat. Izpolnjuje vse predpisane pogoje in ima ustrezne izkušnje za vodenje agencije.</w:t>
      </w:r>
    </w:p>
    <w:p w14:paraId="06F169BB" w14:textId="77777777" w:rsidR="0012614A" w:rsidRPr="0012614A" w:rsidRDefault="0012614A" w:rsidP="0012614A">
      <w:pPr>
        <w:rPr>
          <w:color w:val="000000" w:themeColor="text1"/>
        </w:rPr>
      </w:pPr>
    </w:p>
    <w:p w14:paraId="08883E2B" w14:textId="1048BC37" w:rsidR="0012614A" w:rsidRPr="0012614A" w:rsidRDefault="0012614A" w:rsidP="0012614A">
      <w:pPr>
        <w:rPr>
          <w:color w:val="000000" w:themeColor="text1"/>
        </w:rPr>
      </w:pPr>
      <w:r w:rsidRPr="0012614A">
        <w:rPr>
          <w:color w:val="000000" w:themeColor="text1"/>
        </w:rPr>
        <w:t>Agencija za radioaktivne odpadke opravlja pomembne naloge na področju ravnanja z radioaktivnimi odpadki, med drugim tudi projekt izgradnje odlagališča nizko- in srednjeradioaktivnih odpadkov. Stabilno in strokovno vodenje je ključno za varno upravljanje teh nalog.</w:t>
      </w:r>
    </w:p>
    <w:p w14:paraId="1F3F8C35" w14:textId="51694D0A" w:rsidR="008327A9" w:rsidRPr="0012614A" w:rsidRDefault="0012614A" w:rsidP="0012614A">
      <w:pPr>
        <w:pStyle w:val="Vir"/>
      </w:pPr>
      <w:r w:rsidRPr="0012614A">
        <w:t>Vir: Ministrstvo za naravne vire in prostor</w:t>
      </w:r>
    </w:p>
    <w:p w14:paraId="10976D90" w14:textId="2728B828" w:rsidR="00891106" w:rsidRPr="00891106" w:rsidRDefault="00891106" w:rsidP="00891106">
      <w:pPr>
        <w:pStyle w:val="Naslov2"/>
      </w:pPr>
      <w:r w:rsidRPr="00891106">
        <w:t xml:space="preserve">Vlada imenovala direktorico Javne agencije Republike Slovenije za varnost prometa </w:t>
      </w:r>
    </w:p>
    <w:p w14:paraId="422C1ADA" w14:textId="77777777" w:rsidR="00891106" w:rsidRPr="00891106" w:rsidRDefault="00891106" w:rsidP="00891106">
      <w:r w:rsidRPr="00891106">
        <w:t>Vlada Republike Slovenije je imenovala mag. Sašo Jevšnik Kafol za direktorico Javne agencije Republike Slovenije za varnost prometa za mandatno dobo petih let, in sicer od 1. 4. 2026 do 31. 3. 2031, z možnostjo ponovnega imenovanja.</w:t>
      </w:r>
    </w:p>
    <w:p w14:paraId="310EF46A" w14:textId="77777777" w:rsidR="00891106" w:rsidRPr="00891106" w:rsidRDefault="00891106" w:rsidP="00891106"/>
    <w:p w14:paraId="25C34A78" w14:textId="77777777" w:rsidR="00891106" w:rsidRPr="00891106" w:rsidRDefault="00891106" w:rsidP="00891106">
      <w:r w:rsidRPr="00891106">
        <w:t xml:space="preserve">Javni natečaj za zasedbo prostega delovnega mesta Direktor Javne agencije Republike Slovenije za varnost prometa je bil dne 24. 10. 2025 objavljen v Uradnem listu Republike Slovenije. Natečajna </w:t>
      </w:r>
      <w:r w:rsidRPr="00891106">
        <w:lastRenderedPageBreak/>
        <w:t>komisija je preverila izpolnjevanje pogojev mag. Saše Jevšnik Kafol za delovno mesto direktorja Javne agencije Republike Slovenije za varnost prometa in ugotovila, da izpolnjuje pogoje za direktorja agencije ter je glede na svojo strokovno usposobljenost najbolj primerna za ta položaj. Natečajna komisija je presodila, da so pomembni kriteriji, ki so pretehtali predvsem vprašanje poznavanje notranjega ustroja in delovanja agencije, strokovna uveljavljenost, poznavanje delovanja inštitucije, vodstveni potencial, motiviranost za delo ter poznavanje pravil financiranja v javnem sektorju.</w:t>
      </w:r>
    </w:p>
    <w:p w14:paraId="500CADC4" w14:textId="77777777" w:rsidR="00891106" w:rsidRPr="00891106" w:rsidRDefault="00891106" w:rsidP="00891106"/>
    <w:p w14:paraId="11731FAF" w14:textId="77777777" w:rsidR="00891106" w:rsidRPr="00891106" w:rsidRDefault="00891106" w:rsidP="00891106">
      <w:r w:rsidRPr="00891106">
        <w:t xml:space="preserve">Svet Javne agencije Republike Slovenije za varnost prometa je 3. 3. 2026 ministrici za infrastrukturo posredoval  predlog, s katerim Vladi Republike Slovenije predlaga, da se mag.  Jevšnik Kafol imenuje za direktorico Javne agencije Republike Slovenije za varnost prometa. </w:t>
      </w:r>
    </w:p>
    <w:p w14:paraId="79BFE953" w14:textId="6953C4C5" w:rsidR="00235F98" w:rsidRPr="0093012A" w:rsidRDefault="00235F98" w:rsidP="0093012A">
      <w:pPr>
        <w:pStyle w:val="Vir"/>
      </w:pPr>
      <w:r w:rsidRPr="00235F98">
        <w:t>Vir: Ministrstvo za infrastrukturo</w:t>
      </w:r>
    </w:p>
    <w:p w14:paraId="50E91A54" w14:textId="6738C457" w:rsidR="001A20AA" w:rsidRPr="001A20AA" w:rsidRDefault="001A20AA" w:rsidP="001A20AA">
      <w:pPr>
        <w:pStyle w:val="Naslov2"/>
      </w:pPr>
      <w:bookmarkStart w:id="7" w:name="_Hlk225354788"/>
      <w:r w:rsidRPr="001A20AA">
        <w:t>Vlada imenovala člana nadzornega sveta SID banke</w:t>
      </w:r>
    </w:p>
    <w:p w14:paraId="19A3F5D7" w14:textId="6B9EBACC" w:rsidR="001A20AA" w:rsidRPr="001A20AA" w:rsidRDefault="001A20AA" w:rsidP="001A20AA">
      <w:r w:rsidRPr="001A20AA">
        <w:t>Vlada je na seji na predlog Ministra za finance za člana nadzornega sveta SID - Slovenske izvozne in razvojne banke, d. d., imenuje Johna Michaela Denhofa, na predlog Ministrstva za gospodarstvo, turizem in šport pa imenuje Srečka Jadka, ki bo z mandatom začel 30. avgusta 2026.</w:t>
      </w:r>
    </w:p>
    <w:p w14:paraId="421AED1B" w14:textId="77777777" w:rsidR="001A20AA" w:rsidRPr="001A20AA" w:rsidRDefault="001A20AA" w:rsidP="001A20AA"/>
    <w:p w14:paraId="1E0700E6" w14:textId="77777777" w:rsidR="001A20AA" w:rsidRPr="001A20AA" w:rsidRDefault="001A20AA" w:rsidP="001A20AA">
      <w:r w:rsidRPr="001A20AA">
        <w:t xml:space="preserve">Vlada je imenovala dva člana nadzornega sveta SID banke, ki sta ju predlagali zgoraj navedeni ministrstvi, in sicer oba za mandatno dobo petih let. Imenovanje dveh novih članov nadzornega sveta sledi po tem, ko je 11. septembra 2025 mandat potekel tedanjemu članu nadzornega sveta Janezu Tomšiču in ker bo 29. avgusta 2026 potekel mandat trenutnemu članu nadzornega sveta Marku Tišmi. </w:t>
      </w:r>
    </w:p>
    <w:p w14:paraId="0DBA341A" w14:textId="77777777" w:rsidR="001A20AA" w:rsidRPr="001A20AA" w:rsidRDefault="001A20AA" w:rsidP="001A20AA">
      <w:r w:rsidRPr="001A20AA">
        <w:t xml:space="preserve">John Michael Denhof bo začel funkcijo člana nadzornega sveta SID banke z dnem pridobitve dovoljenja Banke Slovenije za opravljanje funkcije, Srečko Jadek pa po pridobitvi dovoljenja Banke Slovenije za opravljanje funkcije, in sicer najprej z dnem 30. avgusta 2026, ko izteče mandat trenutnemu članu nadzornega sveta Marku Tišmi. </w:t>
      </w:r>
    </w:p>
    <w:p w14:paraId="71054AEC" w14:textId="2DC4DD86" w:rsidR="001A20AA" w:rsidRPr="001A20AA" w:rsidRDefault="001A20AA" w:rsidP="001A20AA">
      <w:r w:rsidRPr="001A20AA">
        <w:t>Politika izbora članov nadzornega sveta SID banke določa, da Komisija za imenovanja in prejemke nadzornega sveta SID banke vsaj dvanajst mesecev pred rednim potekom mandata člana nadzornega sveta določi profil člana nadzornega sveta ter ga posreduje predlagatelju. Ustrezen časovni razpon za imenovanje novih članov nadzornega sveta SID banke je nujen, ker postopek od imenovanja strokovne komisije, objave poziva za pridobivanje kandidatov, izdelave ocen individualne primernosti in sposobnosti kandidatov, njihovega imenovanja na vladi ter pridobitve dovoljenja Banke Slovenije za opravljanje funkcije člana nadzornega sveta SID banke na podlagi že izvedenih postopkov v letih 2023 in 2024 traja od šest do sedem mesecev.</w:t>
      </w:r>
    </w:p>
    <w:p w14:paraId="3D97F948" w14:textId="74733724" w:rsidR="008327A9" w:rsidRPr="001A20AA" w:rsidRDefault="001A20AA" w:rsidP="001A20AA">
      <w:pPr>
        <w:pStyle w:val="Vir"/>
      </w:pPr>
      <w:r w:rsidRPr="001A20AA">
        <w:t>Vir: Ministrstvo za finance</w:t>
      </w:r>
      <w:bookmarkEnd w:id="7"/>
    </w:p>
    <w:p w14:paraId="1A940A61" w14:textId="3934F48E" w:rsidR="007855F2" w:rsidRPr="007855F2" w:rsidRDefault="007855F2" w:rsidP="007855F2">
      <w:pPr>
        <w:pStyle w:val="Naslov2"/>
      </w:pPr>
      <w:r w:rsidRPr="007855F2">
        <w:t>Razrešitev in imenovanje predstavnika ustanovitelja Univerze v Ljubljani</w:t>
      </w:r>
    </w:p>
    <w:p w14:paraId="590E8D3F" w14:textId="283E3BB2" w:rsidR="007855F2" w:rsidRPr="007855F2" w:rsidRDefault="007855F2" w:rsidP="007855F2">
      <w:pPr>
        <w:rPr>
          <w:color w:val="000000" w:themeColor="text1"/>
        </w:rPr>
      </w:pPr>
      <w:r w:rsidRPr="007855F2">
        <w:rPr>
          <w:color w:val="000000" w:themeColor="text1"/>
        </w:rPr>
        <w:t>Vlada je v upravnem odboru Univerze v Ljubljani zaradi odstopa razrešila dr. Barbaro Smolnikar, predstavnico ustanovitelja, imenovano na predlog ministrstva, pristojnega za visoko šolstvo. Vlada je za preostanek mandata upravnega odbora Univerze v Ljubljani na predlog ministrstva, pristojnega za visoko šolstvo, imenovala dr. Matjaža Krajnca.</w:t>
      </w:r>
    </w:p>
    <w:p w14:paraId="409D6B23" w14:textId="225B1EDC" w:rsidR="008327A9" w:rsidRPr="007855F2" w:rsidRDefault="007855F2" w:rsidP="007855F2">
      <w:pPr>
        <w:pStyle w:val="Vir"/>
      </w:pPr>
      <w:r w:rsidRPr="007855F2">
        <w:t>Vir: Ministrstvo za visoko šolstvo, znanost in inovacije</w:t>
      </w:r>
    </w:p>
    <w:p w14:paraId="7BA3C526" w14:textId="32388909" w:rsidR="00F52880" w:rsidRPr="00F52880" w:rsidRDefault="00F52880" w:rsidP="00F52880">
      <w:pPr>
        <w:pStyle w:val="Naslov2"/>
      </w:pPr>
      <w:r w:rsidRPr="00F52880">
        <w:t xml:space="preserve">Imenovanje predstavnikov ustanovitelja v svet Zavoda za ribištvo Slovenije </w:t>
      </w:r>
    </w:p>
    <w:p w14:paraId="77FD16B3" w14:textId="77777777" w:rsidR="00F52880" w:rsidRPr="00F52880" w:rsidRDefault="00F52880" w:rsidP="00F52880">
      <w:pPr>
        <w:rPr>
          <w:color w:val="000000" w:themeColor="text1"/>
        </w:rPr>
      </w:pPr>
      <w:r w:rsidRPr="00F52880">
        <w:rPr>
          <w:color w:val="000000" w:themeColor="text1"/>
        </w:rPr>
        <w:t>V svet Zavoda za ribištvo Slovenije se za mandatno dobo štirih let, od dneva konstituiranja dalje, kot predstavniki ustanovitelja imenujejo naslednji člani:</w:t>
      </w:r>
    </w:p>
    <w:p w14:paraId="435CBBCD" w14:textId="28C1FDBE" w:rsidR="00F52880" w:rsidRPr="00F52880" w:rsidRDefault="00F52880" w:rsidP="00F52880">
      <w:pPr>
        <w:rPr>
          <w:color w:val="000000" w:themeColor="text1"/>
        </w:rPr>
      </w:pPr>
      <w:r w:rsidRPr="00F52880">
        <w:rPr>
          <w:color w:val="000000" w:themeColor="text1"/>
        </w:rPr>
        <w:t xml:space="preserve">• mag. Lidija Kramar – predstavnica Ministrstva za visoko šolstvo, znanost in inovacije, </w:t>
      </w:r>
    </w:p>
    <w:p w14:paraId="579D7B2B" w14:textId="11BE1547" w:rsidR="00F52880" w:rsidRPr="00F52880" w:rsidRDefault="00F52880" w:rsidP="00F52880">
      <w:pPr>
        <w:rPr>
          <w:color w:val="000000" w:themeColor="text1"/>
        </w:rPr>
      </w:pPr>
      <w:r w:rsidRPr="00F52880">
        <w:rPr>
          <w:color w:val="000000" w:themeColor="text1"/>
        </w:rPr>
        <w:lastRenderedPageBreak/>
        <w:t>• Stanka Koren – predstavnica Ministrstva za naravne vire in prostor,</w:t>
      </w:r>
    </w:p>
    <w:p w14:paraId="211939A7" w14:textId="33F1ACA8" w:rsidR="00F52880" w:rsidRPr="00F52880" w:rsidRDefault="00F52880" w:rsidP="00F52880">
      <w:pPr>
        <w:rPr>
          <w:color w:val="000000" w:themeColor="text1"/>
        </w:rPr>
      </w:pPr>
      <w:r w:rsidRPr="00F52880">
        <w:rPr>
          <w:color w:val="000000" w:themeColor="text1"/>
        </w:rPr>
        <w:t>• Uroš Zgonec – predstavnik Ministrstva za kmetijstvo, gozdarstvo in prehrano.</w:t>
      </w:r>
    </w:p>
    <w:p w14:paraId="6A83613F" w14:textId="5FC59189" w:rsidR="008327A9" w:rsidRPr="00F52880" w:rsidRDefault="00F52880" w:rsidP="00F52880">
      <w:pPr>
        <w:pStyle w:val="Vir"/>
      </w:pPr>
      <w:r w:rsidRPr="00F52880">
        <w:t>Ministrstvo za kmetijstvo, gozdarstvo in prehrano</w:t>
      </w:r>
    </w:p>
    <w:p w14:paraId="5D79B332" w14:textId="153401F4" w:rsidR="00725248" w:rsidRDefault="00725248" w:rsidP="00725248">
      <w:pPr>
        <w:pStyle w:val="Naslov2"/>
      </w:pPr>
      <w:r w:rsidRPr="00725248">
        <w:t>Vlada imenovala novega namestnika člana Medresorske komisije za kemijsko varnost</w:t>
      </w:r>
    </w:p>
    <w:p w14:paraId="48CFE3E4" w14:textId="5D383D49" w:rsidR="00725248" w:rsidRPr="00725248" w:rsidRDefault="00725248" w:rsidP="00725248">
      <w:pPr>
        <w:rPr>
          <w:color w:val="000000" w:themeColor="text1"/>
        </w:rPr>
      </w:pPr>
      <w:r w:rsidRPr="00725248">
        <w:rPr>
          <w:color w:val="000000" w:themeColor="text1"/>
        </w:rPr>
        <w:t>Vlada Republike Slovenije je na današnji seji Jasmino Karba razrešila z mesta namestnice člana v Medresorski komisiji za kemijsko varnost in namesto nje na to mesto imenovala dr. Jožeta Rotha.</w:t>
      </w:r>
    </w:p>
    <w:p w14:paraId="4F8E8484" w14:textId="1DB6A453" w:rsidR="008327A9" w:rsidRPr="009C40E8" w:rsidRDefault="00725248" w:rsidP="009C40E8">
      <w:pPr>
        <w:pStyle w:val="Vir"/>
      </w:pPr>
      <w:r w:rsidRPr="00725248">
        <w:t>Vir: Ministrstvo za zdravje</w:t>
      </w:r>
    </w:p>
    <w:p w14:paraId="664259A3" w14:textId="3AEBD965" w:rsidR="00BF3B0B" w:rsidRPr="00BF3B0B" w:rsidRDefault="00BF3B0B" w:rsidP="00BF3B0B">
      <w:pPr>
        <w:pStyle w:val="Naslov2"/>
      </w:pPr>
      <w:r w:rsidRPr="00BF3B0B">
        <w:t>Vlada ugotovila javno korist za ureditev Kamniške Bistrice od Kamnika do Radomelj – 1. etapa</w:t>
      </w:r>
    </w:p>
    <w:p w14:paraId="2FA55797" w14:textId="0C36C60A" w:rsidR="00BF3B0B" w:rsidRPr="00BF3B0B" w:rsidRDefault="00BF3B0B" w:rsidP="00BF3B0B">
      <w:pPr>
        <w:rPr>
          <w:color w:val="000000" w:themeColor="text1"/>
        </w:rPr>
      </w:pPr>
      <w:r w:rsidRPr="00BF3B0B">
        <w:rPr>
          <w:color w:val="000000" w:themeColor="text1"/>
        </w:rPr>
        <w:t>Vlada je</w:t>
      </w:r>
      <w:r>
        <w:rPr>
          <w:color w:val="000000" w:themeColor="text1"/>
        </w:rPr>
        <w:t xml:space="preserve"> </w:t>
      </w:r>
      <w:r w:rsidRPr="00BF3B0B">
        <w:rPr>
          <w:color w:val="000000" w:themeColor="text1"/>
        </w:rPr>
        <w:t>sprejela sklep, da je izvedba vodnogospodarske ureditve na podlagi projektne dokumentacije »Ureditev Kamniške Bistrice od Kamnika do Radomelj – Etapa 1« nujno potrebna in v javno korist.</w:t>
      </w:r>
    </w:p>
    <w:p w14:paraId="751E1983" w14:textId="77777777" w:rsidR="00BF3B0B" w:rsidRPr="00BF3B0B" w:rsidRDefault="00BF3B0B" w:rsidP="00BF3B0B">
      <w:pPr>
        <w:rPr>
          <w:color w:val="000000" w:themeColor="text1"/>
        </w:rPr>
      </w:pPr>
    </w:p>
    <w:p w14:paraId="1EC5B8BE" w14:textId="77777777" w:rsidR="00BF3B0B" w:rsidRPr="00BF3B0B" w:rsidRDefault="00BF3B0B" w:rsidP="00BF3B0B">
      <w:pPr>
        <w:rPr>
          <w:color w:val="000000" w:themeColor="text1"/>
        </w:rPr>
      </w:pPr>
      <w:r w:rsidRPr="00BF3B0B">
        <w:rPr>
          <w:color w:val="000000" w:themeColor="text1"/>
        </w:rPr>
        <w:t>Sklep se nanaša na del nepremičnine s parcelno številko 233/1 k.o. 1909 Šmarca, na katero posega predvidena ureditev za zagotavljanje poplavne varnosti.</w:t>
      </w:r>
    </w:p>
    <w:p w14:paraId="224D1822" w14:textId="77777777" w:rsidR="00BF3B0B" w:rsidRPr="00BF3B0B" w:rsidRDefault="00BF3B0B" w:rsidP="00BF3B0B">
      <w:pPr>
        <w:rPr>
          <w:color w:val="000000" w:themeColor="text1"/>
        </w:rPr>
      </w:pPr>
    </w:p>
    <w:p w14:paraId="02A3924B" w14:textId="77777777" w:rsidR="00BF3B0B" w:rsidRPr="00BF3B0B" w:rsidRDefault="00BF3B0B" w:rsidP="00BF3B0B">
      <w:pPr>
        <w:rPr>
          <w:color w:val="000000" w:themeColor="text1"/>
        </w:rPr>
      </w:pPr>
      <w:r w:rsidRPr="00BF3B0B">
        <w:rPr>
          <w:color w:val="000000" w:themeColor="text1"/>
        </w:rPr>
        <w:t>Ker prostorski akti ne omogočajo dovolj natančne opredelitve posega za potrebe izvedbe projekta, je za nadaljevanje postopkov treba izkazati javno korist. S sprejetjem sklepa vlade se ta izkazuje, kar omogoča izvedbo nadaljnjih postopkov, vključno s postopkom razlastitve.</w:t>
      </w:r>
    </w:p>
    <w:p w14:paraId="582FF4BA" w14:textId="77777777" w:rsidR="00BF3B0B" w:rsidRPr="00BF3B0B" w:rsidRDefault="00BF3B0B" w:rsidP="00BF3B0B">
      <w:pPr>
        <w:rPr>
          <w:color w:val="000000" w:themeColor="text1"/>
        </w:rPr>
      </w:pPr>
    </w:p>
    <w:p w14:paraId="36A0FCE1" w14:textId="0D56CE9C" w:rsidR="00BF3B0B" w:rsidRPr="00BF3B0B" w:rsidRDefault="00BF3B0B" w:rsidP="00BF3B0B">
      <w:pPr>
        <w:rPr>
          <w:color w:val="000000" w:themeColor="text1"/>
        </w:rPr>
      </w:pPr>
      <w:r w:rsidRPr="00BF3B0B">
        <w:rPr>
          <w:color w:val="000000" w:themeColor="text1"/>
        </w:rPr>
        <w:t>S tem se omogoča nadaljevanje priprave in izvedbe projekta.</w:t>
      </w:r>
    </w:p>
    <w:p w14:paraId="5912114A" w14:textId="77777777" w:rsidR="00BF3B0B" w:rsidRDefault="00BF3B0B" w:rsidP="00BF3B0B">
      <w:pPr>
        <w:pStyle w:val="Vir"/>
      </w:pPr>
      <w:r w:rsidRPr="00BF3B0B">
        <w:t>Vir: Ministrstvo za naravne vire in prostor</w:t>
      </w:r>
    </w:p>
    <w:p w14:paraId="3B5E335B" w14:textId="3867E5E0" w:rsidR="00BB3A80" w:rsidRPr="00BB3A80" w:rsidRDefault="00BB3A80" w:rsidP="00BB3A80">
      <w:pPr>
        <w:pStyle w:val="Naslov2"/>
      </w:pPr>
      <w:r w:rsidRPr="00BB3A80">
        <w:t>Razrešitev dr. Jureta Gašpariča s funkcije državnega sekretarja</w:t>
      </w:r>
    </w:p>
    <w:p w14:paraId="120165E3" w14:textId="6CCB1D17" w:rsidR="00BB3A80" w:rsidRPr="00BB3A80" w:rsidRDefault="00BB3A80" w:rsidP="00BB3A80">
      <w:r w:rsidRPr="00BB3A80">
        <w:t>Vlada Republike Slovenije je izdala odločbo, s katero se dr. Jure Gašparič z 31. marcem 2026 razreši s funkcije državnega sekretarja v Ministrstvu za visoko šolstvo, znanost in inovacije.</w:t>
      </w:r>
    </w:p>
    <w:p w14:paraId="5B7CE51D" w14:textId="5AAE7D65" w:rsidR="001245B9" w:rsidRPr="00BB3A80" w:rsidRDefault="00BB3A80" w:rsidP="00BB3A80">
      <w:pPr>
        <w:pStyle w:val="Vir"/>
      </w:pPr>
      <w:r w:rsidRPr="00BB3A80">
        <w:t>Vir: Ministrstvo za visoko šolstvo, znanost in inovacije</w:t>
      </w:r>
    </w:p>
    <w:p w14:paraId="3F327D6C" w14:textId="15AD38AD" w:rsidR="000577E4" w:rsidRPr="000577E4" w:rsidRDefault="000577E4" w:rsidP="000577E4">
      <w:pPr>
        <w:pStyle w:val="Naslov2"/>
      </w:pPr>
      <w:r w:rsidRPr="000577E4">
        <w:t>Vlada imenovala vršilca dolžnosti generalnega sekretarja v Ministrstvu za okolje, podnebje in energijo</w:t>
      </w:r>
    </w:p>
    <w:p w14:paraId="2DE5E81D" w14:textId="45F8CD8F" w:rsidR="000577E4" w:rsidRPr="000577E4" w:rsidRDefault="000577E4" w:rsidP="000577E4">
      <w:pPr>
        <w:rPr>
          <w:color w:val="000000" w:themeColor="text1"/>
        </w:rPr>
      </w:pPr>
      <w:r w:rsidRPr="000577E4">
        <w:rPr>
          <w:color w:val="000000" w:themeColor="text1"/>
        </w:rPr>
        <w:t>Vlada je izdala odločbo o imenovanju Roka Vidmarja z dnem 1. 4. 2026 za vršilca dolžnosti generalnega sekretarja v Ministrstvu za okolje, podnebje in energijo (MOPE), in sicer do imenovanja novega generalnega sekretarja, vendar največ za tri mesece, to je najdlje do 30. 6. 2026.</w:t>
      </w:r>
    </w:p>
    <w:p w14:paraId="227BA597" w14:textId="680665B1" w:rsidR="000577E4" w:rsidRPr="000577E4" w:rsidRDefault="000577E4" w:rsidP="000577E4">
      <w:pPr>
        <w:pStyle w:val="Vir"/>
      </w:pPr>
      <w:r w:rsidRPr="000577E4">
        <w:t>Vir: Ministrstvo za naravne vire in prostor</w:t>
      </w:r>
    </w:p>
    <w:p w14:paraId="1C883C7C" w14:textId="6CF6642B" w:rsidR="008327A9" w:rsidRPr="001245B9" w:rsidRDefault="008327A9" w:rsidP="00E357D3">
      <w:pPr>
        <w:rPr>
          <w:color w:val="FF0000"/>
        </w:rPr>
      </w:pPr>
    </w:p>
    <w:sectPr w:rsidR="008327A9" w:rsidRPr="001245B9"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861"/>
    <w:multiLevelType w:val="hybridMultilevel"/>
    <w:tmpl w:val="BCBC1B40"/>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13F33"/>
    <w:multiLevelType w:val="hybridMultilevel"/>
    <w:tmpl w:val="791E1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692AD8"/>
    <w:multiLevelType w:val="hybridMultilevel"/>
    <w:tmpl w:val="C0C60B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3E5996"/>
    <w:multiLevelType w:val="hybridMultilevel"/>
    <w:tmpl w:val="3B06E33E"/>
    <w:lvl w:ilvl="0" w:tplc="5F7C7F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7B1B93"/>
    <w:multiLevelType w:val="hybridMultilevel"/>
    <w:tmpl w:val="B9B26AA8"/>
    <w:lvl w:ilvl="0" w:tplc="072A4A2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072B58"/>
    <w:multiLevelType w:val="hybridMultilevel"/>
    <w:tmpl w:val="7F2C20BE"/>
    <w:lvl w:ilvl="0" w:tplc="725C9272">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D9C03AC"/>
    <w:multiLevelType w:val="hybridMultilevel"/>
    <w:tmpl w:val="3C92FA48"/>
    <w:lvl w:ilvl="0" w:tplc="1548E5C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22539A"/>
    <w:multiLevelType w:val="hybridMultilevel"/>
    <w:tmpl w:val="B330C4CE"/>
    <w:lvl w:ilvl="0" w:tplc="1548E5CC">
      <w:numFmt w:val="bullet"/>
      <w:lvlText w:val="‒"/>
      <w:lvlJc w:val="left"/>
      <w:pPr>
        <w:ind w:left="720" w:hanging="360"/>
      </w:pPr>
      <w:rPr>
        <w:rFonts w:ascii="Arial" w:eastAsia="Times New Roman" w:hAnsi="Arial" w:hint="default"/>
      </w:rPr>
    </w:lvl>
    <w:lvl w:ilvl="1" w:tplc="BAE43E6C">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2F927BB"/>
    <w:multiLevelType w:val="hybridMultilevel"/>
    <w:tmpl w:val="8076AA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953C72"/>
    <w:multiLevelType w:val="hybridMultilevel"/>
    <w:tmpl w:val="28EC34C6"/>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285A02"/>
    <w:multiLevelType w:val="hybridMultilevel"/>
    <w:tmpl w:val="F8D46ABA"/>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FDD7664"/>
    <w:multiLevelType w:val="hybridMultilevel"/>
    <w:tmpl w:val="A3A0E442"/>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6D51CF"/>
    <w:multiLevelType w:val="hybridMultilevel"/>
    <w:tmpl w:val="D958BFE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2"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7AA42791"/>
    <w:multiLevelType w:val="hybridMultilevel"/>
    <w:tmpl w:val="F796F36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CAE68D0"/>
    <w:multiLevelType w:val="hybridMultilevel"/>
    <w:tmpl w:val="8208D75A"/>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6576364">
    <w:abstractNumId w:val="22"/>
  </w:num>
  <w:num w:numId="2" w16cid:durableId="984821814">
    <w:abstractNumId w:val="16"/>
  </w:num>
  <w:num w:numId="3" w16cid:durableId="150218247">
    <w:abstractNumId w:val="2"/>
  </w:num>
  <w:num w:numId="4" w16cid:durableId="1026903286">
    <w:abstractNumId w:val="17"/>
  </w:num>
  <w:num w:numId="5" w16cid:durableId="231817878">
    <w:abstractNumId w:val="7"/>
  </w:num>
  <w:num w:numId="6" w16cid:durableId="2110814889">
    <w:abstractNumId w:val="23"/>
  </w:num>
  <w:num w:numId="7" w16cid:durableId="695153758">
    <w:abstractNumId w:val="9"/>
  </w:num>
  <w:num w:numId="8" w16cid:durableId="853298866">
    <w:abstractNumId w:val="15"/>
  </w:num>
  <w:num w:numId="9" w16cid:durableId="1789348953">
    <w:abstractNumId w:val="6"/>
  </w:num>
  <w:num w:numId="10" w16cid:durableId="1415012333">
    <w:abstractNumId w:val="19"/>
  </w:num>
  <w:num w:numId="11" w16cid:durableId="886650520">
    <w:abstractNumId w:val="11"/>
  </w:num>
  <w:num w:numId="12" w16cid:durableId="1998266620">
    <w:abstractNumId w:val="3"/>
  </w:num>
  <w:num w:numId="13" w16cid:durableId="1561942283">
    <w:abstractNumId w:val="13"/>
  </w:num>
  <w:num w:numId="14" w16cid:durableId="763454487">
    <w:abstractNumId w:val="0"/>
  </w:num>
  <w:num w:numId="15" w16cid:durableId="390036377">
    <w:abstractNumId w:val="20"/>
  </w:num>
  <w:num w:numId="16" w16cid:durableId="193274978">
    <w:abstractNumId w:val="24"/>
  </w:num>
  <w:num w:numId="17" w16cid:durableId="2025088596">
    <w:abstractNumId w:val="25"/>
  </w:num>
  <w:num w:numId="18" w16cid:durableId="1686787673">
    <w:abstractNumId w:val="18"/>
  </w:num>
  <w:num w:numId="19" w16cid:durableId="550114228">
    <w:abstractNumId w:val="4"/>
  </w:num>
  <w:num w:numId="20" w16cid:durableId="629440434">
    <w:abstractNumId w:val="8"/>
  </w:num>
  <w:num w:numId="21" w16cid:durableId="491604349">
    <w:abstractNumId w:val="1"/>
  </w:num>
  <w:num w:numId="22" w16cid:durableId="1204246265">
    <w:abstractNumId w:val="21"/>
  </w:num>
  <w:num w:numId="23" w16cid:durableId="4871232">
    <w:abstractNumId w:val="14"/>
  </w:num>
  <w:num w:numId="24" w16cid:durableId="2099590568">
    <w:abstractNumId w:val="12"/>
  </w:num>
  <w:num w:numId="25" w16cid:durableId="892815698">
    <w:abstractNumId w:val="5"/>
  </w:num>
  <w:num w:numId="26" w16cid:durableId="20720757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124E8"/>
    <w:rsid w:val="000318BC"/>
    <w:rsid w:val="000318E4"/>
    <w:rsid w:val="00042A90"/>
    <w:rsid w:val="00050A56"/>
    <w:rsid w:val="00051043"/>
    <w:rsid w:val="000577E4"/>
    <w:rsid w:val="000610D5"/>
    <w:rsid w:val="000753AF"/>
    <w:rsid w:val="0007570D"/>
    <w:rsid w:val="00076DF7"/>
    <w:rsid w:val="00083A08"/>
    <w:rsid w:val="00085D04"/>
    <w:rsid w:val="00087069"/>
    <w:rsid w:val="00087A14"/>
    <w:rsid w:val="00094564"/>
    <w:rsid w:val="00095FA7"/>
    <w:rsid w:val="00097B85"/>
    <w:rsid w:val="000A0D5D"/>
    <w:rsid w:val="000B1D39"/>
    <w:rsid w:val="000D3D3C"/>
    <w:rsid w:val="000D5520"/>
    <w:rsid w:val="000D7985"/>
    <w:rsid w:val="000E0657"/>
    <w:rsid w:val="000F736C"/>
    <w:rsid w:val="00110932"/>
    <w:rsid w:val="00110B8F"/>
    <w:rsid w:val="00111A16"/>
    <w:rsid w:val="00113F85"/>
    <w:rsid w:val="001245B9"/>
    <w:rsid w:val="0012614A"/>
    <w:rsid w:val="0012724F"/>
    <w:rsid w:val="0013016C"/>
    <w:rsid w:val="00140079"/>
    <w:rsid w:val="001602C9"/>
    <w:rsid w:val="0016530C"/>
    <w:rsid w:val="001673A5"/>
    <w:rsid w:val="00171D9F"/>
    <w:rsid w:val="00172B6B"/>
    <w:rsid w:val="00173343"/>
    <w:rsid w:val="00187EBD"/>
    <w:rsid w:val="00192F64"/>
    <w:rsid w:val="001958B6"/>
    <w:rsid w:val="001A20AA"/>
    <w:rsid w:val="001B01DD"/>
    <w:rsid w:val="001B42F9"/>
    <w:rsid w:val="001B59FE"/>
    <w:rsid w:val="001C3560"/>
    <w:rsid w:val="001C5F19"/>
    <w:rsid w:val="001D4277"/>
    <w:rsid w:val="001D69D6"/>
    <w:rsid w:val="001F51BC"/>
    <w:rsid w:val="001F6A7D"/>
    <w:rsid w:val="001F7F63"/>
    <w:rsid w:val="00203CAB"/>
    <w:rsid w:val="00203F5F"/>
    <w:rsid w:val="00215140"/>
    <w:rsid w:val="00220CDD"/>
    <w:rsid w:val="0022511A"/>
    <w:rsid w:val="00226B01"/>
    <w:rsid w:val="00231021"/>
    <w:rsid w:val="00231B68"/>
    <w:rsid w:val="00235F98"/>
    <w:rsid w:val="002501CE"/>
    <w:rsid w:val="00255CE8"/>
    <w:rsid w:val="00284183"/>
    <w:rsid w:val="002856E5"/>
    <w:rsid w:val="00291D0E"/>
    <w:rsid w:val="0029654B"/>
    <w:rsid w:val="002B0AA4"/>
    <w:rsid w:val="002B5BE4"/>
    <w:rsid w:val="002B710E"/>
    <w:rsid w:val="002C0766"/>
    <w:rsid w:val="002C36A6"/>
    <w:rsid w:val="002C68EC"/>
    <w:rsid w:val="002D1645"/>
    <w:rsid w:val="002D5B5D"/>
    <w:rsid w:val="002E3F96"/>
    <w:rsid w:val="002F2509"/>
    <w:rsid w:val="002F3BE7"/>
    <w:rsid w:val="002F68BD"/>
    <w:rsid w:val="002F7171"/>
    <w:rsid w:val="00300B2F"/>
    <w:rsid w:val="00302938"/>
    <w:rsid w:val="00305E4B"/>
    <w:rsid w:val="0032428F"/>
    <w:rsid w:val="00325247"/>
    <w:rsid w:val="0033519E"/>
    <w:rsid w:val="00346E22"/>
    <w:rsid w:val="00351E1E"/>
    <w:rsid w:val="00357DC0"/>
    <w:rsid w:val="00361255"/>
    <w:rsid w:val="003613F7"/>
    <w:rsid w:val="00363A41"/>
    <w:rsid w:val="00381018"/>
    <w:rsid w:val="003847C8"/>
    <w:rsid w:val="003877EB"/>
    <w:rsid w:val="00390DF7"/>
    <w:rsid w:val="0039662C"/>
    <w:rsid w:val="003979D2"/>
    <w:rsid w:val="003A3742"/>
    <w:rsid w:val="003A42BA"/>
    <w:rsid w:val="003A4D6F"/>
    <w:rsid w:val="003B4982"/>
    <w:rsid w:val="003D40EA"/>
    <w:rsid w:val="003D602F"/>
    <w:rsid w:val="003D64D8"/>
    <w:rsid w:val="003E17B6"/>
    <w:rsid w:val="003E1B89"/>
    <w:rsid w:val="003E4B82"/>
    <w:rsid w:val="003E6170"/>
    <w:rsid w:val="003F4CC5"/>
    <w:rsid w:val="00415527"/>
    <w:rsid w:val="00420709"/>
    <w:rsid w:val="004245C6"/>
    <w:rsid w:val="00431C65"/>
    <w:rsid w:val="00432937"/>
    <w:rsid w:val="004357FC"/>
    <w:rsid w:val="00435CF5"/>
    <w:rsid w:val="00437725"/>
    <w:rsid w:val="004403EC"/>
    <w:rsid w:val="00447B57"/>
    <w:rsid w:val="0045565C"/>
    <w:rsid w:val="00455B63"/>
    <w:rsid w:val="00460370"/>
    <w:rsid w:val="00465AB5"/>
    <w:rsid w:val="00466BD1"/>
    <w:rsid w:val="00472762"/>
    <w:rsid w:val="00477E75"/>
    <w:rsid w:val="00492641"/>
    <w:rsid w:val="004954E3"/>
    <w:rsid w:val="004A00A8"/>
    <w:rsid w:val="004A4C1D"/>
    <w:rsid w:val="004A7BFC"/>
    <w:rsid w:val="004A7CAD"/>
    <w:rsid w:val="004B4753"/>
    <w:rsid w:val="004B7346"/>
    <w:rsid w:val="004C3F67"/>
    <w:rsid w:val="004C721D"/>
    <w:rsid w:val="004D4484"/>
    <w:rsid w:val="004D5DDF"/>
    <w:rsid w:val="00514121"/>
    <w:rsid w:val="00515D8B"/>
    <w:rsid w:val="00522637"/>
    <w:rsid w:val="005275CF"/>
    <w:rsid w:val="00527867"/>
    <w:rsid w:val="00527AA5"/>
    <w:rsid w:val="005314D7"/>
    <w:rsid w:val="00544398"/>
    <w:rsid w:val="005458D4"/>
    <w:rsid w:val="005515BD"/>
    <w:rsid w:val="005523A5"/>
    <w:rsid w:val="00555928"/>
    <w:rsid w:val="00556372"/>
    <w:rsid w:val="00557894"/>
    <w:rsid w:val="00572F3A"/>
    <w:rsid w:val="005740C1"/>
    <w:rsid w:val="005857C8"/>
    <w:rsid w:val="005878AD"/>
    <w:rsid w:val="0059143B"/>
    <w:rsid w:val="00593415"/>
    <w:rsid w:val="005950B7"/>
    <w:rsid w:val="005A570D"/>
    <w:rsid w:val="005B0938"/>
    <w:rsid w:val="005B5886"/>
    <w:rsid w:val="005C1523"/>
    <w:rsid w:val="005C501F"/>
    <w:rsid w:val="005C7596"/>
    <w:rsid w:val="005D1E16"/>
    <w:rsid w:val="005E1A00"/>
    <w:rsid w:val="005E1ABB"/>
    <w:rsid w:val="00614FFD"/>
    <w:rsid w:val="0062161A"/>
    <w:rsid w:val="00626A98"/>
    <w:rsid w:val="006274BB"/>
    <w:rsid w:val="00632B6E"/>
    <w:rsid w:val="00634EFA"/>
    <w:rsid w:val="00635D43"/>
    <w:rsid w:val="006367B9"/>
    <w:rsid w:val="0064180E"/>
    <w:rsid w:val="00660B85"/>
    <w:rsid w:val="0066249C"/>
    <w:rsid w:val="0067375D"/>
    <w:rsid w:val="00676F03"/>
    <w:rsid w:val="006906AF"/>
    <w:rsid w:val="00691B07"/>
    <w:rsid w:val="00693BA3"/>
    <w:rsid w:val="00695AE3"/>
    <w:rsid w:val="006B0558"/>
    <w:rsid w:val="006B3F12"/>
    <w:rsid w:val="006C1B31"/>
    <w:rsid w:val="006E037B"/>
    <w:rsid w:val="006F0D7F"/>
    <w:rsid w:val="006F29FA"/>
    <w:rsid w:val="0070324C"/>
    <w:rsid w:val="0071171B"/>
    <w:rsid w:val="007120FD"/>
    <w:rsid w:val="007130E1"/>
    <w:rsid w:val="00716545"/>
    <w:rsid w:val="00717E59"/>
    <w:rsid w:val="00725248"/>
    <w:rsid w:val="0073796B"/>
    <w:rsid w:val="00741107"/>
    <w:rsid w:val="00750D01"/>
    <w:rsid w:val="0075264D"/>
    <w:rsid w:val="007643A0"/>
    <w:rsid w:val="007669A3"/>
    <w:rsid w:val="00767A18"/>
    <w:rsid w:val="00780421"/>
    <w:rsid w:val="00781345"/>
    <w:rsid w:val="0078193C"/>
    <w:rsid w:val="00784E57"/>
    <w:rsid w:val="007855F2"/>
    <w:rsid w:val="007973AE"/>
    <w:rsid w:val="0079749C"/>
    <w:rsid w:val="007A2002"/>
    <w:rsid w:val="007A6460"/>
    <w:rsid w:val="007B0ADD"/>
    <w:rsid w:val="007B515F"/>
    <w:rsid w:val="007C21FB"/>
    <w:rsid w:val="007E198F"/>
    <w:rsid w:val="007F5D6B"/>
    <w:rsid w:val="007F6EE3"/>
    <w:rsid w:val="007F6EF7"/>
    <w:rsid w:val="00801A29"/>
    <w:rsid w:val="008220A3"/>
    <w:rsid w:val="008244C0"/>
    <w:rsid w:val="008306A8"/>
    <w:rsid w:val="008327A9"/>
    <w:rsid w:val="008336E7"/>
    <w:rsid w:val="00836E94"/>
    <w:rsid w:val="00837E3F"/>
    <w:rsid w:val="00847AD3"/>
    <w:rsid w:val="00851FE1"/>
    <w:rsid w:val="008522C0"/>
    <w:rsid w:val="008624E8"/>
    <w:rsid w:val="0088720B"/>
    <w:rsid w:val="00891106"/>
    <w:rsid w:val="008A0475"/>
    <w:rsid w:val="008A16D8"/>
    <w:rsid w:val="008B4A82"/>
    <w:rsid w:val="008B6738"/>
    <w:rsid w:val="008B7AF2"/>
    <w:rsid w:val="008C0D30"/>
    <w:rsid w:val="008C4231"/>
    <w:rsid w:val="008C4BFB"/>
    <w:rsid w:val="008D49BD"/>
    <w:rsid w:val="008D7B45"/>
    <w:rsid w:val="008E6B46"/>
    <w:rsid w:val="00904671"/>
    <w:rsid w:val="00905829"/>
    <w:rsid w:val="00905C96"/>
    <w:rsid w:val="00907B5B"/>
    <w:rsid w:val="009174DA"/>
    <w:rsid w:val="0092650B"/>
    <w:rsid w:val="0093012A"/>
    <w:rsid w:val="00933061"/>
    <w:rsid w:val="00933087"/>
    <w:rsid w:val="0094441F"/>
    <w:rsid w:val="00945B27"/>
    <w:rsid w:val="009540E4"/>
    <w:rsid w:val="009718FE"/>
    <w:rsid w:val="00974186"/>
    <w:rsid w:val="00983241"/>
    <w:rsid w:val="009900DE"/>
    <w:rsid w:val="00992982"/>
    <w:rsid w:val="009A41AA"/>
    <w:rsid w:val="009B3707"/>
    <w:rsid w:val="009C2C98"/>
    <w:rsid w:val="009C2D77"/>
    <w:rsid w:val="009C40E8"/>
    <w:rsid w:val="009C562E"/>
    <w:rsid w:val="009C771B"/>
    <w:rsid w:val="009D10D1"/>
    <w:rsid w:val="009D471F"/>
    <w:rsid w:val="009D6054"/>
    <w:rsid w:val="009E2723"/>
    <w:rsid w:val="009E69C9"/>
    <w:rsid w:val="009F37F4"/>
    <w:rsid w:val="009F4DB0"/>
    <w:rsid w:val="00A00779"/>
    <w:rsid w:val="00A03A44"/>
    <w:rsid w:val="00A06971"/>
    <w:rsid w:val="00A07571"/>
    <w:rsid w:val="00A1767C"/>
    <w:rsid w:val="00A20D25"/>
    <w:rsid w:val="00A218DA"/>
    <w:rsid w:val="00A240A2"/>
    <w:rsid w:val="00A30052"/>
    <w:rsid w:val="00A34FC4"/>
    <w:rsid w:val="00A445DF"/>
    <w:rsid w:val="00A521C4"/>
    <w:rsid w:val="00A5415F"/>
    <w:rsid w:val="00A55FE4"/>
    <w:rsid w:val="00A60A37"/>
    <w:rsid w:val="00A60FBF"/>
    <w:rsid w:val="00A67305"/>
    <w:rsid w:val="00A726C3"/>
    <w:rsid w:val="00A7412B"/>
    <w:rsid w:val="00AA71BC"/>
    <w:rsid w:val="00AB1DC2"/>
    <w:rsid w:val="00AC7671"/>
    <w:rsid w:val="00AD1AFD"/>
    <w:rsid w:val="00AE6CD6"/>
    <w:rsid w:val="00AF2576"/>
    <w:rsid w:val="00AF2612"/>
    <w:rsid w:val="00AF5FC8"/>
    <w:rsid w:val="00B022E5"/>
    <w:rsid w:val="00B06EAB"/>
    <w:rsid w:val="00B10F72"/>
    <w:rsid w:val="00B1726C"/>
    <w:rsid w:val="00B270E8"/>
    <w:rsid w:val="00B43836"/>
    <w:rsid w:val="00B47F61"/>
    <w:rsid w:val="00B53301"/>
    <w:rsid w:val="00B53594"/>
    <w:rsid w:val="00B57C5B"/>
    <w:rsid w:val="00B602CF"/>
    <w:rsid w:val="00B60F58"/>
    <w:rsid w:val="00B70F5B"/>
    <w:rsid w:val="00B753A8"/>
    <w:rsid w:val="00B809F6"/>
    <w:rsid w:val="00B84862"/>
    <w:rsid w:val="00B903E5"/>
    <w:rsid w:val="00B9055E"/>
    <w:rsid w:val="00BA743D"/>
    <w:rsid w:val="00BB1111"/>
    <w:rsid w:val="00BB22BD"/>
    <w:rsid w:val="00BB3A80"/>
    <w:rsid w:val="00BB73C0"/>
    <w:rsid w:val="00BC666E"/>
    <w:rsid w:val="00BE5C43"/>
    <w:rsid w:val="00BF3B0B"/>
    <w:rsid w:val="00C227BF"/>
    <w:rsid w:val="00C24130"/>
    <w:rsid w:val="00C3152B"/>
    <w:rsid w:val="00C354D9"/>
    <w:rsid w:val="00C365A8"/>
    <w:rsid w:val="00C43D34"/>
    <w:rsid w:val="00C458C2"/>
    <w:rsid w:val="00C53D3C"/>
    <w:rsid w:val="00C5789A"/>
    <w:rsid w:val="00C666AC"/>
    <w:rsid w:val="00C74E5C"/>
    <w:rsid w:val="00C94EAA"/>
    <w:rsid w:val="00C95D76"/>
    <w:rsid w:val="00C97CF0"/>
    <w:rsid w:val="00C97F7B"/>
    <w:rsid w:val="00CA5624"/>
    <w:rsid w:val="00CA7C71"/>
    <w:rsid w:val="00CB0CB9"/>
    <w:rsid w:val="00CC3123"/>
    <w:rsid w:val="00CC3530"/>
    <w:rsid w:val="00CC37B3"/>
    <w:rsid w:val="00CE21D5"/>
    <w:rsid w:val="00CE45D7"/>
    <w:rsid w:val="00CF099E"/>
    <w:rsid w:val="00D10EB4"/>
    <w:rsid w:val="00D14EEC"/>
    <w:rsid w:val="00D22282"/>
    <w:rsid w:val="00D42266"/>
    <w:rsid w:val="00D505DE"/>
    <w:rsid w:val="00D60A92"/>
    <w:rsid w:val="00D64FA4"/>
    <w:rsid w:val="00D650E2"/>
    <w:rsid w:val="00D7373E"/>
    <w:rsid w:val="00D74A82"/>
    <w:rsid w:val="00D85532"/>
    <w:rsid w:val="00D9208E"/>
    <w:rsid w:val="00D94727"/>
    <w:rsid w:val="00D95BC6"/>
    <w:rsid w:val="00D966FF"/>
    <w:rsid w:val="00D9756E"/>
    <w:rsid w:val="00D97B4B"/>
    <w:rsid w:val="00DA3B4D"/>
    <w:rsid w:val="00DA3BD5"/>
    <w:rsid w:val="00DA5C0D"/>
    <w:rsid w:val="00DA5D7A"/>
    <w:rsid w:val="00DB5264"/>
    <w:rsid w:val="00DB55BA"/>
    <w:rsid w:val="00DB58A4"/>
    <w:rsid w:val="00DC2E63"/>
    <w:rsid w:val="00DD6549"/>
    <w:rsid w:val="00DE199D"/>
    <w:rsid w:val="00DE1B54"/>
    <w:rsid w:val="00DE27BA"/>
    <w:rsid w:val="00DE5DA7"/>
    <w:rsid w:val="00DE6B05"/>
    <w:rsid w:val="00DF72C1"/>
    <w:rsid w:val="00E02AB3"/>
    <w:rsid w:val="00E05EEE"/>
    <w:rsid w:val="00E114A4"/>
    <w:rsid w:val="00E14AAE"/>
    <w:rsid w:val="00E15A35"/>
    <w:rsid w:val="00E20351"/>
    <w:rsid w:val="00E2036F"/>
    <w:rsid w:val="00E27531"/>
    <w:rsid w:val="00E3207D"/>
    <w:rsid w:val="00E3507E"/>
    <w:rsid w:val="00E357D3"/>
    <w:rsid w:val="00E6065F"/>
    <w:rsid w:val="00E7132A"/>
    <w:rsid w:val="00E83E60"/>
    <w:rsid w:val="00E86C78"/>
    <w:rsid w:val="00E948BD"/>
    <w:rsid w:val="00E9650A"/>
    <w:rsid w:val="00EA1AF3"/>
    <w:rsid w:val="00EA3BD8"/>
    <w:rsid w:val="00EC012E"/>
    <w:rsid w:val="00EC060E"/>
    <w:rsid w:val="00ED2BA0"/>
    <w:rsid w:val="00ED2EC7"/>
    <w:rsid w:val="00EE35F8"/>
    <w:rsid w:val="00EF1263"/>
    <w:rsid w:val="00EF2008"/>
    <w:rsid w:val="00F01966"/>
    <w:rsid w:val="00F03257"/>
    <w:rsid w:val="00F135A7"/>
    <w:rsid w:val="00F20884"/>
    <w:rsid w:val="00F21123"/>
    <w:rsid w:val="00F21419"/>
    <w:rsid w:val="00F21BAD"/>
    <w:rsid w:val="00F23144"/>
    <w:rsid w:val="00F240E9"/>
    <w:rsid w:val="00F30E33"/>
    <w:rsid w:val="00F31222"/>
    <w:rsid w:val="00F40BA9"/>
    <w:rsid w:val="00F4181F"/>
    <w:rsid w:val="00F42C80"/>
    <w:rsid w:val="00F462C7"/>
    <w:rsid w:val="00F5177D"/>
    <w:rsid w:val="00F52880"/>
    <w:rsid w:val="00F53B5F"/>
    <w:rsid w:val="00F92545"/>
    <w:rsid w:val="00F9283D"/>
    <w:rsid w:val="00F93A56"/>
    <w:rsid w:val="00FA792D"/>
    <w:rsid w:val="00FB1C2F"/>
    <w:rsid w:val="00FC2D38"/>
    <w:rsid w:val="00FD4788"/>
    <w:rsid w:val="00FD6F18"/>
    <w:rsid w:val="00FE4217"/>
    <w:rsid w:val="00FE5604"/>
    <w:rsid w:val="00FE6B93"/>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15:docId w15:val="{C2BF0E5C-8A28-45B8-AB12-904CA487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62161A"/>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62161A"/>
    <w:rPr>
      <w:rFonts w:ascii="Arial" w:eastAsia="Times New Roman" w:hAnsi="Arial" w:cs="Times New Roman"/>
      <w:lang w:val="x-none" w:eastAsia="x-none"/>
    </w:rPr>
  </w:style>
  <w:style w:type="character" w:styleId="Hiperpovezava">
    <w:name w:val="Hyperlink"/>
    <w:basedOn w:val="Privzetapisavaodstavka"/>
    <w:uiPriority w:val="99"/>
    <w:unhideWhenUsed/>
    <w:rsid w:val="006216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07038">
      <w:bodyDiv w:val="1"/>
      <w:marLeft w:val="0"/>
      <w:marRight w:val="0"/>
      <w:marTop w:val="0"/>
      <w:marBottom w:val="0"/>
      <w:divBdr>
        <w:top w:val="none" w:sz="0" w:space="0" w:color="auto"/>
        <w:left w:val="none" w:sz="0" w:space="0" w:color="auto"/>
        <w:bottom w:val="none" w:sz="0" w:space="0" w:color="auto"/>
        <w:right w:val="none" w:sz="0" w:space="0" w:color="auto"/>
      </w:divBdr>
    </w:div>
    <w:div w:id="504444493">
      <w:bodyDiv w:val="1"/>
      <w:marLeft w:val="0"/>
      <w:marRight w:val="0"/>
      <w:marTop w:val="0"/>
      <w:marBottom w:val="0"/>
      <w:divBdr>
        <w:top w:val="none" w:sz="0" w:space="0" w:color="auto"/>
        <w:left w:val="none" w:sz="0" w:space="0" w:color="auto"/>
        <w:bottom w:val="none" w:sz="0" w:space="0" w:color="auto"/>
        <w:right w:val="none" w:sz="0" w:space="0" w:color="auto"/>
      </w:divBdr>
    </w:div>
    <w:div w:id="667056221">
      <w:bodyDiv w:val="1"/>
      <w:marLeft w:val="0"/>
      <w:marRight w:val="0"/>
      <w:marTop w:val="0"/>
      <w:marBottom w:val="0"/>
      <w:divBdr>
        <w:top w:val="none" w:sz="0" w:space="0" w:color="auto"/>
        <w:left w:val="none" w:sz="0" w:space="0" w:color="auto"/>
        <w:bottom w:val="none" w:sz="0" w:space="0" w:color="auto"/>
        <w:right w:val="none" w:sz="0" w:space="0" w:color="auto"/>
      </w:divBdr>
    </w:div>
    <w:div w:id="678194590">
      <w:bodyDiv w:val="1"/>
      <w:marLeft w:val="0"/>
      <w:marRight w:val="0"/>
      <w:marTop w:val="0"/>
      <w:marBottom w:val="0"/>
      <w:divBdr>
        <w:top w:val="none" w:sz="0" w:space="0" w:color="auto"/>
        <w:left w:val="none" w:sz="0" w:space="0" w:color="auto"/>
        <w:bottom w:val="none" w:sz="0" w:space="0" w:color="auto"/>
        <w:right w:val="none" w:sz="0" w:space="0" w:color="auto"/>
      </w:divBdr>
    </w:div>
    <w:div w:id="703215596">
      <w:bodyDiv w:val="1"/>
      <w:marLeft w:val="0"/>
      <w:marRight w:val="0"/>
      <w:marTop w:val="0"/>
      <w:marBottom w:val="0"/>
      <w:divBdr>
        <w:top w:val="none" w:sz="0" w:space="0" w:color="auto"/>
        <w:left w:val="none" w:sz="0" w:space="0" w:color="auto"/>
        <w:bottom w:val="none" w:sz="0" w:space="0" w:color="auto"/>
        <w:right w:val="none" w:sz="0" w:space="0" w:color="auto"/>
      </w:divBdr>
    </w:div>
    <w:div w:id="783353324">
      <w:bodyDiv w:val="1"/>
      <w:marLeft w:val="0"/>
      <w:marRight w:val="0"/>
      <w:marTop w:val="0"/>
      <w:marBottom w:val="0"/>
      <w:divBdr>
        <w:top w:val="none" w:sz="0" w:space="0" w:color="auto"/>
        <w:left w:val="none" w:sz="0" w:space="0" w:color="auto"/>
        <w:bottom w:val="none" w:sz="0" w:space="0" w:color="auto"/>
        <w:right w:val="none" w:sz="0" w:space="0" w:color="auto"/>
      </w:divBdr>
    </w:div>
    <w:div w:id="818426072">
      <w:bodyDiv w:val="1"/>
      <w:marLeft w:val="0"/>
      <w:marRight w:val="0"/>
      <w:marTop w:val="0"/>
      <w:marBottom w:val="0"/>
      <w:divBdr>
        <w:top w:val="none" w:sz="0" w:space="0" w:color="auto"/>
        <w:left w:val="none" w:sz="0" w:space="0" w:color="auto"/>
        <w:bottom w:val="none" w:sz="0" w:space="0" w:color="auto"/>
        <w:right w:val="none" w:sz="0" w:space="0" w:color="auto"/>
      </w:divBdr>
    </w:div>
    <w:div w:id="848061881">
      <w:bodyDiv w:val="1"/>
      <w:marLeft w:val="0"/>
      <w:marRight w:val="0"/>
      <w:marTop w:val="0"/>
      <w:marBottom w:val="0"/>
      <w:divBdr>
        <w:top w:val="none" w:sz="0" w:space="0" w:color="auto"/>
        <w:left w:val="none" w:sz="0" w:space="0" w:color="auto"/>
        <w:bottom w:val="none" w:sz="0" w:space="0" w:color="auto"/>
        <w:right w:val="none" w:sz="0" w:space="0" w:color="auto"/>
      </w:divBdr>
    </w:div>
    <w:div w:id="1010256874">
      <w:bodyDiv w:val="1"/>
      <w:marLeft w:val="0"/>
      <w:marRight w:val="0"/>
      <w:marTop w:val="0"/>
      <w:marBottom w:val="0"/>
      <w:divBdr>
        <w:top w:val="none" w:sz="0" w:space="0" w:color="auto"/>
        <w:left w:val="none" w:sz="0" w:space="0" w:color="auto"/>
        <w:bottom w:val="none" w:sz="0" w:space="0" w:color="auto"/>
        <w:right w:val="none" w:sz="0" w:space="0" w:color="auto"/>
      </w:divBdr>
    </w:div>
    <w:div w:id="1054160471">
      <w:bodyDiv w:val="1"/>
      <w:marLeft w:val="0"/>
      <w:marRight w:val="0"/>
      <w:marTop w:val="0"/>
      <w:marBottom w:val="0"/>
      <w:divBdr>
        <w:top w:val="none" w:sz="0" w:space="0" w:color="auto"/>
        <w:left w:val="none" w:sz="0" w:space="0" w:color="auto"/>
        <w:bottom w:val="none" w:sz="0" w:space="0" w:color="auto"/>
        <w:right w:val="none" w:sz="0" w:space="0" w:color="auto"/>
      </w:divBdr>
    </w:div>
    <w:div w:id="1056509671">
      <w:bodyDiv w:val="1"/>
      <w:marLeft w:val="0"/>
      <w:marRight w:val="0"/>
      <w:marTop w:val="0"/>
      <w:marBottom w:val="0"/>
      <w:divBdr>
        <w:top w:val="none" w:sz="0" w:space="0" w:color="auto"/>
        <w:left w:val="none" w:sz="0" w:space="0" w:color="auto"/>
        <w:bottom w:val="none" w:sz="0" w:space="0" w:color="auto"/>
        <w:right w:val="none" w:sz="0" w:space="0" w:color="auto"/>
      </w:divBdr>
    </w:div>
    <w:div w:id="1095980589">
      <w:bodyDiv w:val="1"/>
      <w:marLeft w:val="0"/>
      <w:marRight w:val="0"/>
      <w:marTop w:val="0"/>
      <w:marBottom w:val="0"/>
      <w:divBdr>
        <w:top w:val="none" w:sz="0" w:space="0" w:color="auto"/>
        <w:left w:val="none" w:sz="0" w:space="0" w:color="auto"/>
        <w:bottom w:val="none" w:sz="0" w:space="0" w:color="auto"/>
        <w:right w:val="none" w:sz="0" w:space="0" w:color="auto"/>
      </w:divBdr>
    </w:div>
    <w:div w:id="1230119667">
      <w:bodyDiv w:val="1"/>
      <w:marLeft w:val="0"/>
      <w:marRight w:val="0"/>
      <w:marTop w:val="0"/>
      <w:marBottom w:val="0"/>
      <w:divBdr>
        <w:top w:val="none" w:sz="0" w:space="0" w:color="auto"/>
        <w:left w:val="none" w:sz="0" w:space="0" w:color="auto"/>
        <w:bottom w:val="none" w:sz="0" w:space="0" w:color="auto"/>
        <w:right w:val="none" w:sz="0" w:space="0" w:color="auto"/>
      </w:divBdr>
    </w:div>
    <w:div w:id="1358314354">
      <w:bodyDiv w:val="1"/>
      <w:marLeft w:val="0"/>
      <w:marRight w:val="0"/>
      <w:marTop w:val="0"/>
      <w:marBottom w:val="0"/>
      <w:divBdr>
        <w:top w:val="none" w:sz="0" w:space="0" w:color="auto"/>
        <w:left w:val="none" w:sz="0" w:space="0" w:color="auto"/>
        <w:bottom w:val="none" w:sz="0" w:space="0" w:color="auto"/>
        <w:right w:val="none" w:sz="0" w:space="0" w:color="auto"/>
      </w:divBdr>
    </w:div>
    <w:div w:id="1485198261">
      <w:bodyDiv w:val="1"/>
      <w:marLeft w:val="0"/>
      <w:marRight w:val="0"/>
      <w:marTop w:val="0"/>
      <w:marBottom w:val="0"/>
      <w:divBdr>
        <w:top w:val="none" w:sz="0" w:space="0" w:color="auto"/>
        <w:left w:val="none" w:sz="0" w:space="0" w:color="auto"/>
        <w:bottom w:val="none" w:sz="0" w:space="0" w:color="auto"/>
        <w:right w:val="none" w:sz="0" w:space="0" w:color="auto"/>
      </w:divBdr>
    </w:div>
    <w:div w:id="1697194782">
      <w:bodyDiv w:val="1"/>
      <w:marLeft w:val="0"/>
      <w:marRight w:val="0"/>
      <w:marTop w:val="0"/>
      <w:marBottom w:val="0"/>
      <w:divBdr>
        <w:top w:val="none" w:sz="0" w:space="0" w:color="auto"/>
        <w:left w:val="none" w:sz="0" w:space="0" w:color="auto"/>
        <w:bottom w:val="none" w:sz="0" w:space="0" w:color="auto"/>
        <w:right w:val="none" w:sz="0" w:space="0" w:color="auto"/>
      </w:divBdr>
    </w:div>
    <w:div w:id="1804469206">
      <w:bodyDiv w:val="1"/>
      <w:marLeft w:val="0"/>
      <w:marRight w:val="0"/>
      <w:marTop w:val="0"/>
      <w:marBottom w:val="0"/>
      <w:divBdr>
        <w:top w:val="none" w:sz="0" w:space="0" w:color="auto"/>
        <w:left w:val="none" w:sz="0" w:space="0" w:color="auto"/>
        <w:bottom w:val="none" w:sz="0" w:space="0" w:color="auto"/>
        <w:right w:val="none" w:sz="0" w:space="0" w:color="auto"/>
      </w:divBdr>
    </w:div>
    <w:div w:id="203522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teme/sistem-inspekcijskega-nadzor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3.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24</Pages>
  <Words>11898</Words>
  <Characters>67823</Characters>
  <Application>Microsoft Office Word</Application>
  <DocSecurity>0</DocSecurity>
  <Lines>565</Lines>
  <Paragraphs>159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Otavnik</dc:creator>
  <cp:keywords/>
  <dc:description/>
  <cp:lastModifiedBy>Anja Otavnik</cp:lastModifiedBy>
  <cp:revision>11</cp:revision>
  <dcterms:created xsi:type="dcterms:W3CDTF">2026-03-26T12:21:00Z</dcterms:created>
  <dcterms:modified xsi:type="dcterms:W3CDTF">2026-03-26T13:50:00Z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