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F57" w14:textId="17ADCAE4" w:rsidR="00F01966" w:rsidRDefault="00F01966" w:rsidP="0073796B">
      <w:pPr>
        <w:autoSpaceDE w:val="0"/>
        <w:autoSpaceDN w:val="0"/>
        <w:adjustRightInd w:val="0"/>
        <w:spacing w:line="240" w:lineRule="auto"/>
        <w:ind w:left="-1701"/>
        <w:sectPr w:rsidR="00F01966" w:rsidSect="00F01966">
          <w:headerReference w:type="default" r:id="rId11"/>
          <w:headerReference w:type="first" r:id="rId12"/>
          <w:pgSz w:w="11906" w:h="16838"/>
          <w:pgMar w:top="1128" w:right="1701" w:bottom="1134" w:left="1701" w:header="0" w:footer="794" w:gutter="0"/>
          <w:cols w:space="708"/>
          <w:titlePg/>
          <w:docGrid w:linePitch="360"/>
        </w:sectPr>
      </w:pPr>
    </w:p>
    <w:p w14:paraId="09ADF517" w14:textId="22D4F179" w:rsidR="0073796B" w:rsidRPr="009D10D1" w:rsidRDefault="0073796B" w:rsidP="009D10D1">
      <w:pPr>
        <w:pStyle w:val="Naslov"/>
      </w:pPr>
      <w:r w:rsidRPr="009D10D1">
        <w:t>SPOROČILO ZA JAVNOST</w:t>
      </w:r>
    </w:p>
    <w:p w14:paraId="6AD96446" w14:textId="77777777" w:rsidR="00231021" w:rsidRDefault="00231021" w:rsidP="0039662C">
      <w:pPr>
        <w:pStyle w:val="Naslov1"/>
      </w:pPr>
    </w:p>
    <w:p w14:paraId="71A02687" w14:textId="7B195C44" w:rsidR="0073796B" w:rsidRPr="0039662C" w:rsidRDefault="00D74A82" w:rsidP="0039662C">
      <w:pPr>
        <w:pStyle w:val="Naslov1"/>
      </w:pPr>
      <w:r>
        <w:t>1</w:t>
      </w:r>
      <w:r w:rsidR="00CC3530">
        <w:t>9</w:t>
      </w:r>
      <w:r w:rsidR="008522C0">
        <w:t>3</w:t>
      </w:r>
      <w:r w:rsidR="0073796B" w:rsidRPr="0039662C">
        <w:t xml:space="preserve">. </w:t>
      </w:r>
      <w:r>
        <w:t>red</w:t>
      </w:r>
      <w:r w:rsidR="00F03257">
        <w:t xml:space="preserve">na </w:t>
      </w:r>
      <w:r w:rsidR="0073796B" w:rsidRPr="0039662C">
        <w:t>seja Vlade Republike Slovenije</w:t>
      </w:r>
    </w:p>
    <w:p w14:paraId="27F30B92" w14:textId="34A9BE64" w:rsidR="0073796B" w:rsidRDefault="008522C0" w:rsidP="008B7AF2">
      <w:pPr>
        <w:pStyle w:val="DatumSZJ"/>
      </w:pPr>
      <w:r>
        <w:t>5</w:t>
      </w:r>
      <w:r w:rsidR="002856E5">
        <w:t>.</w:t>
      </w:r>
      <w:r w:rsidR="008220A3">
        <w:t xml:space="preserve"> </w:t>
      </w:r>
      <w:r>
        <w:t>marec</w:t>
      </w:r>
      <w:r w:rsidR="00DA3B4D">
        <w:t xml:space="preserve"> </w:t>
      </w:r>
      <w:r w:rsidR="0073796B" w:rsidRPr="008B7AF2">
        <w:t>202</w:t>
      </w:r>
      <w:r w:rsidR="00F03257">
        <w:t>6</w:t>
      </w:r>
    </w:p>
    <w:p w14:paraId="7134D676" w14:textId="0A764C16" w:rsidR="00D03EA4" w:rsidRDefault="00D03EA4" w:rsidP="00D03EA4">
      <w:pPr>
        <w:pStyle w:val="Naslov2"/>
      </w:pPr>
      <w:r>
        <w:t>Posodobili Uredbo o izvajanju zaščite, reševanja in pomoči z uporabo zrakoplovov</w:t>
      </w:r>
    </w:p>
    <w:p w14:paraId="11C01C41" w14:textId="77777777" w:rsidR="00D03EA4" w:rsidRDefault="00D03EA4" w:rsidP="00D03EA4">
      <w:r>
        <w:t>Vlada je danes izdala novo uredbo o spremembah in dopolnitvah Uredbe o izvajanju zaščite, reševanja in pomoči z uporabo zrakoplovov, ki bo objavljena v Uradnem listu Republike Slovenije.</w:t>
      </w:r>
    </w:p>
    <w:p w14:paraId="1208A901" w14:textId="77777777" w:rsidR="00D03EA4" w:rsidRDefault="00D03EA4" w:rsidP="00D03EA4"/>
    <w:p w14:paraId="71485876" w14:textId="77777777" w:rsidR="00D03EA4" w:rsidRDefault="00D03EA4" w:rsidP="00D03EA4">
      <w:r>
        <w:t xml:space="preserve">Leta 2024 je bila v okviru Uprave za zaščito in reševanje vzpostavljena nova operativna letalska enota za podporo gašenju iz zraka, ki funkcionalno dopolnjuje državni sistem zračne podpore s tretjo državno letalsko entiteto – poleg letalskih entitet Slovenske vojske in Policije. </w:t>
      </w:r>
    </w:p>
    <w:p w14:paraId="7F76A38B" w14:textId="77777777" w:rsidR="00D03EA4" w:rsidRDefault="00D03EA4" w:rsidP="00D03EA4"/>
    <w:p w14:paraId="056D154B" w14:textId="77777777" w:rsidR="00D03EA4" w:rsidRDefault="00D03EA4" w:rsidP="00D03EA4">
      <w:r>
        <w:t>S spremembami Uredbe o izvajanju zaščite, reševanja in pomoči z uporabo zrakoplovov so posodobljene določbe, ki opredeljujejo letalske enote, vključene v sistem zaščite, reševanja in pomoči. V dosedanji uredbi so namreč opredeljene zgolj klasične oblike zračne podpore s helikopterji. Spremembe uredbe se nanašajo tudi na izboljšanje varnosti letenja.</w:t>
      </w:r>
    </w:p>
    <w:p w14:paraId="49C486A2" w14:textId="44D69338" w:rsidR="001A7EC8" w:rsidRDefault="00D03EA4" w:rsidP="00D03EA4">
      <w:pPr>
        <w:pStyle w:val="Vir"/>
      </w:pPr>
      <w:r>
        <w:t>Vir: Ministrstvo za obrambo</w:t>
      </w:r>
    </w:p>
    <w:p w14:paraId="2018A9D1" w14:textId="4191B4ED" w:rsidR="00F63B7E" w:rsidRDefault="00F63B7E" w:rsidP="00F63B7E">
      <w:pPr>
        <w:pStyle w:val="Naslov2"/>
      </w:pPr>
      <w:r>
        <w:t>Vlada je izdala dopolnjeno Uredbo o izobrazbi in strokovnem izpitu za vodenje in odločanje v upravnem postopku</w:t>
      </w:r>
    </w:p>
    <w:p w14:paraId="0394D09A" w14:textId="77777777" w:rsidR="00F63B7E" w:rsidRDefault="00F63B7E" w:rsidP="00F63B7E">
      <w:r>
        <w:t>Vlada Republike Slovenije je izdala Uredbo o dopolnitvi Uredbe o izobrazbi in strokovnem izpitu za vodenje in odločanje v upravnem postopku ter jo objavi v Uradnem listu Republike Slovenije.</w:t>
      </w:r>
    </w:p>
    <w:p w14:paraId="7F13492E" w14:textId="77777777" w:rsidR="00F63B7E" w:rsidRDefault="00F63B7E" w:rsidP="00F63B7E"/>
    <w:p w14:paraId="21EB747B" w14:textId="77777777" w:rsidR="00F63B7E" w:rsidRDefault="00F63B7E" w:rsidP="00F63B7E">
      <w:r>
        <w:t>Uredba se dopolnjuje v delu, kjer so na podlagi zakonskega pooblastila iz drugega odstavka 31. člena Zakona o splošnem upravnem postopku določene upravne zadeve, za katere ni treba opravljati strokovnega izpita iz upravnega postopka. Mednje se na področju prometa uvrsti tudi izdaja parkirne dovolilnice.</w:t>
      </w:r>
    </w:p>
    <w:p w14:paraId="60E05571" w14:textId="77777777" w:rsidR="00F63B7E" w:rsidRDefault="00F63B7E" w:rsidP="00F63B7E"/>
    <w:p w14:paraId="193ACA30" w14:textId="77777777" w:rsidR="00F63B7E" w:rsidRDefault="00F63B7E" w:rsidP="00F63B7E">
      <w:r>
        <w:t>Uredba začne veljati petnajsti dan po objavi v Uradnem listu Republike Slovenije.</w:t>
      </w:r>
    </w:p>
    <w:p w14:paraId="7482C648" w14:textId="7F6B49C2" w:rsidR="001A7EC8" w:rsidRDefault="00F63B7E" w:rsidP="00F63B7E">
      <w:pPr>
        <w:pStyle w:val="Vir"/>
      </w:pPr>
      <w:r>
        <w:t>Vir: Ministrstvo za javno upravo</w:t>
      </w:r>
    </w:p>
    <w:p w14:paraId="4035D1A6" w14:textId="0AFD17AD" w:rsidR="00C62EB5" w:rsidRDefault="00C62EB5" w:rsidP="00C62EB5">
      <w:pPr>
        <w:pStyle w:val="Naslov2"/>
      </w:pPr>
      <w:r>
        <w:t>Sklep o pripravi državnega prostorskega načrta za nadgradnjo železniške proge na odseku Zagorje–Litija</w:t>
      </w:r>
    </w:p>
    <w:p w14:paraId="25642E74" w14:textId="229EB99A" w:rsidR="00C62EB5" w:rsidRDefault="00C62EB5" w:rsidP="00C62EB5">
      <w:r>
        <w:t>Vlada Republike Slovenije je sprejela sklep o pripravi državnega prostorskega načrta za nadgradnjo železniške proge na odseku Zagorje–Litija, ki se objavi na spletnih straneh prostorskega informacijskega sistema.</w:t>
      </w:r>
    </w:p>
    <w:p w14:paraId="0F56D55C" w14:textId="77777777" w:rsidR="00C62EB5" w:rsidRDefault="00C62EB5" w:rsidP="00C62EB5"/>
    <w:p w14:paraId="1143ED43" w14:textId="5FF8958D" w:rsidR="00C62EB5" w:rsidRDefault="00C62EB5" w:rsidP="00C62EB5">
      <w:r>
        <w:t>Predmet obdelave je nadgradnja približno 14,5</w:t>
      </w:r>
      <w:proofErr w:type="gramStart"/>
      <w:r>
        <w:t xml:space="preserve"> km</w:t>
      </w:r>
      <w:proofErr w:type="gramEnd"/>
      <w:r>
        <w:t xml:space="preserve"> dolgega odseka obstoječe proge št. 10 med Zagorjem ob Savi in železniško postajo Litija. Ureditev železniške postaje Litija ni predmet tega državnega prostorskega načrta. Območje pobud sega na območje občin Zagorje ob Savi in Litija.</w:t>
      </w:r>
    </w:p>
    <w:p w14:paraId="75F1D7B6" w14:textId="77777777" w:rsidR="00C62EB5" w:rsidRDefault="00C62EB5" w:rsidP="00C62EB5">
      <w:r>
        <w:t xml:space="preserve">                </w:t>
      </w:r>
    </w:p>
    <w:p w14:paraId="59ED600B" w14:textId="77777777" w:rsidR="00C62EB5" w:rsidRDefault="00C62EB5" w:rsidP="00C62EB5">
      <w:r>
        <w:t>Z državnim prostorskim načrtom se poleg glavne trase načrtovane proge umeščajo tudi druge spremljajoče prostorske ureditve, potrebne za umestitev železniške proge v prostor (</w:t>
      </w:r>
      <w:proofErr w:type="gramStart"/>
      <w:r>
        <w:t>deviacije</w:t>
      </w:r>
      <w:proofErr w:type="gramEnd"/>
      <w:r>
        <w:t xml:space="preserve"> cest, </w:t>
      </w:r>
      <w:r>
        <w:lastRenderedPageBreak/>
        <w:t>nove dostopne in servisne ceste do predorov in viaduktov, omilitveni ukrepi, preureditve obstoječe gospodarske javne infrastrukture ipd.).</w:t>
      </w:r>
    </w:p>
    <w:p w14:paraId="028A7AD0" w14:textId="77777777" w:rsidR="00C62EB5" w:rsidRDefault="00C62EB5" w:rsidP="00C62EB5">
      <w:r>
        <w:t xml:space="preserve">                </w:t>
      </w:r>
    </w:p>
    <w:p w14:paraId="159637DC" w14:textId="77777777" w:rsidR="00C62EB5" w:rsidRDefault="00C62EB5" w:rsidP="00C62EB5">
      <w:r>
        <w:t>Načrtujejo se naslednje prostorske ureditve: nadgradnja dvotirne proge za hitrost do 160</w:t>
      </w:r>
      <w:proofErr w:type="gramStart"/>
      <w:r>
        <w:t xml:space="preserve"> km</w:t>
      </w:r>
      <w:proofErr w:type="gramEnd"/>
      <w:r>
        <w:t xml:space="preserve">/h v dolžini približno 14,5 km, s potekom deloma v trasi obstoječe proge in deloma z novim potekom; gradnja nove železniške postaje Sava, na kateri je predvidena ureditev peronov, izvennivojskih dostopov na perone s podhodi, stopnišči in dvigali ter ureditev parkirne hiše ali parkirišča sistema P+R; nadgradnja postajnih tirov, tovornih tirov in navezav na industrijske tire na postajah; gradnja enocevnih in dvocevnih predorov in evakuacijskih ploščadi ob portalih predorov; gradnja viaduktov, cestnih in železniških mostov, pokritih vkopov, brvi za pešce in kolesarje, podvozov na cestah in poteh, podhodov za pešce in kolesarje, prepustov ter podporno-opornih zidov; preureditev glavnih cest, lokalnih cest in lokalnih poti ter dostopov do zemljišč. </w:t>
      </w:r>
    </w:p>
    <w:p w14:paraId="527AEFE1" w14:textId="3EE9B28A" w:rsidR="001A7EC8" w:rsidRDefault="00C62EB5" w:rsidP="00C62EB5">
      <w:pPr>
        <w:pStyle w:val="Vir"/>
      </w:pPr>
      <w:r>
        <w:t>Vir: Ministrstvo za naravne vire in prostor</w:t>
      </w:r>
    </w:p>
    <w:p w14:paraId="38233F2F" w14:textId="0D14F778" w:rsidR="00C62EB5" w:rsidRDefault="00C62EB5" w:rsidP="00C62EB5">
      <w:pPr>
        <w:pStyle w:val="Naslov2"/>
      </w:pPr>
      <w:r>
        <w:t>Sklep o pripravi državnega prostorskega načrta za nadgradnjo železniške proge na odseku Litija–Ljubljana Zalog</w:t>
      </w:r>
    </w:p>
    <w:p w14:paraId="7DF89E9E" w14:textId="52680303" w:rsidR="00C62EB5" w:rsidRDefault="00C62EB5" w:rsidP="00C62EB5">
      <w:r>
        <w:t xml:space="preserve">Vlada Republike Slovenije je sprejela sklep o pripravi državnega prostorskega načrta za nadgradnjo železniške proge na odseku Litija–Ljubljana Zalog, ki se objavi na spletnih straneh prostorskega informacijskega sistema. </w:t>
      </w:r>
    </w:p>
    <w:p w14:paraId="45EA15EC" w14:textId="77777777" w:rsidR="00C62EB5" w:rsidRDefault="00C62EB5" w:rsidP="00C62EB5"/>
    <w:p w14:paraId="4057E8C2" w14:textId="77777777" w:rsidR="00C62EB5" w:rsidRDefault="00C62EB5" w:rsidP="00C62EB5">
      <w:r>
        <w:t>Predmet obdelave je nadgradnja približno 23,3</w:t>
      </w:r>
      <w:proofErr w:type="gramStart"/>
      <w:r>
        <w:t xml:space="preserve"> km</w:t>
      </w:r>
      <w:proofErr w:type="gramEnd"/>
      <w:r>
        <w:t xml:space="preserve"> dolgega odseka obstoječe proge št. 10 med železniško postajo Litija (vključno z območjem železniške postaje Litija) in železniško postajo Ljubljana Zalog. Ureditev postaje Ljubljana Zalog ni predmet tega državnega prostorskega načrta. Območje pobude sega na območja naslednjih občin: Litija, Dol pri Ljubljani in Mestna občina Ljubljana.</w:t>
      </w:r>
    </w:p>
    <w:p w14:paraId="07893525" w14:textId="77777777" w:rsidR="00C62EB5" w:rsidRDefault="00C62EB5" w:rsidP="00C62EB5">
      <w:r>
        <w:t xml:space="preserve">                </w:t>
      </w:r>
    </w:p>
    <w:p w14:paraId="35C877AD" w14:textId="77777777" w:rsidR="00C62EB5" w:rsidRDefault="00C62EB5" w:rsidP="00C62EB5">
      <w:r>
        <w:t>Z državnim prostorskim načrtom se poleg glavne trase načrtovane proge umeščajo tudi druge spremljajoče prostorske ureditve, potrebne za umestitev železniške proge v prostor (</w:t>
      </w:r>
      <w:proofErr w:type="gramStart"/>
      <w:r>
        <w:t>deviacije</w:t>
      </w:r>
      <w:proofErr w:type="gramEnd"/>
      <w:r>
        <w:t xml:space="preserve"> cest, nove dostopne in servisne ceste do predorov in viaduktov, omilitveni ukrepi, preureditve obstoječe gospodarske javne infrastrukture ipd.).</w:t>
      </w:r>
    </w:p>
    <w:p w14:paraId="66A3FA44" w14:textId="77777777" w:rsidR="00C62EB5" w:rsidRDefault="00C62EB5" w:rsidP="00C62EB5">
      <w:r>
        <w:t xml:space="preserve">                </w:t>
      </w:r>
    </w:p>
    <w:p w14:paraId="3BC4FB6A" w14:textId="77777777" w:rsidR="00C62EB5" w:rsidRDefault="00C62EB5" w:rsidP="00C62EB5">
      <w:r>
        <w:t>Načrtujejo se: nadgradnja dvotirne proge za hitrost do 160</w:t>
      </w:r>
      <w:proofErr w:type="gramStart"/>
      <w:r>
        <w:t xml:space="preserve"> km</w:t>
      </w:r>
      <w:proofErr w:type="gramEnd"/>
      <w:r>
        <w:t xml:space="preserve">/h v dolžini približno 23,3 km, s potekom deloma v trasi obstoječe proge in deloma z novim potekom; nadgradnja železniških postaj Litija, Jevnica in Laze ter gradnja nove železniške postaje Kresnice. </w:t>
      </w:r>
      <w:proofErr w:type="gramStart"/>
      <w:r>
        <w:t>nadgradnja</w:t>
      </w:r>
      <w:proofErr w:type="gramEnd"/>
      <w:r>
        <w:t xml:space="preserve"> postajnih tirov, tovornih tirov in navezav na industrijske tire na postajah; gradnja enocevnih in dvocevnih predorov in evakuacijskih ploščadi ob portalih predorov; gradnja viaduktov, cestnih in železniških mostov, pokritih vkopov, brvi za pešce in kolesarje, podvozov na cestah in poteh, podhodov za pešce in kolesarje, prepustov ter podporno-opornih zidov; preureditev glavnih cest, lokalnih cest in lokalnih poti ter dostopov do zemljišč. </w:t>
      </w:r>
    </w:p>
    <w:p w14:paraId="427204F6" w14:textId="0EEDDCE4" w:rsidR="00C62EB5" w:rsidRPr="00C62EB5" w:rsidRDefault="00C62EB5" w:rsidP="00C62EB5">
      <w:pPr>
        <w:pStyle w:val="Vir"/>
      </w:pPr>
      <w:r>
        <w:t>Vir: Ministrstvo za naravne vire in prostor</w:t>
      </w:r>
    </w:p>
    <w:p w14:paraId="21A3341A" w14:textId="1F51FE9B" w:rsidR="00C62EB5" w:rsidRDefault="00C62EB5" w:rsidP="00C62EB5">
      <w:pPr>
        <w:pStyle w:val="Naslov2"/>
      </w:pPr>
      <w:r>
        <w:t>Sklep o pripravi državnega prostorskega načrta za nadgradnjo železniške proge na odseku Logatec–Postojna</w:t>
      </w:r>
    </w:p>
    <w:p w14:paraId="1D236F4F" w14:textId="5D3A2A6C" w:rsidR="00C62EB5" w:rsidRDefault="00C62EB5" w:rsidP="00C62EB5">
      <w:r>
        <w:t xml:space="preserve">Vlada Republike Slovenije je sprejela sklep o pripravi državnega prostorskega načrta za nadgradnjo železniške proge na odseku Logatec–Postojna, ki se objavi na spletnih straneh prostorskega informacijskega sistema. </w:t>
      </w:r>
    </w:p>
    <w:p w14:paraId="7371EAE2" w14:textId="77777777" w:rsidR="00C62EB5" w:rsidRDefault="00C62EB5" w:rsidP="00C62EB5"/>
    <w:p w14:paraId="744CE15A" w14:textId="77777777" w:rsidR="00C62EB5" w:rsidRDefault="00C62EB5" w:rsidP="00C62EB5">
      <w:r>
        <w:t>Po končani javni objavi pobude</w:t>
      </w:r>
      <w:proofErr w:type="gramStart"/>
      <w:r>
        <w:t>,</w:t>
      </w:r>
      <w:proofErr w:type="gramEnd"/>
      <w:r>
        <w:t xml:space="preserve"> potekale so tudi tri javne predstavitve, je bila izdelana analiza prejetih usmeritev, podatkov in smernic nosilcev urejanja prostora ter oblikovana so bila stališča do predlogov in pripomb javnosti.</w:t>
      </w:r>
    </w:p>
    <w:p w14:paraId="446E2046" w14:textId="77777777" w:rsidR="00C62EB5" w:rsidRDefault="00C62EB5" w:rsidP="00C62EB5"/>
    <w:p w14:paraId="4FD8EA88" w14:textId="77777777" w:rsidR="00C62EB5" w:rsidRDefault="00C62EB5" w:rsidP="00C62EB5">
      <w:r>
        <w:t>Predmet pobude je nadgradnja železniške proge na odseku Logatec–Postojna s spremljajočimi prostorskimi ureditvami, to je nadgradnja 22,3</w:t>
      </w:r>
      <w:proofErr w:type="gramStart"/>
      <w:r>
        <w:t xml:space="preserve"> km</w:t>
      </w:r>
      <w:proofErr w:type="gramEnd"/>
      <w:r>
        <w:t xml:space="preserve"> dolgega odseka obstoječe proge št. 50 Ljubljana–Sežana–državna meja od konca postaje Logatec (približno na obstoječem km 604+354) do pred postajo Postojna (približno na obstoječem km 626+650). Nadgradnja obsega sanacijo obstoječe proge z nadgradnjo zgornjega in spodnjega ustroja obstoječega tira ter </w:t>
      </w:r>
      <w:proofErr w:type="spellStart"/>
      <w:r>
        <w:t>deviiranje</w:t>
      </w:r>
      <w:proofErr w:type="spellEnd"/>
      <w:r>
        <w:t xml:space="preserve"> trase na daljšem poteku proge, preureditev postaj, postajališč in prehodov preko proge, prilagoditev in novo vozno omrežje na </w:t>
      </w:r>
      <w:proofErr w:type="gramStart"/>
      <w:r>
        <w:t>deviacijah</w:t>
      </w:r>
      <w:proofErr w:type="gramEnd"/>
      <w:r>
        <w:t xml:space="preserve"> proge ter nadgradnjo signalno varnostnih in telekomunikacijskih naprav.</w:t>
      </w:r>
    </w:p>
    <w:p w14:paraId="4FAA39B9" w14:textId="77777777" w:rsidR="00C62EB5" w:rsidRDefault="00C62EB5" w:rsidP="00C62EB5">
      <w:r>
        <w:t xml:space="preserve">                </w:t>
      </w:r>
    </w:p>
    <w:p w14:paraId="507551A3" w14:textId="77777777" w:rsidR="00C62EB5" w:rsidRDefault="00C62EB5" w:rsidP="00C62EB5">
      <w:r>
        <w:t xml:space="preserve">Cilji načrtovane nadgradnje so povečana prepustna in prevozna zmogljivost proge, izboljšani tehnični elementi proge, skrajšanje voznih časov, omogočanje taktnega voznega reda potniških vlakov, zmanjšanje stroškov vzdrževanja in rednih cikličnih obnov, zagotavljanje </w:t>
      </w:r>
      <w:proofErr w:type="gramStart"/>
      <w:r>
        <w:t>interoperabilnosti</w:t>
      </w:r>
      <w:proofErr w:type="gramEnd"/>
      <w:r>
        <w:t xml:space="preserve"> in uporabnikom prijaznejša infrastruktura, povečanje stopnje varnosti prometa, zmanjšanje negativnih vplivov na okolje.</w:t>
      </w:r>
    </w:p>
    <w:p w14:paraId="3FC9B57A" w14:textId="77777777" w:rsidR="00C62EB5" w:rsidRDefault="00C62EB5" w:rsidP="00C62EB5">
      <w:r>
        <w:t xml:space="preserve">                </w:t>
      </w:r>
    </w:p>
    <w:p w14:paraId="3843EC4D" w14:textId="77777777" w:rsidR="00C62EB5" w:rsidRDefault="00C62EB5" w:rsidP="00C62EB5">
      <w:r>
        <w:t>Območje pobude se nahaja v občinah Logatec, Cerknica in Postojna. Z državnim prostorskim načrtom se poleg glavne trase načrtovane proge umeščajo tudi druge spremljajoče prostorske ureditve, potrebne za umestitev železniške proge v prostor (</w:t>
      </w:r>
      <w:proofErr w:type="gramStart"/>
      <w:r>
        <w:t>deviacije</w:t>
      </w:r>
      <w:proofErr w:type="gramEnd"/>
      <w:r>
        <w:t xml:space="preserve"> cest, nove dostopne in servisne ceste do predorov in viaduktov, omilitveni ukrepi, preureditve obstoječe gospodarske javne infrastrukture ipd.).</w:t>
      </w:r>
    </w:p>
    <w:p w14:paraId="20CD1DCA" w14:textId="77777777" w:rsidR="00C62EB5" w:rsidRDefault="00C62EB5" w:rsidP="00C62EB5">
      <w:r>
        <w:t xml:space="preserve">                </w:t>
      </w:r>
    </w:p>
    <w:p w14:paraId="77FCA3B9" w14:textId="77777777" w:rsidR="00C62EB5" w:rsidRDefault="00C62EB5" w:rsidP="00C62EB5">
      <w:r>
        <w:t>Načrtovana trasa nadgrajene dvotirne proge smerno in višinsko približno sledi koridorju obstoječe proge, z večjimi odmiki na nekaterih območjih z namenom skrajšanja trase in povečanja projektirane hitrosti.</w:t>
      </w:r>
    </w:p>
    <w:p w14:paraId="51516447" w14:textId="3221EC24" w:rsidR="001A7EC8" w:rsidRDefault="00C62EB5" w:rsidP="00C62EB5">
      <w:pPr>
        <w:pStyle w:val="Vir"/>
      </w:pPr>
      <w:r>
        <w:t>Vir: Ministrstvo za naravne vire in prostor</w:t>
      </w:r>
    </w:p>
    <w:p w14:paraId="7510B3C9" w14:textId="3DBFD30B" w:rsidR="00C62EB5" w:rsidRDefault="00C62EB5" w:rsidP="00C62EB5">
      <w:pPr>
        <w:pStyle w:val="Naslov2"/>
      </w:pPr>
      <w:r>
        <w:t>Sklep o pripravi državnega prostorskega načrta za nadgradnjo železniške proge na odseku vozlišče Zidani Most–Zagorje</w:t>
      </w:r>
    </w:p>
    <w:p w14:paraId="2B4F8DDF" w14:textId="21F6B320" w:rsidR="00C62EB5" w:rsidRDefault="00C62EB5" w:rsidP="00C62EB5">
      <w:r>
        <w:t xml:space="preserve">Vlada Republike Slovenije je sprejela sklep o pripravi državnega prostorskega načrta za nadgradnjo železniške proge na odseku vozlišče Zidani Most–Zagorje, ki se objavi na spletnih straneh prostorskega informacijskega sistema. </w:t>
      </w:r>
    </w:p>
    <w:p w14:paraId="26027995" w14:textId="77777777" w:rsidR="00C62EB5" w:rsidRDefault="00C62EB5" w:rsidP="00C62EB5"/>
    <w:p w14:paraId="47FF0D3D" w14:textId="77777777" w:rsidR="00C62EB5" w:rsidRDefault="00C62EB5" w:rsidP="00C62EB5">
      <w:r>
        <w:t xml:space="preserve">Predmet obdelave je nadgradnja približno 17,3 km dolgega odseka obstoječe proge št. 10 med Zidanim Mostom in Zagorjem ob Savi ter nadgradnja vozlišča </w:t>
      </w:r>
      <w:proofErr w:type="gramStart"/>
      <w:r>
        <w:t>Zidani most</w:t>
      </w:r>
      <w:proofErr w:type="gramEnd"/>
      <w:r>
        <w:t xml:space="preserve"> z nadgradnjo dvotirne proge v smereh Ljubljana-Celje, Ljubljana-Dobova in Dobova-Celje v skupni dolžini približno 5,4 km. Območje obravnave sega na območja naslednjih občin: Radeče, Laško, Hrastnik, Trbovlje in Zagorje ob Savi.  </w:t>
      </w:r>
    </w:p>
    <w:p w14:paraId="1EABBB46" w14:textId="77777777" w:rsidR="00C62EB5" w:rsidRDefault="00C62EB5" w:rsidP="00C62EB5">
      <w:r>
        <w:t xml:space="preserve">                </w:t>
      </w:r>
    </w:p>
    <w:p w14:paraId="3D3C254D" w14:textId="77777777" w:rsidR="00C62EB5" w:rsidRDefault="00C62EB5" w:rsidP="00C62EB5">
      <w:r>
        <w:t>Z državnim prostorskim načrtom se poleg glavne trase načrtovane proge umeščajo tudi druge spremljajoče prostorske ureditve, potrebne za umestitev železniške proge v prostor (</w:t>
      </w:r>
      <w:proofErr w:type="gramStart"/>
      <w:r>
        <w:t>deviacije</w:t>
      </w:r>
      <w:proofErr w:type="gramEnd"/>
      <w:r>
        <w:t xml:space="preserve"> cest, nove dostopne in servisne ceste do predorov in viaduktov, omilitveni ukrepi, preureditve obstoječe gospodarske javne infrastrukture ipd.).</w:t>
      </w:r>
    </w:p>
    <w:p w14:paraId="476FCFA4" w14:textId="77777777" w:rsidR="00C62EB5" w:rsidRDefault="00C62EB5" w:rsidP="00C62EB5">
      <w:r>
        <w:t xml:space="preserve">                </w:t>
      </w:r>
    </w:p>
    <w:p w14:paraId="277DAA29" w14:textId="77777777" w:rsidR="00C62EB5" w:rsidRDefault="00C62EB5" w:rsidP="00C62EB5">
      <w:r>
        <w:t xml:space="preserve">Načrtujejo se naslednje prostorske ureditve: nadgradnja dvotirne proge za hitrost do 160 km/h v dolžini približno 17,3 km, s potekom deloma v trasi obstoječe proge in deloma z novim potekom; nadgradnja vozlišča Zidani Most v skupni dolžini približno 5,4 km, poimenovanje vozlišča se nanaša na prostorsko in funkcionalno vozlišče – križišče prog št. 10 </w:t>
      </w:r>
      <w:proofErr w:type="gramStart"/>
      <w:r>
        <w:t>d.</w:t>
      </w:r>
      <w:proofErr w:type="gramEnd"/>
      <w:r>
        <w:t xml:space="preserve">m.–Dobova–Ljubljana in št. 30 Zidani Most–Šentilj–d.m. in železniške postaje z ureditvijo zadostnih tirnih kapacitet ter peronov; nadgradnja železniških postaj Hrastnik, Trbovlje in Zagorje ob Savi. Na vseh postajah je predvidena ureditev tirov, peronov, predvideni so izvennivojski dostopi na perone s podhodi, stopnišči in dvigali ter ureditev parkirne hiše ali parkirišča sistema P+R; nadgradnja postajnih tirov, tovornih tirov in navezav na industrijske tire na postajah; gradnja enocevnih in dvocevnih predorov in evakuacijskih ploščadi ob </w:t>
      </w:r>
      <w:r>
        <w:lastRenderedPageBreak/>
        <w:t xml:space="preserve">portalih predorov; gradnja viaduktov, cestnih in železniških mostov, pokritih vkopov, brvi za pešce in kolesarje, podvozov na cestah in poteh, podhodov za pešce in kolesarje, prepustov ter podporno-opornih zidov; preureditev glavnih cest, lokalnih cest in lokalnih poti ter dostopov do zemljišč. </w:t>
      </w:r>
    </w:p>
    <w:p w14:paraId="6A646193" w14:textId="1AF5A9BC" w:rsidR="00C62EB5" w:rsidRDefault="00C62EB5" w:rsidP="00C62EB5">
      <w:pPr>
        <w:pStyle w:val="Vir"/>
      </w:pPr>
      <w:r>
        <w:t>Vir: Ministrstvo za naravne vire in prostor</w:t>
      </w:r>
    </w:p>
    <w:p w14:paraId="2933B205" w14:textId="0FCCDDB4" w:rsidR="00C62EB5" w:rsidRDefault="00C62EB5" w:rsidP="00C62EB5">
      <w:pPr>
        <w:pStyle w:val="Naslov2"/>
      </w:pPr>
      <w:r>
        <w:t>Vlada sprejela letne programe sanacije po naravnih nesrečah za leto 2026</w:t>
      </w:r>
    </w:p>
    <w:p w14:paraId="43C7ECFB" w14:textId="0B4819B1" w:rsidR="00C62EB5" w:rsidRDefault="00C62EB5" w:rsidP="00C62EB5">
      <w:r>
        <w:t xml:space="preserve">Vlada je sprejela letne programe odprave posledic neposredne škode zaradi naravnih nesreč iz leta 2023, ki se bodo izvajali </w:t>
      </w:r>
      <w:proofErr w:type="gramStart"/>
      <w:r>
        <w:t>v letošnjem letu</w:t>
      </w:r>
      <w:proofErr w:type="gramEnd"/>
      <w:r>
        <w:t>.</w:t>
      </w:r>
    </w:p>
    <w:p w14:paraId="67DB3F75" w14:textId="77777777" w:rsidR="00C62EB5" w:rsidRDefault="00C62EB5" w:rsidP="00C62EB5"/>
    <w:p w14:paraId="611E6962" w14:textId="77777777" w:rsidR="00C62EB5" w:rsidRDefault="00C62EB5" w:rsidP="00C62EB5">
      <w:r>
        <w:t>Sprejeti so bili naslednji programi:</w:t>
      </w:r>
    </w:p>
    <w:p w14:paraId="66BDB46F" w14:textId="139472D6" w:rsidR="00C62EB5" w:rsidRDefault="00C62EB5" w:rsidP="00C62EB5">
      <w:pPr>
        <w:pStyle w:val="Odstavekseznama"/>
        <w:numPr>
          <w:ilvl w:val="0"/>
          <w:numId w:val="18"/>
        </w:numPr>
      </w:pPr>
      <w:r>
        <w:t>Letni program odprave posledic neposredne škode zaradi močnega neurja z deževjem in poplavami med 6. in 7. majem 2023 za leto 2026,</w:t>
      </w:r>
    </w:p>
    <w:p w14:paraId="16BFEC61" w14:textId="09CAB124" w:rsidR="00C62EB5" w:rsidRDefault="00C62EB5" w:rsidP="00C62EB5">
      <w:pPr>
        <w:pStyle w:val="Odstavekseznama"/>
        <w:numPr>
          <w:ilvl w:val="0"/>
          <w:numId w:val="18"/>
        </w:numPr>
      </w:pPr>
      <w:r>
        <w:t>Letni program odprave posledic neposredne škode zaradi močnega neurja z dežjem, poplavami in vetrom med 12. in 13. julijem 2023 za leto 2026,</w:t>
      </w:r>
    </w:p>
    <w:p w14:paraId="5BDC07D9" w14:textId="3CD8A562" w:rsidR="00C62EB5" w:rsidRDefault="00C62EB5" w:rsidP="00C62EB5">
      <w:pPr>
        <w:pStyle w:val="Odstavekseznama"/>
        <w:numPr>
          <w:ilvl w:val="0"/>
          <w:numId w:val="18"/>
        </w:numPr>
      </w:pPr>
      <w:r>
        <w:t>Letni program odprave posledic neposredne škode zaradi neurja z dežjem, vetrom, zemeljskimi plazovi in poplavami med 17. julijem in 3. avgustom 2023 za leto 2026,</w:t>
      </w:r>
    </w:p>
    <w:p w14:paraId="2325FC08" w14:textId="5AB118E4" w:rsidR="00C62EB5" w:rsidRDefault="00C62EB5" w:rsidP="00C62EB5">
      <w:pPr>
        <w:pStyle w:val="Odstavekseznama"/>
        <w:numPr>
          <w:ilvl w:val="0"/>
          <w:numId w:val="18"/>
        </w:numPr>
      </w:pPr>
      <w:r>
        <w:t>Letni program odprave posledic neposredne škode zaradi obilnega deževja s poplavami in plazovi od 14. do 23. maja 2023 za leto 2026,</w:t>
      </w:r>
    </w:p>
    <w:p w14:paraId="03427D7A" w14:textId="1676DE68" w:rsidR="00C62EB5" w:rsidRDefault="00C62EB5" w:rsidP="00C62EB5">
      <w:pPr>
        <w:pStyle w:val="Odstavekseznama"/>
        <w:numPr>
          <w:ilvl w:val="0"/>
          <w:numId w:val="18"/>
        </w:numPr>
      </w:pPr>
      <w:r>
        <w:t>Letni program odprave neposredne škode na stvareh zaradi močnih neurij s plazovi in poplavami od 27. oktobra do 6. novembra 2023 za leto 2026.</w:t>
      </w:r>
    </w:p>
    <w:p w14:paraId="28D45823" w14:textId="77777777" w:rsidR="00C62EB5" w:rsidRDefault="00C62EB5" w:rsidP="00C62EB5"/>
    <w:p w14:paraId="7545EDA3" w14:textId="77777777" w:rsidR="00C62EB5" w:rsidRDefault="00C62EB5" w:rsidP="00C62EB5">
      <w:r>
        <w:t>Odprava posledic naravnih nesreč na stvareh poteka več proračunskih let. Ministrstvo za naravne vire in prostor vsako leto pripravi letne programe, s katerimi se natančneje določijo posamezni ukrepi, njihova dinamika izvajanja in višina sredstev, predvidenih za izvedbo v posameznem letu. V okviru navedenih programov je bilo v letu 2025 izplačanih 23.947.628 evrov, za leto 2026 pa je za njihovo izvajanje predvidenih 12.700.000 evrov. S sprejetjem letnih programov se zagotavlja nadaljevanje sistematične in finančno podprte obnove po naravnih nesrečah.</w:t>
      </w:r>
    </w:p>
    <w:p w14:paraId="0FB4632E" w14:textId="16BA7C88" w:rsidR="00C62EB5" w:rsidRDefault="00C62EB5" w:rsidP="00C62EB5">
      <w:pPr>
        <w:pStyle w:val="Vir"/>
      </w:pPr>
      <w:r>
        <w:t>Vir: Ministrstvo za naravne vire in prostor</w:t>
      </w:r>
    </w:p>
    <w:p w14:paraId="6A712A9E" w14:textId="6E889E9B" w:rsidR="0035204D" w:rsidRDefault="0035204D" w:rsidP="0035204D">
      <w:pPr>
        <w:pStyle w:val="Naslov2"/>
      </w:pPr>
      <w:r>
        <w:t>Vlada sprejela letni načrt razpolaganja z državnimi gozdovi za leto 2026</w:t>
      </w:r>
    </w:p>
    <w:p w14:paraId="5A8E4052" w14:textId="77777777" w:rsidR="0035204D" w:rsidRDefault="0035204D" w:rsidP="0035204D">
      <w:r>
        <w:t>Vlada je sprejela Letni načrt razpolaganja z državnimi gozdovi za leto 2026 (LNR 2026).</w:t>
      </w:r>
    </w:p>
    <w:p w14:paraId="7FE18B4D" w14:textId="3305712E" w:rsidR="001A7EC8" w:rsidRDefault="0035204D" w:rsidP="0035204D">
      <w:pPr>
        <w:rPr>
          <w:szCs w:val="18"/>
        </w:rPr>
      </w:pPr>
      <w:r>
        <w:t xml:space="preserve">Skupno je v Letnem načrtu razpolaganja z državnimi gozdovi za leto 2026 načrtovana izvedba 53 poslov prodaj, menjav in neodplačnih prenosov lastninske pravice z državnih gozdov na občino </w:t>
      </w:r>
      <w:r w:rsidRPr="00A0490B">
        <w:rPr>
          <w:szCs w:val="18"/>
        </w:rPr>
        <w:t xml:space="preserve">iz </w:t>
      </w:r>
      <w:hyperlink r:id="rId13" w:history="1">
        <w:r w:rsidRPr="002C4FF6">
          <w:rPr>
            <w:rStyle w:val="Hiperpovezava"/>
            <w:szCs w:val="18"/>
          </w:rPr>
          <w:t>24. člena ZGGLRS</w:t>
        </w:r>
      </w:hyperlink>
      <w:r w:rsidRPr="00A0490B">
        <w:rPr>
          <w:szCs w:val="18"/>
        </w:rPr>
        <w:t>.</w:t>
      </w:r>
    </w:p>
    <w:p w14:paraId="4DB7263C" w14:textId="77777777" w:rsidR="0035204D" w:rsidRDefault="0035204D" w:rsidP="0035204D">
      <w:r>
        <w:t>LNR 2026 v vseh programih prodaje nepremičnin predvideva skupno 48 poslov, s katerimi je predvidena odtujitev 13,11 hektarja v skupni vrednosti nekaj manj kot 2 milijona evrov.</w:t>
      </w:r>
    </w:p>
    <w:p w14:paraId="2CE4BA89" w14:textId="77777777" w:rsidR="0035204D" w:rsidRDefault="0035204D" w:rsidP="0035204D"/>
    <w:p w14:paraId="0642B2C1" w14:textId="56785E0A" w:rsidR="0035204D" w:rsidRDefault="0035204D" w:rsidP="0035204D">
      <w:proofErr w:type="gramStart"/>
      <w:r>
        <w:t>menjave</w:t>
      </w:r>
      <w:proofErr w:type="gramEnd"/>
      <w:r>
        <w:t xml:space="preserve"> nepremičnin predvideva izvedbo štirih poslov menjav. Predvidena je odtujitev 14 zemljišč v skupni površini 5,02 hektarja, ocenjenih na 67.070,45 evra. Republika Slovenija bo z menjavo pridobila 18 zemljišč v skupni površini 11,12 hektarja. Ta so po podatkih Geodetske uprave Republike Slovenije (GURS) ocenjena na 77.682,30 evra.  </w:t>
      </w:r>
    </w:p>
    <w:p w14:paraId="4CE6011A" w14:textId="77777777" w:rsidR="0035204D" w:rsidRDefault="0035204D" w:rsidP="0035204D"/>
    <w:p w14:paraId="13256157" w14:textId="5DD4EF1D" w:rsidR="0035204D" w:rsidRDefault="0035204D" w:rsidP="0035204D">
      <w:r>
        <w:t xml:space="preserve">Letni načrt razpolaganja z državnimi gozdovi za leto 2026 vključuje tudi en posel neodplačnega prenosa gozdnih zemljišč na občine. Skupna površina zemljišč, ki se bodo neodplačno prenesla na občine, znaša 0,02 hektarja in je ocenjena na 2.570 evrov.  </w:t>
      </w:r>
    </w:p>
    <w:p w14:paraId="75E8C5D0" w14:textId="3C24C1CE" w:rsidR="0035204D" w:rsidRDefault="0035204D" w:rsidP="0035204D">
      <w:pPr>
        <w:pStyle w:val="Vir"/>
      </w:pPr>
      <w:r w:rsidRPr="0035204D">
        <w:t>Vir: Ministrstvo za kmetijstvo, gozdarstvo in prehrano</w:t>
      </w:r>
    </w:p>
    <w:p w14:paraId="17C1B61F" w14:textId="6C9F10D0" w:rsidR="00DD36B0" w:rsidRDefault="00DD36B0" w:rsidP="00DD36B0">
      <w:pPr>
        <w:pStyle w:val="Naslov2"/>
      </w:pPr>
      <w:r>
        <w:lastRenderedPageBreak/>
        <w:t xml:space="preserve">Vlade dala soglasje k Poslovnemu načrtu Agencije za radioaktivne odpadke </w:t>
      </w:r>
    </w:p>
    <w:p w14:paraId="7C1DD2BD" w14:textId="77777777" w:rsidR="00DD36B0" w:rsidRDefault="00DD36B0" w:rsidP="00DD36B0">
      <w:r>
        <w:t>Vlada je dala soglasje k Poslovnemu načrtu Agencije za radioaktivne odpadke (ARAO) za leti 2026 in 2027, ki ga je upravni odbor ARAO sprejel 3. februarja 2026.</w:t>
      </w:r>
    </w:p>
    <w:p w14:paraId="1F2A882F" w14:textId="77777777" w:rsidR="00DD36B0" w:rsidRDefault="00DD36B0" w:rsidP="00DD36B0"/>
    <w:p w14:paraId="3DB73FBA" w14:textId="77777777" w:rsidR="00DD36B0" w:rsidRDefault="00DD36B0" w:rsidP="00DD36B0">
      <w:r>
        <w:t>ARAO kot izvajalec obvezne državne gospodarske javne službe ravnanja z radioaktivnimi odpadki na podlagi veljavnih predpisov pripravlja dvoletne poslovne načrte. Poslovni načrt za leti 2026 in 2027 določa izvajanje javne službe ter strokovno-tehničnih in razvojnih nalog v skladu z zakonodajo in dolgoročnim programom dela.</w:t>
      </w:r>
    </w:p>
    <w:p w14:paraId="3A149571" w14:textId="77777777" w:rsidR="00DD36B0" w:rsidRDefault="00DD36B0" w:rsidP="00DD36B0"/>
    <w:p w14:paraId="42B5E5D8" w14:textId="77777777" w:rsidR="00DD36B0" w:rsidRDefault="00DD36B0" w:rsidP="00DD36B0">
      <w:r>
        <w:t xml:space="preserve">V obdobju 2026–2027 ARAO načrtuje nadaljevanje gradnje odlagališča nizko- in srednjeradioaktivnih odpadkov ter priprave na njegovo poskusno obratovanje v drugi polovici leta 2027. Nadaljeval bo tudi dolgoročni nadzor in vzdrževanje zaprtih odlagališč Jazbec in Boršt, izvajanje ravnanja z </w:t>
      </w:r>
      <w:proofErr w:type="spellStart"/>
      <w:r>
        <w:t>neelektrarniškimi</w:t>
      </w:r>
      <w:proofErr w:type="spellEnd"/>
      <w:r>
        <w:t xml:space="preserve"> radioaktivnimi odpadki ter začel začetne </w:t>
      </w:r>
      <w:proofErr w:type="gramStart"/>
      <w:r>
        <w:t>aktivnosti</w:t>
      </w:r>
      <w:proofErr w:type="gramEnd"/>
      <w:r>
        <w:t xml:space="preserve"> za načrtovanje odlaganja visoko radioaktivnih odpadkov in izrabljenega goriva.</w:t>
      </w:r>
    </w:p>
    <w:p w14:paraId="573F687C" w14:textId="77777777" w:rsidR="00DD36B0" w:rsidRDefault="00DD36B0" w:rsidP="00DD36B0"/>
    <w:p w14:paraId="36982ECB" w14:textId="77777777" w:rsidR="00DD36B0" w:rsidRDefault="00DD36B0" w:rsidP="00DD36B0">
      <w:r>
        <w:t>Poslovanje ARAO se financira iz proračuna RS in namenskih sredstev Sklada NEK. Dejavnosti v zvezi z institucionalnimi radioaktivnimi odpadki se pretežno financirajo iz proračuna, delno pa iz plačil njihovih imetnikov; priprava na odlaganje in odlaganje odpadkov ter izrabljenega goriva iz NEK pa izključno iz namenskih proračunskih sredstev.</w:t>
      </w:r>
    </w:p>
    <w:p w14:paraId="38D58D98" w14:textId="0748021C" w:rsidR="001A7EC8" w:rsidRDefault="00DD36B0" w:rsidP="00DD36B0">
      <w:pPr>
        <w:pStyle w:val="Vir"/>
      </w:pPr>
      <w:r>
        <w:t>Vir: Ministrstvo za okolje, podnebje in energijo</w:t>
      </w:r>
    </w:p>
    <w:p w14:paraId="54AA08DD" w14:textId="515C149C" w:rsidR="0017062A" w:rsidRDefault="0017062A" w:rsidP="0017062A">
      <w:pPr>
        <w:pStyle w:val="Naslov2"/>
      </w:pPr>
      <w:r>
        <w:t>Strateške usmeritve in prioritete inšpektoratov oziroma inšpekcij v letu 2026</w:t>
      </w:r>
    </w:p>
    <w:p w14:paraId="481C705D" w14:textId="77777777" w:rsidR="0017062A" w:rsidRDefault="0017062A" w:rsidP="0017062A">
      <w:r>
        <w:t>Vlada se je seznanila s Strateškimi usmeritvami in prioritetami inšpektoratov oziroma inšpekcij v letu 2026. Vlada je ob tem sprejela tudi sklep, da Ministrstvo za javno upravo do 1. marca prihodnje leto pripravi in predloži vladi v seznanitev poročilo o njihovi izvedbi.</w:t>
      </w:r>
    </w:p>
    <w:p w14:paraId="060F8312" w14:textId="77777777" w:rsidR="0017062A" w:rsidRDefault="0017062A" w:rsidP="0017062A"/>
    <w:p w14:paraId="3C522721" w14:textId="1C23F081" w:rsidR="001A7EC8" w:rsidRDefault="0017062A" w:rsidP="0017062A">
      <w:r>
        <w:t xml:space="preserve">Ministrstvo za javno upravo je, v skladu z določili Zakona o inšpekcijskem nadzoru, od </w:t>
      </w:r>
      <w:proofErr w:type="gramStart"/>
      <w:r>
        <w:t>Urada Vlade za informacijsko varnost</w:t>
      </w:r>
      <w:proofErr w:type="gramEnd"/>
      <w:r>
        <w:t>, ministrstev in inšpektoratov oziroma inšpekcij pridobilo podatke glede v letu 2026 načrtovanih: sistemskih inšpekcijskih nadzorov, prioritetnih inšpekcijskih nadzorov na osnovi prejetih pobud in prijav, inšpekcijskih nadzorov na podlagi ostalih prejetih pobud in prijav, ki niso bili določeni kot prioritetni, prekrškovnih postopkov in skupnih inšpekcijskih nadzorov oziroma sodelovanja ter na podlagi prejetih podatkov pripravilo omenjeni dokument.</w:t>
      </w:r>
    </w:p>
    <w:p w14:paraId="3BDCD0F0" w14:textId="77777777" w:rsidR="00CD4182" w:rsidRDefault="00CD4182" w:rsidP="0017062A"/>
    <w:p w14:paraId="6D49C30B" w14:textId="75DD52D0" w:rsidR="00CD4182" w:rsidRDefault="00CD4182" w:rsidP="0017062A">
      <w:r w:rsidRPr="00CD4182">
        <w:t>V gradivu so določene tudi strateške usmeritve in prioritete dela za Inšpektorat za obrambo ter za Inšpektorat za varstvo pred naravnimi in drugimi nesrečami.</w:t>
      </w:r>
    </w:p>
    <w:p w14:paraId="17ACC38C" w14:textId="77777777" w:rsidR="0017062A" w:rsidRDefault="0017062A" w:rsidP="0017062A">
      <w:pPr>
        <w:overflowPunct w:val="0"/>
        <w:autoSpaceDE w:val="0"/>
        <w:autoSpaceDN w:val="0"/>
        <w:adjustRightInd w:val="0"/>
        <w:spacing w:line="240" w:lineRule="auto"/>
        <w:jc w:val="both"/>
        <w:textAlignment w:val="baseline"/>
        <w:rPr>
          <w:rFonts w:cs="Arial"/>
          <w:szCs w:val="20"/>
        </w:rPr>
      </w:pPr>
    </w:p>
    <w:p w14:paraId="30742F2A" w14:textId="0132DF4A" w:rsidR="0017062A" w:rsidRDefault="0017062A" w:rsidP="0017062A">
      <w:pPr>
        <w:overflowPunct w:val="0"/>
        <w:autoSpaceDE w:val="0"/>
        <w:autoSpaceDN w:val="0"/>
        <w:adjustRightInd w:val="0"/>
        <w:spacing w:line="240" w:lineRule="auto"/>
        <w:jc w:val="both"/>
        <w:textAlignment w:val="baseline"/>
        <w:rPr>
          <w:rFonts w:cs="Arial"/>
          <w:szCs w:val="20"/>
        </w:rPr>
      </w:pPr>
      <w:r>
        <w:rPr>
          <w:rFonts w:cs="Arial"/>
          <w:szCs w:val="20"/>
        </w:rPr>
        <w:t xml:space="preserve">Dokument bo objavljen </w:t>
      </w:r>
      <w:hyperlink r:id="rId14" w:history="1">
        <w:r w:rsidRPr="007116F0">
          <w:rPr>
            <w:rStyle w:val="Hiperpovezava"/>
            <w:rFonts w:cs="Arial"/>
            <w:szCs w:val="20"/>
          </w:rPr>
          <w:t>na spletnem mestu GOV.SI</w:t>
        </w:r>
      </w:hyperlink>
      <w:r>
        <w:rPr>
          <w:rFonts w:cs="Arial"/>
          <w:szCs w:val="20"/>
        </w:rPr>
        <w:t>.</w:t>
      </w:r>
    </w:p>
    <w:p w14:paraId="74422344" w14:textId="77777777" w:rsidR="0017062A" w:rsidRDefault="0017062A" w:rsidP="0017062A">
      <w:pPr>
        <w:pStyle w:val="Vir"/>
      </w:pPr>
      <w:r>
        <w:t>Vir: Ministrstvo za javno upravo</w:t>
      </w:r>
    </w:p>
    <w:p w14:paraId="570D8E7A" w14:textId="7F3425A2" w:rsidR="004B0FC9" w:rsidRDefault="004B0FC9" w:rsidP="004B0FC9">
      <w:pPr>
        <w:pStyle w:val="Naslov2"/>
      </w:pPr>
      <w:r>
        <w:t>Vlada dala soglasje Veslaški zvezi Slovenije za predložitev kandidature za organizacijo in morebitno sofinanciranje Evropskega prvenstva v veslanju Bled 2027</w:t>
      </w:r>
    </w:p>
    <w:p w14:paraId="6597A425" w14:textId="04AF5047" w:rsidR="004B0FC9" w:rsidRDefault="004B0FC9" w:rsidP="004B0FC9">
      <w:r>
        <w:t xml:space="preserve">Vlada je dala soglasje Veslaški zvezi Slovenije za vložitev kandidature za organizacijo in sofinanciranje Evropskega prvenstva v veslanju Bled 2027 (EP 27). </w:t>
      </w:r>
    </w:p>
    <w:p w14:paraId="32D30F07" w14:textId="77777777" w:rsidR="004B0FC9" w:rsidRDefault="004B0FC9" w:rsidP="004B0FC9"/>
    <w:p w14:paraId="05811635" w14:textId="241ADE2C" w:rsidR="004B0FC9" w:rsidRDefault="004B0FC9" w:rsidP="004B0FC9">
      <w:r>
        <w:t>Veslaška zveza Slovenije (VZS) bi v letu 2027 organizirala EP 27, ki bi potekalo predvidoma maja 2027 za člane in članice. Leta 2023 je evropsko prvenstvo potekalo v Sloveniji, 2024 na Madžarskem, 2025 v Bolgariji, letos pa bo potekalo v Italiji.</w:t>
      </w:r>
    </w:p>
    <w:p w14:paraId="68190D29" w14:textId="77777777" w:rsidR="004B0FC9" w:rsidRDefault="004B0FC9" w:rsidP="004B0FC9"/>
    <w:p w14:paraId="443D9EE9" w14:textId="65F44C1E" w:rsidR="004B0FC9" w:rsidRDefault="004B0FC9" w:rsidP="004B0FC9">
      <w:r>
        <w:lastRenderedPageBreak/>
        <w:t>Pri odločanju o soglasju k vložitvi kandidature za organizacijo je vlada upoštevala tudi načela iz V. točke Sklepa o postopku za kandidiranje, ter ugotovila</w:t>
      </w:r>
      <w:proofErr w:type="gramStart"/>
      <w:r>
        <w:t xml:space="preserve"> da</w:t>
      </w:r>
      <w:proofErr w:type="gramEnd"/>
      <w:r>
        <w:t>:</w:t>
      </w:r>
    </w:p>
    <w:p w14:paraId="0B061834" w14:textId="24D2CD65" w:rsidR="004B0FC9" w:rsidRDefault="004B0FC9" w:rsidP="004B0FC9">
      <w:pPr>
        <w:pStyle w:val="Odstavekseznama"/>
        <w:numPr>
          <w:ilvl w:val="0"/>
          <w:numId w:val="14"/>
        </w:numPr>
      </w:pPr>
      <w:r>
        <w:t>prireditev prispeva k razvoju in širjenju športa oziroma športne panoge v državi,</w:t>
      </w:r>
    </w:p>
    <w:p w14:paraId="03DB4847" w14:textId="1F3DBB1E" w:rsidR="004B0FC9" w:rsidRDefault="004B0FC9" w:rsidP="004B0FC9">
      <w:pPr>
        <w:pStyle w:val="Odstavekseznama"/>
        <w:numPr>
          <w:ilvl w:val="0"/>
          <w:numId w:val="14"/>
        </w:numPr>
      </w:pPr>
      <w:r>
        <w:t>je prireditev zanimiva za neposredne TV in radijske prenose ter druge medije in za gledalce,</w:t>
      </w:r>
    </w:p>
    <w:p w14:paraId="0E7086EA" w14:textId="544CAF7A" w:rsidR="004B0FC9" w:rsidRDefault="004B0FC9" w:rsidP="004B0FC9">
      <w:pPr>
        <w:pStyle w:val="Odstavekseznama"/>
        <w:numPr>
          <w:ilvl w:val="0"/>
          <w:numId w:val="14"/>
        </w:numPr>
      </w:pPr>
      <w:r>
        <w:t>je prireditev tržno zanimiva,</w:t>
      </w:r>
    </w:p>
    <w:p w14:paraId="0DF47E8D" w14:textId="6258ED14" w:rsidR="004B0FC9" w:rsidRDefault="004B0FC9" w:rsidP="004B0FC9">
      <w:pPr>
        <w:pStyle w:val="Odstavekseznama"/>
        <w:numPr>
          <w:ilvl w:val="0"/>
          <w:numId w:val="14"/>
        </w:numPr>
      </w:pPr>
      <w:r>
        <w:t>prireditev vpliva na uveljavljanje slovenskega športa in slovenske države,</w:t>
      </w:r>
    </w:p>
    <w:p w14:paraId="77A79BE5" w14:textId="491474AE" w:rsidR="004B0FC9" w:rsidRDefault="004B0FC9" w:rsidP="004B0FC9">
      <w:pPr>
        <w:pStyle w:val="Odstavekseznama"/>
        <w:numPr>
          <w:ilvl w:val="0"/>
          <w:numId w:val="14"/>
        </w:numPr>
      </w:pPr>
      <w:r>
        <w:t>ima športna panoga organizacijsko in tekmovalno tradicijo v Sloveniji,</w:t>
      </w:r>
    </w:p>
    <w:p w14:paraId="741494A1" w14:textId="57A09784" w:rsidR="004B0FC9" w:rsidRDefault="004B0FC9" w:rsidP="004B0FC9">
      <w:pPr>
        <w:pStyle w:val="Odstavekseznama"/>
        <w:numPr>
          <w:ilvl w:val="0"/>
          <w:numId w:val="14"/>
        </w:numPr>
      </w:pPr>
      <w:r>
        <w:t>obstaja možnost uvrstitve slovenskih športnikov v prvo tretjino razvrščenih.</w:t>
      </w:r>
    </w:p>
    <w:p w14:paraId="5496C8D1" w14:textId="77777777" w:rsidR="004B0FC9" w:rsidRDefault="004B0FC9" w:rsidP="004B0FC9"/>
    <w:p w14:paraId="37A2DC28" w14:textId="77777777" w:rsidR="004B0FC9" w:rsidRDefault="004B0FC9" w:rsidP="004B0FC9">
      <w:r>
        <w:t>Veslanje je najbolj reprezentativen šport Bleda. Bled je bil gostitelj svetovnih in evropskih prvenstev, svetovnih pokalov, vsako leto pa gosti tudi mednarodno regato. Organizacija EP 27 na Bledu bi pozitivno vplivala na promocijo veslaške panoge in s tem popularizacijo slovenskega veslanja, kar bi povečalo število tekmovalcev.</w:t>
      </w:r>
    </w:p>
    <w:p w14:paraId="7DE4C963" w14:textId="77777777" w:rsidR="004B0FC9" w:rsidRDefault="004B0FC9" w:rsidP="004B0FC9"/>
    <w:p w14:paraId="4D0ED985" w14:textId="77777777" w:rsidR="004B0FC9" w:rsidRDefault="004B0FC9" w:rsidP="004B0FC9">
      <w:r>
        <w:t>Velike mednarodne športne prireditve se sofinancirajo skladno z letnim programom športa na državni ravni za posamezno koledarsko leto. Postopek sofinanciranja organizacije velikih športnih prireditev se po zakonu izvede kot javni razpis. Soglasje vlade za sofinanciranje</w:t>
      </w:r>
      <w:proofErr w:type="gramStart"/>
      <w:r>
        <w:t>,</w:t>
      </w:r>
      <w:proofErr w:type="gramEnd"/>
      <w:r>
        <w:t xml:space="preserve"> je kot pogoj za dodelitev sredstev na javnem razpisu, kar pa je vlada podala.  </w:t>
      </w:r>
    </w:p>
    <w:p w14:paraId="4DBB9536" w14:textId="77777777" w:rsidR="004B0FC9" w:rsidRDefault="004B0FC9" w:rsidP="004B0FC9"/>
    <w:p w14:paraId="305826EA" w14:textId="77777777" w:rsidR="004B0FC9" w:rsidRDefault="004B0FC9" w:rsidP="004B0FC9">
      <w:r>
        <w:t>VZS je dolžna Ministrstvo za gospodarstvo, turizem in šport neposredno po pridobitvi pravice za organizacijo oziroma najkasneje do 15. novembra 2026 obvestiti, ali je pri Evropski veslaški konfederaciji, pridobila pravice za organizacijo EP 27.</w:t>
      </w:r>
    </w:p>
    <w:p w14:paraId="40D9A0DF" w14:textId="77777777" w:rsidR="004B0FC9" w:rsidRDefault="004B0FC9" w:rsidP="004B0FC9"/>
    <w:p w14:paraId="32E85F7B" w14:textId="77FD57E3" w:rsidR="001A7EC8" w:rsidRDefault="004B0FC9" w:rsidP="004B0FC9">
      <w:r>
        <w:t>Vir: Ministrstvo za gospodarstvo, turizem in šport</w:t>
      </w:r>
    </w:p>
    <w:p w14:paraId="17A3B366" w14:textId="77777777" w:rsidR="001A7EC8" w:rsidRDefault="001A7EC8" w:rsidP="001A7EC8"/>
    <w:p w14:paraId="1B9F744F" w14:textId="4FDDCFEE" w:rsidR="005348E9" w:rsidRDefault="005348E9" w:rsidP="005348E9">
      <w:pPr>
        <w:pStyle w:val="Naslov2"/>
      </w:pPr>
      <w:r>
        <w:t>Vlada dala soglasje Kajakaški zvezi Slovenije za predložitev kandidature za organizacijo in morebitno sofinanciranje Evropskega prvenstva kajak slalom Tacen 2028</w:t>
      </w:r>
    </w:p>
    <w:p w14:paraId="0D697959" w14:textId="781E1017" w:rsidR="005348E9" w:rsidRDefault="005348E9" w:rsidP="005348E9">
      <w:r>
        <w:t>Vlada je dala soglasje Kajakaški zvezi Slovenije za vložitev kandidature za organizacijo in sofinanciranje Evropskega prvenstva kajak slalom Tacen 2028 (EP 28).</w:t>
      </w:r>
    </w:p>
    <w:p w14:paraId="4E9E05DF" w14:textId="77777777" w:rsidR="005348E9" w:rsidRDefault="005348E9" w:rsidP="005348E9"/>
    <w:p w14:paraId="2261107E" w14:textId="345C2902" w:rsidR="005348E9" w:rsidRDefault="005348E9" w:rsidP="005348E9">
      <w:r>
        <w:t>Kajakaška zveza Slovenije (KZS) bi v letu 2028 organizirala EP 28, ki bi potekalo predvidoma maja oziroma junija 2028. Tekmovanje bi potekalo v športni panogi kajak kanu – slalom, in sicer za člane in članice. V letu 2023 je evropsko prvenstvo potekalo na Poljskem, v letu 2024 v Sloveniji, v letu 2025 v Franciji, v letu 2026 pa bo potekalo v Italiji.</w:t>
      </w:r>
    </w:p>
    <w:p w14:paraId="77BD3F07" w14:textId="77777777" w:rsidR="005348E9" w:rsidRDefault="005348E9" w:rsidP="005348E9"/>
    <w:p w14:paraId="00C27E5B" w14:textId="1F54152E" w:rsidR="005348E9" w:rsidRDefault="005348E9" w:rsidP="005348E9">
      <w:r>
        <w:t>Pri odločanju o soglasju k vložitvi kandidature za organizacijo je vlada upoštevala tudi načela iz V. točke Sklepa o postopku za kandidiranje, ter ugotovila</w:t>
      </w:r>
      <w:proofErr w:type="gramStart"/>
      <w:r>
        <w:t xml:space="preserve"> da</w:t>
      </w:r>
      <w:proofErr w:type="gramEnd"/>
      <w:r>
        <w:t>:</w:t>
      </w:r>
    </w:p>
    <w:p w14:paraId="40760E99" w14:textId="23BE27F5" w:rsidR="005348E9" w:rsidRDefault="005348E9" w:rsidP="005348E9">
      <w:pPr>
        <w:pStyle w:val="Odstavekseznama"/>
        <w:numPr>
          <w:ilvl w:val="0"/>
          <w:numId w:val="13"/>
        </w:numPr>
      </w:pPr>
      <w:r>
        <w:t>prireditev prispeva k razvoju in širjenju športa oziroma športne panoge v državi,</w:t>
      </w:r>
    </w:p>
    <w:p w14:paraId="0C1ADD80" w14:textId="5DA25FB3" w:rsidR="005348E9" w:rsidRDefault="005348E9" w:rsidP="005348E9">
      <w:pPr>
        <w:pStyle w:val="Odstavekseznama"/>
        <w:numPr>
          <w:ilvl w:val="0"/>
          <w:numId w:val="13"/>
        </w:numPr>
      </w:pPr>
      <w:r>
        <w:t>je prireditev zanimiva za neposredne TV in radijske prenose ter druge medije in za gledalce,</w:t>
      </w:r>
    </w:p>
    <w:p w14:paraId="7DB0353D" w14:textId="573F4553" w:rsidR="005348E9" w:rsidRDefault="005348E9" w:rsidP="005348E9">
      <w:pPr>
        <w:pStyle w:val="Odstavekseznama"/>
        <w:numPr>
          <w:ilvl w:val="0"/>
          <w:numId w:val="13"/>
        </w:numPr>
      </w:pPr>
      <w:r>
        <w:t>je prireditev tržno zanimiva,</w:t>
      </w:r>
    </w:p>
    <w:p w14:paraId="6BF758C6" w14:textId="1C4C7F08" w:rsidR="005348E9" w:rsidRDefault="005348E9" w:rsidP="005348E9">
      <w:pPr>
        <w:pStyle w:val="Odstavekseznama"/>
        <w:numPr>
          <w:ilvl w:val="0"/>
          <w:numId w:val="13"/>
        </w:numPr>
      </w:pPr>
      <w:r>
        <w:t>prireditev vpliva na uveljavljanje slovenskega športa in slovenske države,</w:t>
      </w:r>
    </w:p>
    <w:p w14:paraId="0B158843" w14:textId="5BE84F03" w:rsidR="005348E9" w:rsidRDefault="005348E9" w:rsidP="005348E9">
      <w:pPr>
        <w:pStyle w:val="Odstavekseznama"/>
        <w:numPr>
          <w:ilvl w:val="0"/>
          <w:numId w:val="13"/>
        </w:numPr>
      </w:pPr>
      <w:r>
        <w:t>ima športna panoga organizacijsko in tekmovalno tradicijo v Sloveniji,</w:t>
      </w:r>
    </w:p>
    <w:p w14:paraId="54192E35" w14:textId="2BC1BBD7" w:rsidR="005348E9" w:rsidRDefault="005348E9" w:rsidP="005348E9">
      <w:pPr>
        <w:pStyle w:val="Odstavekseznama"/>
        <w:numPr>
          <w:ilvl w:val="0"/>
          <w:numId w:val="13"/>
        </w:numPr>
      </w:pPr>
      <w:r>
        <w:t>obstaja možnost uvrstitve slovenskih športnikov v prvo tretjino razvrščenih.</w:t>
      </w:r>
    </w:p>
    <w:p w14:paraId="650E861C" w14:textId="77777777" w:rsidR="005348E9" w:rsidRDefault="005348E9" w:rsidP="005348E9"/>
    <w:p w14:paraId="793BDEB9" w14:textId="77777777" w:rsidR="005348E9" w:rsidRDefault="005348E9" w:rsidP="005348E9">
      <w:r>
        <w:t>Športna panoga kajak kanu – slalom in proga v Tacnu na reki Savi je dobro poznana in priznana v svetu kajakaškega športa. Na progi so bila izvedena svetovna in evropska prvenstva. Vsako leto pa se na tej lokaciji organizira vsaj eno veliko mednarodno tekmovanje, največkrat tekmovanje za svetovni pokal.</w:t>
      </w:r>
    </w:p>
    <w:p w14:paraId="08DC5765" w14:textId="77777777" w:rsidR="005348E9" w:rsidRDefault="005348E9" w:rsidP="005348E9"/>
    <w:p w14:paraId="08117EA8" w14:textId="77777777" w:rsidR="005348E9" w:rsidRDefault="005348E9" w:rsidP="005348E9">
      <w:r>
        <w:t xml:space="preserve">Velike mednarodne športne prireditve se sofinancirajo skladno z letnim programom športa na državni ravni za posamezno koledarsko leto. Postopek sofinanciranja organizacije velikih športnih prireditev se </w:t>
      </w:r>
      <w:r>
        <w:lastRenderedPageBreak/>
        <w:t>po zakonu izvede kot javni razpis. Soglasje vlade za sofinanciranje</w:t>
      </w:r>
      <w:proofErr w:type="gramStart"/>
      <w:r>
        <w:t>,</w:t>
      </w:r>
      <w:proofErr w:type="gramEnd"/>
      <w:r>
        <w:t xml:space="preserve"> je kot pogoj za dodelitev sredstev na javnem razpisu, kar pa je vlada podala.  </w:t>
      </w:r>
    </w:p>
    <w:p w14:paraId="2234B904" w14:textId="77777777" w:rsidR="005348E9" w:rsidRDefault="005348E9" w:rsidP="005348E9"/>
    <w:p w14:paraId="5BAA9AF4" w14:textId="77777777" w:rsidR="005348E9" w:rsidRDefault="005348E9" w:rsidP="005348E9">
      <w:r>
        <w:t>KZS je dolžna Ministrstvo za gospodarstvo, turizem in šport neposredno po pridobitvi pravice za organizacijo oziroma najkasneje do 15. novembra 2026 obvestiti, ali je pri Evropski kajakaški zvezi (ECA) pridobila pravice za organizacijo EP 28.</w:t>
      </w:r>
    </w:p>
    <w:p w14:paraId="7E260EFE" w14:textId="27116E39" w:rsidR="001A7EC8" w:rsidRDefault="005348E9" w:rsidP="005348E9">
      <w:pPr>
        <w:pStyle w:val="Vir"/>
      </w:pPr>
      <w:r>
        <w:t>Vir: Ministrstvo za gospodarstvo, turizem in šport</w:t>
      </w:r>
    </w:p>
    <w:p w14:paraId="5CDF0107" w14:textId="053CCAA9" w:rsidR="0032012B" w:rsidRDefault="0032012B" w:rsidP="0032012B">
      <w:pPr>
        <w:pStyle w:val="Naslov2"/>
      </w:pPr>
      <w:r>
        <w:t>Informacija o nameravani vzpostavitvi nacionalnega vozlišča za dostop do vesoljskih zmogljivosti</w:t>
      </w:r>
    </w:p>
    <w:p w14:paraId="4F8253DC" w14:textId="2F1F4036" w:rsidR="0032012B" w:rsidRDefault="0032012B" w:rsidP="0032012B">
      <w:r>
        <w:t>Vlada se je na seji seznanila z Informacijo o nameravani vzpostavitvi nacionalnega vozlišča za dostop do vesoljskih zmogljivosti.</w:t>
      </w:r>
    </w:p>
    <w:p w14:paraId="55D7F803" w14:textId="77777777" w:rsidR="0032012B" w:rsidRDefault="0032012B" w:rsidP="0032012B"/>
    <w:p w14:paraId="595263CE" w14:textId="77777777" w:rsidR="0032012B" w:rsidRDefault="0032012B" w:rsidP="0032012B">
      <w:r>
        <w:t xml:space="preserve">Za učinkovito upravljanje dostopa do vesoljskih zmogljivosti na nacionalni ravni se v okviru Ministrstva za obrambo načrtuje vzpostavitev nacionalnega vozlišča za dostop do vesoljskih zmogljivosti (nacionalno vozlišče) – kot enovite sistemske in operativne rešitve, ki bo kot integrirana platforma zagotavljala boljšo dostopnost, </w:t>
      </w:r>
      <w:proofErr w:type="gramStart"/>
      <w:r>
        <w:t>interoperabilnost</w:t>
      </w:r>
      <w:proofErr w:type="gramEnd"/>
      <w:r>
        <w:t xml:space="preserve"> in uporabnost vesoljskih zmogljivosti iz različnih virov in glede na različne uporabniške zahteve, za vse ključne deležnike. </w:t>
      </w:r>
    </w:p>
    <w:p w14:paraId="48CBB213" w14:textId="77777777" w:rsidR="0032012B" w:rsidRDefault="0032012B" w:rsidP="0032012B"/>
    <w:p w14:paraId="497B4D61" w14:textId="77777777" w:rsidR="0032012B" w:rsidRDefault="0032012B" w:rsidP="0032012B">
      <w:r>
        <w:t>Nacionalno vozlišče se oblikuje v okviru programa Civilna varnost iz vesolja (</w:t>
      </w:r>
      <w:proofErr w:type="gramStart"/>
      <w:r>
        <w:t>ang</w:t>
      </w:r>
      <w:proofErr w:type="gramEnd"/>
      <w:r>
        <w:t xml:space="preserve">. Civil </w:t>
      </w:r>
      <w:proofErr w:type="spellStart"/>
      <w:r>
        <w:t>Security</w:t>
      </w:r>
      <w:proofErr w:type="spellEnd"/>
      <w:r>
        <w:t xml:space="preserve"> </w:t>
      </w:r>
      <w:proofErr w:type="spellStart"/>
      <w:proofErr w:type="gramStart"/>
      <w:r>
        <w:t>from</w:t>
      </w:r>
      <w:proofErr w:type="spellEnd"/>
      <w:proofErr w:type="gramEnd"/>
      <w:r>
        <w:t xml:space="preserve"> Space – CSS) Evropske vesoljske agencije (ang. </w:t>
      </w:r>
      <w:proofErr w:type="spellStart"/>
      <w:r>
        <w:t>European</w:t>
      </w:r>
      <w:proofErr w:type="spellEnd"/>
      <w:r>
        <w:t xml:space="preserve"> Space </w:t>
      </w:r>
      <w:proofErr w:type="spellStart"/>
      <w:r>
        <w:t>Agency</w:t>
      </w:r>
      <w:proofErr w:type="spellEnd"/>
      <w:r>
        <w:t xml:space="preserve"> – ESA) oz. novega programa ESA Evropska odpornost iz vesolja (</w:t>
      </w:r>
      <w:proofErr w:type="gramStart"/>
      <w:r>
        <w:t>ang</w:t>
      </w:r>
      <w:proofErr w:type="gramEnd"/>
      <w:r>
        <w:t xml:space="preserve">. </w:t>
      </w:r>
      <w:proofErr w:type="spellStart"/>
      <w:r>
        <w:t>European</w:t>
      </w:r>
      <w:proofErr w:type="spellEnd"/>
      <w:r>
        <w:t xml:space="preserve"> </w:t>
      </w:r>
      <w:proofErr w:type="spellStart"/>
      <w:r>
        <w:t>Resilience</w:t>
      </w:r>
      <w:proofErr w:type="spellEnd"/>
      <w:r>
        <w:t xml:space="preserve"> </w:t>
      </w:r>
      <w:proofErr w:type="spellStart"/>
      <w:proofErr w:type="gramStart"/>
      <w:r>
        <w:t>from</w:t>
      </w:r>
      <w:proofErr w:type="spellEnd"/>
      <w:proofErr w:type="gramEnd"/>
      <w:r>
        <w:t xml:space="preserve"> Space – ERS). Vzpostavi se na Ministrstvu za obrambo, v okviru organizacijske enote, pristojne za obrambne zadeve.</w:t>
      </w:r>
    </w:p>
    <w:p w14:paraId="24D60401" w14:textId="1A547136" w:rsidR="001A7EC8" w:rsidRDefault="0032012B" w:rsidP="0032012B">
      <w:pPr>
        <w:pStyle w:val="Vir"/>
      </w:pPr>
      <w:r>
        <w:t>Vir: Ministrstvo za obrambo</w:t>
      </w:r>
    </w:p>
    <w:p w14:paraId="0E5E7CD2" w14:textId="40AC1F96" w:rsidR="007C329D" w:rsidRDefault="007C329D" w:rsidP="007C329D">
      <w:pPr>
        <w:pStyle w:val="Naslov2"/>
      </w:pPr>
      <w:r>
        <w:t>Vlada prerazporeja sredstva državnega proračuna</w:t>
      </w:r>
    </w:p>
    <w:p w14:paraId="160B4F1C" w14:textId="77777777" w:rsidR="007C329D" w:rsidRDefault="007C329D" w:rsidP="007C329D">
      <w:r>
        <w:t>Vlada je na današnji seji odločila o prerazporeditvah pravic porabe v letošnjem državnem proračunu.</w:t>
      </w:r>
    </w:p>
    <w:p w14:paraId="4AE6B27F" w14:textId="77777777" w:rsidR="007C329D" w:rsidRDefault="007C329D" w:rsidP="007C329D">
      <w:r>
        <w:t>Ministrstvo za gospodarstvo, turizem in šport prerazporeja pravice porabe v višini 496 tisoč evrov v okviru svojega finančnega načrta za izplačilo nagrad vrhunskim športnikom in strokovnim delavcem - trenerjem za dosežke na Olimpijskih igrah Milano Cortina 2026.</w:t>
      </w:r>
    </w:p>
    <w:p w14:paraId="0F5A9D5D" w14:textId="77777777" w:rsidR="007C329D" w:rsidRDefault="007C329D" w:rsidP="007C329D"/>
    <w:p w14:paraId="2253A97E" w14:textId="77777777" w:rsidR="007C329D" w:rsidRDefault="007C329D" w:rsidP="007C329D">
      <w:r>
        <w:t>Ministrstvo za infrastrukturo prerazporeja pravice porabe v okviru finančnih načrtov neposrednih uporabnikov, ki so v njegovi pristojnosti v višini 5 milijonov evrov za nepovratne finančne spodbude za nakup ali predelavo tovornih vozil in avtobusov na sintetični plin, biometan, elektriko ali vodik, za nadgradnjo tovornih vozil z aerodinamičnimi deli ter za digitalizacijo na področju cestnih prevozov.</w:t>
      </w:r>
    </w:p>
    <w:p w14:paraId="7E99FCCB" w14:textId="77777777" w:rsidR="007C329D" w:rsidRDefault="007C329D" w:rsidP="007C329D"/>
    <w:p w14:paraId="7483F686" w14:textId="77777777" w:rsidR="007C329D" w:rsidRDefault="007C329D" w:rsidP="007C329D">
      <w:r>
        <w:t>Ministrstvo za notranje zadeve/Policija prerazporeja pravice porabe v višini 3 milijone evrov na Ministrstvo za kohezijo in regionalni razvoj za izvedbo projektov kohezijske politike v letu 2026.</w:t>
      </w:r>
    </w:p>
    <w:p w14:paraId="05955969" w14:textId="77777777" w:rsidR="007C329D" w:rsidRDefault="007C329D" w:rsidP="007C329D"/>
    <w:p w14:paraId="4D93C5D2" w14:textId="77777777" w:rsidR="007C329D" w:rsidRDefault="007C329D" w:rsidP="007C329D">
      <w:r>
        <w:t>Ministrstvo za obrambo prerazporeja pravice porabe znotraj svojega finančnega načrta v višini 8.8 milijona evrov za pokritje primanjkljaja na plačah in za izplačilo zimskega regresa Slovenske vojske, Uprave RS za zaščito in reševanje, Ministrstva za obrambo, Inšpektorata RS za obrambo in Inšpektorata RS za varstvo pred naravnimi in drugimi nesrečami.</w:t>
      </w:r>
    </w:p>
    <w:p w14:paraId="3918D75D" w14:textId="77777777" w:rsidR="007C329D" w:rsidRDefault="007C329D" w:rsidP="007C329D"/>
    <w:p w14:paraId="090AEEF8" w14:textId="77777777" w:rsidR="007C329D" w:rsidRDefault="007C329D" w:rsidP="007C329D">
      <w:r>
        <w:t>Ministrstvo za kulturo prerazporeja pravice porabe v okviru svojega finančnega načrta v višini 260 tisoč evrov za tekoče plačilo prispevkov za socialno varnost verskih uslužbencev, ki predstavljajo zakonsko obveznost ministrstva.</w:t>
      </w:r>
    </w:p>
    <w:p w14:paraId="037E4DF4" w14:textId="77777777" w:rsidR="007C329D" w:rsidRDefault="007C329D" w:rsidP="007C329D"/>
    <w:p w14:paraId="1F81436A" w14:textId="77777777" w:rsidR="007C329D" w:rsidRDefault="007C329D" w:rsidP="007C329D">
      <w:r>
        <w:lastRenderedPageBreak/>
        <w:t>Ministrstvo za javno upravo prerazporeja sredstva znotraj svojega finančnega načrta v skupnem znesku 100 tisoč evrov za zagotovitev manjkajočih sredstev za Informacijski sistem MUZA – digitalno kadrovsko orodje, ki omogoča strateško ravnanje s kadri v državni upravi.</w:t>
      </w:r>
    </w:p>
    <w:p w14:paraId="2C178F87" w14:textId="3D03EEB5" w:rsidR="001A7EC8" w:rsidRDefault="007C329D" w:rsidP="007C329D">
      <w:pPr>
        <w:pStyle w:val="Vir"/>
      </w:pPr>
      <w:r>
        <w:t>Vir: Ministrstvo za finance</w:t>
      </w:r>
    </w:p>
    <w:p w14:paraId="393C7D65" w14:textId="651C62C7" w:rsidR="005D00D3" w:rsidRDefault="005D00D3" w:rsidP="005D00D3">
      <w:pPr>
        <w:pStyle w:val="Naslov2"/>
      </w:pPr>
      <w:r>
        <w:t>V Načrt razvojnih programov 2026-2029 uvrščena nova projekta</w:t>
      </w:r>
    </w:p>
    <w:p w14:paraId="74AF2447" w14:textId="77777777" w:rsidR="005D00D3" w:rsidRDefault="005D00D3" w:rsidP="005D00D3">
      <w:r>
        <w:t xml:space="preserve">Vlada je v veljavni Načrt razvojnih programov 2026–2029 uvrstila dva nova projekta: </w:t>
      </w:r>
      <w:proofErr w:type="gramStart"/>
      <w:r>
        <w:t>Modernizacija</w:t>
      </w:r>
      <w:proofErr w:type="gramEnd"/>
      <w:r>
        <w:t xml:space="preserve"> elektroenergetske infrastrukture – Elektro Celje in Modernizacija elektroenergetskega omrežja – ELES.</w:t>
      </w:r>
    </w:p>
    <w:p w14:paraId="7E0FADE0" w14:textId="77777777" w:rsidR="005D00D3" w:rsidRDefault="005D00D3" w:rsidP="005D00D3"/>
    <w:p w14:paraId="3A8E74C5" w14:textId="77777777" w:rsidR="005D00D3" w:rsidRDefault="005D00D3" w:rsidP="005D00D3">
      <w:r>
        <w:t xml:space="preserve">Ministrstvo za okolje, podnebje in energijo (MOPE) je projekta izbralo v okviru postopkov za sofinanciranje iz Sklada za </w:t>
      </w:r>
      <w:proofErr w:type="gramStart"/>
      <w:r>
        <w:t>modernizacijo</w:t>
      </w:r>
      <w:proofErr w:type="gramEnd"/>
      <w:r>
        <w:t xml:space="preserve"> za obdobje 2024–2030. Namen obeh projektov je posodobitev in nadgradnja elektroenergetske infrastrukture za večjo vključitev obnovljivih virov energije, baterijskih hranilnikov ter za podporo elektrifikaciji industrije, ogrevanja in prometa, kar prispeva k zmanjševanju rabe fosilnih goriv in izpustov CO</w:t>
      </w:r>
      <w:r>
        <w:rPr>
          <w:rFonts w:ascii="Cambria Math" w:hAnsi="Cambria Math" w:cs="Cambria Math"/>
        </w:rPr>
        <w:t>₂</w:t>
      </w:r>
      <w:r>
        <w:t>.</w:t>
      </w:r>
    </w:p>
    <w:p w14:paraId="06226FEE" w14:textId="77777777" w:rsidR="005D00D3" w:rsidRDefault="005D00D3" w:rsidP="005D00D3"/>
    <w:p w14:paraId="722CA013" w14:textId="77777777" w:rsidR="005D00D3" w:rsidRDefault="005D00D3" w:rsidP="005D00D3">
      <w:r>
        <w:t xml:space="preserve">Projekt </w:t>
      </w:r>
      <w:proofErr w:type="gramStart"/>
      <w:r>
        <w:t>Modernizacija</w:t>
      </w:r>
      <w:proofErr w:type="gramEnd"/>
      <w:r>
        <w:t xml:space="preserve"> elektroenergetske infrastrukture – Elektro Celje predvideva izgradnjo oziroma rekonstrukcijo 13 razdelilno-transformatorskih postaj ter nadgradnjo srednjenapetostnega omrežja na območju Elektra Celje. Vrednost projekta znaša 11,03 milijona evrov brez DDV, od tega bo polovica sredstev</w:t>
      </w:r>
      <w:proofErr w:type="gramStart"/>
      <w:r>
        <w:t xml:space="preserve"> zagotovljena</w:t>
      </w:r>
      <w:proofErr w:type="gramEnd"/>
      <w:r>
        <w:t xml:space="preserve"> iz Modernizacijskega sklada (5,51 milijona evrov), polovica pa iz sredstev družbe Elektro Celje. Projekt se bo izvajal do konca leta 2029.</w:t>
      </w:r>
    </w:p>
    <w:p w14:paraId="3505F5F5" w14:textId="77777777" w:rsidR="005D00D3" w:rsidRDefault="005D00D3" w:rsidP="005D00D3"/>
    <w:p w14:paraId="40B997FD" w14:textId="77777777" w:rsidR="005D00D3" w:rsidRDefault="005D00D3" w:rsidP="005D00D3">
      <w:r>
        <w:t>Projekt Modernizacija elektroenergetskega omrežja – ELES obsega rekonstrukcijo dela daljnovoda 2 × 110</w:t>
      </w:r>
      <w:proofErr w:type="gramStart"/>
      <w:r>
        <w:t xml:space="preserve"> kV</w:t>
      </w:r>
      <w:proofErr w:type="gramEnd"/>
      <w:r>
        <w:t xml:space="preserve"> Dravograd–Velenje v kabelski izvedbi, namestitev nove tehnološke opreme ter prilagoditev obstoječe infrastrukture. Vrednost projekta znaša 12,92 milijona evrov brez DDV. Iz Modernizacijskega sklada bo zagotovljenih 5,74 milijona evrov, preostanek pa iz sredstev družbe ELES. Projekt se bo izvajal do konca leta 2028.</w:t>
      </w:r>
    </w:p>
    <w:p w14:paraId="13CFD42E" w14:textId="1AB196AD" w:rsidR="001A7EC8" w:rsidRDefault="005D00D3" w:rsidP="005D00D3">
      <w:pPr>
        <w:pStyle w:val="Vir"/>
      </w:pPr>
      <w:r>
        <w:t>Vir: Ministrstvo za okolje, podnebje in energijo</w:t>
      </w:r>
    </w:p>
    <w:p w14:paraId="51D184AA" w14:textId="78C0EBCD" w:rsidR="007F5B51" w:rsidRDefault="007F5B51" w:rsidP="007F5B51">
      <w:pPr>
        <w:pStyle w:val="Naslov2"/>
      </w:pPr>
      <w:r>
        <w:t xml:space="preserve">Poročilo o delu Sveta za socialno </w:t>
      </w:r>
      <w:proofErr w:type="gramStart"/>
      <w:r>
        <w:t>ekonomijo</w:t>
      </w:r>
      <w:proofErr w:type="gramEnd"/>
      <w:r>
        <w:t xml:space="preserve"> za leto 2025</w:t>
      </w:r>
    </w:p>
    <w:p w14:paraId="6DDB4DD0" w14:textId="0728326E" w:rsidR="007F5B51" w:rsidRDefault="007F5B51" w:rsidP="007F5B51">
      <w:r>
        <w:t>Vlada Republike Slovenije se je seznanila s poročilom o delu Sveta za socialno ekonomijo za leto 2025</w:t>
      </w:r>
      <w:proofErr w:type="gramStart"/>
      <w:r>
        <w:t xml:space="preserve"> iz</w:t>
      </w:r>
      <w:proofErr w:type="gramEnd"/>
      <w:r>
        <w:t xml:space="preserve"> katerega izhaja, da je svet v pretežnem delu realiziral načrtovane naloge.</w:t>
      </w:r>
    </w:p>
    <w:p w14:paraId="11451F86" w14:textId="77777777" w:rsidR="007F5B51" w:rsidRDefault="007F5B51" w:rsidP="007F5B51"/>
    <w:p w14:paraId="23D70E01" w14:textId="77777777" w:rsidR="007F5B51" w:rsidRDefault="007F5B51" w:rsidP="007F5B51">
      <w:r>
        <w:t xml:space="preserve">Svet za socialno </w:t>
      </w:r>
      <w:proofErr w:type="gramStart"/>
      <w:r>
        <w:t>ekonomijo</w:t>
      </w:r>
      <w:proofErr w:type="gramEnd"/>
      <w:r>
        <w:t xml:space="preserve"> je bil ustanovljen na podlagi Zakona o socialnem podjetništvu (</w:t>
      </w:r>
      <w:proofErr w:type="spellStart"/>
      <w:r>
        <w:t>ZSocP</w:t>
      </w:r>
      <w:proofErr w:type="spellEnd"/>
      <w:r>
        <w:t>) in Odloka o ustanovitvi Sveta za socialno ekonomijo. V skladu z odlokom je dolžan enkrat letno poročati Vladi Republike Slovenije o izvajanju svojih nalog.</w:t>
      </w:r>
    </w:p>
    <w:p w14:paraId="0C410A4B" w14:textId="77777777" w:rsidR="007F5B51" w:rsidRDefault="007F5B51" w:rsidP="007F5B51"/>
    <w:p w14:paraId="36348F20" w14:textId="77777777" w:rsidR="007F5B51" w:rsidRDefault="007F5B51" w:rsidP="007F5B51">
      <w:r>
        <w:t>Med ključnimi nalogami sveta so priprava Strategije razvoja socialne ekonomije, podaja mnenja k Programu ukrepov ter spremljanje, usmerjanje in usklajevanje izvajanja politik na področju socialne ekonomije.</w:t>
      </w:r>
    </w:p>
    <w:p w14:paraId="7F476DBF" w14:textId="77777777" w:rsidR="007F5B51" w:rsidRDefault="007F5B51" w:rsidP="007F5B51"/>
    <w:p w14:paraId="19639B17" w14:textId="4A9CDFED" w:rsidR="007F5B51" w:rsidRDefault="007F5B51" w:rsidP="007F5B51">
      <w:r>
        <w:t>V letu 2025 se je svet sestal dvakrat. Na prvi seji je sprejel program dela za leto 2025, ki je bil osredotočen na pripravo Strategije razvoja socialne ekonomije 2025–2035 in Programa ukrepov za obdobje 2025–2030. Oba dokumenta je ocenil kot ustrezno podlago za javno razpravo in medresorsko usklajevanje.</w:t>
      </w:r>
    </w:p>
    <w:p w14:paraId="238994B1" w14:textId="77777777" w:rsidR="007F5B51" w:rsidRDefault="007F5B51" w:rsidP="007F5B51"/>
    <w:p w14:paraId="1D417A61" w14:textId="724A32BE" w:rsidR="007F5B51" w:rsidRDefault="007F5B51" w:rsidP="007F5B51">
      <w:r>
        <w:lastRenderedPageBreak/>
        <w:t xml:space="preserve">Po izvedeni javni razpravi, usklajevanju z resorji ter obravnavi na Ekonomsko-socialnem svetu je svet na drugi seji strategijo soglasno potrdil kot vsebinsko ustrezno in jo predlagal Vladi Republike Slovenije v sprejem. </w:t>
      </w:r>
    </w:p>
    <w:p w14:paraId="3354287F" w14:textId="77777777" w:rsidR="007F5B51" w:rsidRDefault="007F5B51" w:rsidP="007F5B51"/>
    <w:p w14:paraId="7400977A" w14:textId="701A12E7" w:rsidR="007F5B51" w:rsidRDefault="007F5B51" w:rsidP="007F5B51">
      <w:r>
        <w:t>Vlada Republike Slovenije je 26. novembra 2025 sprejela Odlok o strategiji razvoja socialne ekonomije za obdobje 2025–2035, s čimer je bil vzpostavljen temeljni razvojni okvir na tem področju. Svet se je seznanil tudi z dopolnjenim Programom ukrepov za obdobje 2025–2030, katerega obravnava in odločanje sta predvidena v letu 2026.</w:t>
      </w:r>
    </w:p>
    <w:p w14:paraId="760801AA" w14:textId="77777777" w:rsidR="007F5B51" w:rsidRDefault="007F5B51" w:rsidP="007F5B51"/>
    <w:p w14:paraId="55C02505" w14:textId="3EA25E4A" w:rsidR="007F5B51" w:rsidRDefault="007F5B51" w:rsidP="007F5B51">
      <w:r>
        <w:t xml:space="preserve">V letu 2025 je svet obravnaval tudi druge pobude za krepitev ekosistema socialne ekonomije ter sodeloval pri promocijskih in strokovnih </w:t>
      </w:r>
      <w:proofErr w:type="gramStart"/>
      <w:r>
        <w:t>aktivnostih</w:t>
      </w:r>
      <w:proofErr w:type="gramEnd"/>
      <w:r>
        <w:t xml:space="preserve">. </w:t>
      </w:r>
    </w:p>
    <w:p w14:paraId="00B1BDEE" w14:textId="77777777" w:rsidR="007F5B51" w:rsidRDefault="007F5B51" w:rsidP="007F5B51"/>
    <w:p w14:paraId="47591AD7" w14:textId="2C34CD39" w:rsidR="007F5B51" w:rsidRDefault="007F5B51" w:rsidP="007F5B51">
      <w:r>
        <w:t xml:space="preserve">Na podlagi izvedenih </w:t>
      </w:r>
      <w:proofErr w:type="gramStart"/>
      <w:r>
        <w:t>aktivnosti</w:t>
      </w:r>
      <w:proofErr w:type="gramEnd"/>
      <w:r>
        <w:t xml:space="preserve"> lahko zaključimo, da je svet v letu 2025 večino načrtovanih nalog uspešno realiziral, medtem ko se izvajanje in spremljanje strategije zaradi časovnice njenega sprejemanja še nista začela.</w:t>
      </w:r>
    </w:p>
    <w:p w14:paraId="0661ED5C" w14:textId="406784C5" w:rsidR="001A7EC8" w:rsidRDefault="007F5B51" w:rsidP="007F5B51">
      <w:pPr>
        <w:pStyle w:val="Vir"/>
      </w:pPr>
      <w:r>
        <w:t>Vir: Ministrstvo za gospodarstvo, turizem in šport</w:t>
      </w:r>
    </w:p>
    <w:p w14:paraId="0E6668CE" w14:textId="37F290AB" w:rsidR="003E7D4C" w:rsidRDefault="003E7D4C" w:rsidP="003E7D4C">
      <w:pPr>
        <w:pStyle w:val="Naslov2"/>
      </w:pPr>
      <w:r>
        <w:t xml:space="preserve">Vlada se je seznanila s poročilom o </w:t>
      </w:r>
      <w:proofErr w:type="gramStart"/>
      <w:r>
        <w:t>realizaciji</w:t>
      </w:r>
      <w:proofErr w:type="gramEnd"/>
      <w:r>
        <w:t xml:space="preserve"> sklepa vlade glede pospešitve reševanja denacionalizacijskih postopkov</w:t>
      </w:r>
    </w:p>
    <w:p w14:paraId="757781D3" w14:textId="77777777" w:rsidR="003E7D4C" w:rsidRDefault="003E7D4C" w:rsidP="003E7D4C">
      <w:r>
        <w:t xml:space="preserve">Vlada se je seznanila s poročilom Ministrstva za javno upravo o </w:t>
      </w:r>
      <w:proofErr w:type="gramStart"/>
      <w:r>
        <w:t>realizaciji</w:t>
      </w:r>
      <w:proofErr w:type="gramEnd"/>
      <w:r>
        <w:t xml:space="preserve"> 4. in 5. točke sklepa Vlade z dne 9. 1. 2014 za "Pospešitev in zaključek postopkov po Zakonu o denacionalizaciji (ZDen) ter Zakonu o ponovni vzpostavitvi agrarnih skupnosti ter vrnitvi njihovega premoženja in pravic (ZPVAS) na upravnih enotah". </w:t>
      </w:r>
    </w:p>
    <w:p w14:paraId="04BC618F" w14:textId="77777777" w:rsidR="003E7D4C" w:rsidRDefault="003E7D4C" w:rsidP="003E7D4C"/>
    <w:p w14:paraId="49F75FA0" w14:textId="77777777" w:rsidR="003E7D4C" w:rsidRDefault="003E7D4C" w:rsidP="003E7D4C">
      <w:r>
        <w:t xml:space="preserve">Ministrstvo za javno upravo na podlagi zgoraj omenjenega sklepa vlade vsako polletje pripravi poročilo o </w:t>
      </w:r>
      <w:proofErr w:type="gramStart"/>
      <w:r>
        <w:t>realizaciji</w:t>
      </w:r>
      <w:proofErr w:type="gramEnd"/>
      <w:r>
        <w:t xml:space="preserve"> sklepov. Ministrstvo je zbralo podatke in pripravilo 23. poročilo, za obdobje od </w:t>
      </w:r>
      <w:proofErr w:type="gramStart"/>
      <w:r>
        <w:t>1. 7. 2025</w:t>
      </w:r>
      <w:proofErr w:type="gramEnd"/>
      <w:r>
        <w:t xml:space="preserve"> do 31. 12. 2025. Po podatkih UE, kjer postopki še niso zaključeni, je bilo na dan </w:t>
      </w:r>
      <w:proofErr w:type="gramStart"/>
      <w:r>
        <w:t>31. 12. 2025</w:t>
      </w:r>
      <w:proofErr w:type="gramEnd"/>
      <w:r>
        <w:t xml:space="preserve"> skupno 49 nepravnomočnih zadev, od tega 46 po ZDEN in 3 po ZPVAS. V reševanju so ostale najtežje in najbolj kompleksne zadeve.</w:t>
      </w:r>
    </w:p>
    <w:p w14:paraId="03CA8D77" w14:textId="321C4B34" w:rsidR="001A7EC8" w:rsidRDefault="003E7D4C" w:rsidP="003E7D4C">
      <w:pPr>
        <w:pStyle w:val="Vir"/>
      </w:pPr>
      <w:r>
        <w:t>Vir: Ministrstvo za javno upravo</w:t>
      </w:r>
    </w:p>
    <w:p w14:paraId="259AFB88" w14:textId="7D1846CF" w:rsidR="00847738" w:rsidRDefault="00847738" w:rsidP="00847738">
      <w:pPr>
        <w:pStyle w:val="Naslov2"/>
      </w:pPr>
      <w:r>
        <w:t>Vlada se je seznanila s poročilom o izvajanju Strategije za boj proti antisemitizmu v letu 2025</w:t>
      </w:r>
    </w:p>
    <w:p w14:paraId="1AC9517E" w14:textId="77777777" w:rsidR="00847738" w:rsidRDefault="00847738" w:rsidP="00847738">
      <w:r>
        <w:t>Vlada Republike Slovenije se je seznanila s Poročilom Sveta Vlade Republike Slovenije za spremljanje izvajanja Strategije Republike Slovenije za boj proti antisemitizmu do leta 2033 v letu 2025.</w:t>
      </w:r>
    </w:p>
    <w:p w14:paraId="38481E46" w14:textId="77777777" w:rsidR="00847738" w:rsidRDefault="00847738" w:rsidP="00847738"/>
    <w:p w14:paraId="41BE328E" w14:textId="77777777" w:rsidR="00847738" w:rsidRDefault="00847738" w:rsidP="00847738">
      <w:r>
        <w:t>V skladu s prvim ukrepom strategije je bil 9. januarja 2025 ustanovljen Svet, ki spremlja izvajanje ukrepov, obravnava aktualne izzive boja proti antisemitizmu ter letno ocenjuje stanje pojavnosti antisemitizma v Republiki Sloveniji.</w:t>
      </w:r>
    </w:p>
    <w:p w14:paraId="38A6443C" w14:textId="77777777" w:rsidR="00847738" w:rsidRDefault="00847738" w:rsidP="00847738"/>
    <w:p w14:paraId="5D9472AF" w14:textId="77777777" w:rsidR="00847738" w:rsidRDefault="00847738" w:rsidP="00847738">
      <w:r>
        <w:t>Svet med drugim daje priporočila državnim organom in drugim nosilcem nalog iz Strategije ter se opredeljuje do predlogov sprememb zakonodaje, ki vplivajo ali bi lahko vplivali na področje njegovega dela.</w:t>
      </w:r>
    </w:p>
    <w:p w14:paraId="230088F4" w14:textId="77777777" w:rsidR="00847738" w:rsidRDefault="00847738" w:rsidP="00847738"/>
    <w:p w14:paraId="6692C943" w14:textId="77777777" w:rsidR="00847738" w:rsidRDefault="00847738" w:rsidP="00847738">
      <w:r>
        <w:t>Poročilo povzema izvajanje ukrepov strategije na področjih preprečevanja vseh oblik antisemitizma in boja proti njim, zaščite in negovanja judovske kulture ter izobraževanja, raziskav in ohranjanja spomina na holokavst.</w:t>
      </w:r>
    </w:p>
    <w:p w14:paraId="283FFA44" w14:textId="77777777" w:rsidR="00847738" w:rsidRDefault="00847738" w:rsidP="00847738"/>
    <w:p w14:paraId="3970BDE6" w14:textId="77777777" w:rsidR="00847738" w:rsidRDefault="00847738" w:rsidP="00847738">
      <w:r>
        <w:t>Svet se je v letu 2025 sestal na dveh sejah, in sicer 5. marca 2025 in 26. novembra 2025.</w:t>
      </w:r>
    </w:p>
    <w:p w14:paraId="755E6A79" w14:textId="3531E710" w:rsidR="001A7EC8" w:rsidRDefault="00847738" w:rsidP="00847738">
      <w:pPr>
        <w:pStyle w:val="Vir"/>
      </w:pPr>
      <w:r>
        <w:lastRenderedPageBreak/>
        <w:t>Vir: Ministrstvo za pravosodje</w:t>
      </w:r>
    </w:p>
    <w:p w14:paraId="521E13B8" w14:textId="70DA8A0B" w:rsidR="00493DE8" w:rsidRDefault="00493DE8" w:rsidP="00493DE8">
      <w:pPr>
        <w:pStyle w:val="Naslov2"/>
      </w:pPr>
      <w:r>
        <w:t>Vlada se je seznanila s Poročilom o delu Komisije za odpravljanje posledic dela z azbestom za leto 2025</w:t>
      </w:r>
    </w:p>
    <w:p w14:paraId="53B3100C" w14:textId="03E21A91" w:rsidR="00493DE8" w:rsidRDefault="00493DE8" w:rsidP="00493DE8">
      <w:r>
        <w:t xml:space="preserve">Komisija je v obdobju od 1. januarja 2025 do 31. decembra 2025 obravnavala in odločila o 59 zahtevkih. Komisija je odločila pozitivno v 55 primerih, in sicer v primeru 52 zahtevkov za izplačilo odškodnine iz naslova poklicne ali nepoklicne bolezni zaradi azbesta in 3 zahtevkih za priznanje invalidske pokojnine pod ugodnejšimi pogoji. </w:t>
      </w:r>
    </w:p>
    <w:p w14:paraId="177B7C6C" w14:textId="77777777" w:rsidR="00493DE8" w:rsidRDefault="00493DE8" w:rsidP="00493DE8"/>
    <w:p w14:paraId="7760E976" w14:textId="77777777" w:rsidR="00493DE8" w:rsidRDefault="00493DE8" w:rsidP="00493DE8">
      <w:r>
        <w:t xml:space="preserve">Komisija opaža, da v primerjavi s prejšnjim letom število zahtevkov pada. V letu 2025 je komisija obravnavala 22 primerov najhujše oblike bolezni – mezoteliom oziroma rak. Republika Slovenija je v letu 2025 v 8 primerih krila celotno odškodnino, saj delodajalci niso več obstajali ali je šlo za nepoklicno bolezen zaradi izpostavljenosti azbestu oziroma </w:t>
      </w:r>
      <w:proofErr w:type="gramStart"/>
      <w:r>
        <w:t>okoljski</w:t>
      </w:r>
      <w:proofErr w:type="gramEnd"/>
      <w:r>
        <w:t xml:space="preserve"> mezoteliom.</w:t>
      </w:r>
    </w:p>
    <w:p w14:paraId="5BE956D7" w14:textId="77777777" w:rsidR="00493DE8" w:rsidRDefault="00493DE8" w:rsidP="00493DE8"/>
    <w:p w14:paraId="21B5636E" w14:textId="77777777" w:rsidR="00493DE8" w:rsidRDefault="00493DE8" w:rsidP="00493DE8">
      <w:r>
        <w:t xml:space="preserve">Komisija ugotavlja, da največ delodajalcev, pri katerih je bolezen nastala, prihaja iz goriške </w:t>
      </w:r>
      <w:proofErr w:type="gramStart"/>
      <w:r>
        <w:t>regije</w:t>
      </w:r>
      <w:proofErr w:type="gramEnd"/>
      <w:r>
        <w:t>.</w:t>
      </w:r>
    </w:p>
    <w:p w14:paraId="46B426F6" w14:textId="77777777" w:rsidR="00493DE8" w:rsidRDefault="00493DE8" w:rsidP="00493DE8"/>
    <w:p w14:paraId="08478775" w14:textId="4DDCC861" w:rsidR="00493DE8" w:rsidRDefault="00493DE8" w:rsidP="00493DE8">
      <w:r>
        <w:t>Komisija je v letu 2025 izplačala upravičencem oziroma njihovim dedičem za odškodnine in povračilo stroškov pooblaščenega zdravnika 1.003.371</w:t>
      </w:r>
      <w:proofErr w:type="gramStart"/>
      <w:r>
        <w:t>,45</w:t>
      </w:r>
      <w:proofErr w:type="gramEnd"/>
      <w:r>
        <w:t xml:space="preserve"> evra. Republika Slovenija je v letu 2025 izplačala Kliničnemu inštitutu za medicino dela, prometa in športa za njihovo delo 20.953,17 evra.</w:t>
      </w:r>
    </w:p>
    <w:p w14:paraId="3B24500C" w14:textId="77777777" w:rsidR="00493DE8" w:rsidRDefault="00493DE8" w:rsidP="00493DE8"/>
    <w:p w14:paraId="7B1FAD34" w14:textId="77777777" w:rsidR="00493DE8" w:rsidRDefault="00493DE8" w:rsidP="00493DE8">
      <w:r>
        <w:t>Delo v komisiji poteka tekoče, prav tako pa komisija nima nobenih zaostankov.</w:t>
      </w:r>
    </w:p>
    <w:p w14:paraId="0513D32E" w14:textId="0944A3B9" w:rsidR="001A7EC8" w:rsidRDefault="00493DE8" w:rsidP="00493DE8">
      <w:pPr>
        <w:pStyle w:val="Vir"/>
      </w:pPr>
      <w:r>
        <w:t>Vir: Ministrstvo za delo, družino, socialne zadeve in enake možnosti</w:t>
      </w:r>
    </w:p>
    <w:p w14:paraId="4A8324A6" w14:textId="0A60252B" w:rsidR="00787DC2" w:rsidRDefault="00787DC2" w:rsidP="00787DC2">
      <w:pPr>
        <w:pStyle w:val="Naslov2"/>
      </w:pPr>
      <w:r>
        <w:t xml:space="preserve">Slovenija se strinja z zaščito evropskega jeklarskega sektorja zaradi negativnih učinkov svetovne presežne zmogljivosti na trg jekla v Uniji </w:t>
      </w:r>
    </w:p>
    <w:p w14:paraId="43BE147B" w14:textId="6232A62C" w:rsidR="00787DC2" w:rsidRDefault="00787DC2" w:rsidP="00787DC2">
      <w:r>
        <w:t>Vlada je sprejela stališče Republike Slovenije do predloga evropske uredbe o obravnavanju negativnih učinkov svetovne presežne zmogljivosti na trg jekla v Uniji, povezanih s trgovino.</w:t>
      </w:r>
    </w:p>
    <w:p w14:paraId="6E2484F4" w14:textId="77777777" w:rsidR="00787DC2" w:rsidRDefault="00787DC2" w:rsidP="00787DC2"/>
    <w:p w14:paraId="0A0D6F6B" w14:textId="77777777" w:rsidR="00787DC2" w:rsidRDefault="00787DC2" w:rsidP="00787DC2">
      <w:r>
        <w:t xml:space="preserve">Cilj predlagane uredbe je nadaljnja zaščita evropskega jeklarskega sektorja pred negativnimi trgovinskimi učinki, ki jih povzročajo svetovne presežne zmogljivosti proizvodnje jekla. Trenutno so še v veljavi zaščitni ukrepi na uvoz jekla, določeni z Izvedbeno uredbo Komisije, ki pa bo prenehala veljati 30. junija 2026. Predlagana uredba predvideva zaščito uvoza izdelkov iz jekla v EU tudi po izteku te uredbe. </w:t>
      </w:r>
    </w:p>
    <w:p w14:paraId="40780934" w14:textId="77777777" w:rsidR="00787DC2" w:rsidRDefault="00787DC2" w:rsidP="00787DC2"/>
    <w:p w14:paraId="5805E59C" w14:textId="77777777" w:rsidR="00787DC2" w:rsidRDefault="00787DC2" w:rsidP="00787DC2">
      <w:r>
        <w:t xml:space="preserve">Uredba predvideva odprtje letnih tarifnih kvot za uvoz izdelkov iz jekla, ki so </w:t>
      </w:r>
      <w:proofErr w:type="gramStart"/>
      <w:r>
        <w:t>razvrščeni</w:t>
      </w:r>
      <w:proofErr w:type="gramEnd"/>
      <w:r>
        <w:t xml:space="preserve"> v 28 skupin. Skupni obseg tarifnih kvot je določen ob upoštevanju ravni uvoza v letu 2013. Uredba določa carinsko dajatev 50 odstotkov za uvoz po izkoriščenosti kvot. Uredba vsebuje določbe o zagotavljanju večje sledljivosti, kje je bilo surovo jeklo stopljeno oziroma staljeno. Predvideva tudi možnost spremembe višine in razdelitve tarifnih kvot ter redno spremljanje </w:t>
      </w:r>
      <w:proofErr w:type="gramStart"/>
      <w:r>
        <w:t>situacije</w:t>
      </w:r>
      <w:proofErr w:type="gramEnd"/>
      <w:r>
        <w:t xml:space="preserve"> na trgu jekla.</w:t>
      </w:r>
    </w:p>
    <w:p w14:paraId="754663B7" w14:textId="77777777" w:rsidR="00787DC2" w:rsidRDefault="00787DC2" w:rsidP="00787DC2"/>
    <w:p w14:paraId="286C5FB7" w14:textId="7C37923F" w:rsidR="00787DC2" w:rsidRDefault="00787DC2" w:rsidP="00787DC2">
      <w:r>
        <w:t xml:space="preserve">Republika Slovenija se načeloma strinja s predlogom, saj se zaveda pomena in potrebe po zaščiti evropske jeklarske industrije pred negativnimi učinki svetovnih presežnih zmogljivosti. Poudarja, da je </w:t>
      </w:r>
      <w:proofErr w:type="gramStart"/>
      <w:r>
        <w:t>potrebno</w:t>
      </w:r>
      <w:proofErr w:type="gramEnd"/>
      <w:r>
        <w:t xml:space="preserve"> upoštevati tako interese evropske jeklarske industrije kot tudi industrije nižje v proizvodni verigi.</w:t>
      </w:r>
    </w:p>
    <w:p w14:paraId="60A0A940" w14:textId="77777777" w:rsidR="00787DC2" w:rsidRDefault="00787DC2" w:rsidP="00787DC2"/>
    <w:p w14:paraId="0E89D7D1" w14:textId="77777777" w:rsidR="00787DC2" w:rsidRDefault="00787DC2" w:rsidP="00787DC2">
      <w:proofErr w:type="gramStart"/>
      <w:r>
        <w:t>Izpostavlja</w:t>
      </w:r>
      <w:proofErr w:type="gramEnd"/>
      <w:r>
        <w:t xml:space="preserve"> tudi, da je potrebno izvajanje uredbe redno spremljati in jo pravočasno prilagoditi aktualnim razmeram na evropskem trgu jekla. Ključno je tudi, da je predlog skladen s pravili Svetovne trgovinske organizacije ter drugimi mednarodnimi obveznostmi Evropske unije. </w:t>
      </w:r>
    </w:p>
    <w:p w14:paraId="59291F0D" w14:textId="77777777" w:rsidR="00787DC2" w:rsidRDefault="00787DC2" w:rsidP="00787DC2"/>
    <w:p w14:paraId="1999236C" w14:textId="77777777" w:rsidR="00787DC2" w:rsidRDefault="00787DC2" w:rsidP="00787DC2">
      <w:r>
        <w:lastRenderedPageBreak/>
        <w:t>V okviru priprave uredbe se Republika Slovenija zavzema za rešitve, ki za uvoznike ne bodo pomenile nesorazmernega administrativnega bremena.</w:t>
      </w:r>
    </w:p>
    <w:p w14:paraId="679834E8" w14:textId="320BE40C" w:rsidR="001A7EC8" w:rsidRDefault="00787DC2" w:rsidP="00787DC2">
      <w:pPr>
        <w:pStyle w:val="Vir"/>
      </w:pPr>
      <w:r>
        <w:t>Vir: Ministrstvo za gospodarstvo, turizem in šport</w:t>
      </w:r>
    </w:p>
    <w:p w14:paraId="4907B957" w14:textId="208F0618" w:rsidR="00A21DC1" w:rsidRDefault="00A21DC1" w:rsidP="00A21DC1">
      <w:pPr>
        <w:pStyle w:val="Naslov2"/>
      </w:pPr>
      <w:r>
        <w:t>Vlada je sprejela Triindvajseto poročilo Republike Slovenije o izvajanju Evropske socialne listine (spremenjene)</w:t>
      </w:r>
    </w:p>
    <w:p w14:paraId="5E832C13" w14:textId="77777777" w:rsidR="00A21DC1" w:rsidRDefault="00A21DC1" w:rsidP="00A21DC1">
      <w:r>
        <w:t xml:space="preserve">V skladu s spremenjenim sistemom poročanja Republika Slovenija izdaja Triindvajseto poročilo o izvajanju členov MESLS in odgovarja na ciljno postavljena vprašanja, ki zajemajo naslednje sklope MESL: Pravica do pravičnih pogojev dela, Pravica do varnih in zdravih delovnih pogojev, Pravica do pravičnega plačila, Pravica do organiziranja, Pravica do kolektivnega </w:t>
      </w:r>
      <w:proofErr w:type="gramStart"/>
      <w:r>
        <w:t xml:space="preserve">pogajanja  </w:t>
      </w:r>
      <w:proofErr w:type="gramEnd"/>
      <w:r>
        <w:t xml:space="preserve">in Pravica do enakih možnosti za ženske in moške.  </w:t>
      </w:r>
    </w:p>
    <w:p w14:paraId="693EB64F" w14:textId="77777777" w:rsidR="00A21DC1" w:rsidRDefault="00A21DC1" w:rsidP="00A21DC1">
      <w:pPr>
        <w:pStyle w:val="Vir"/>
      </w:pPr>
      <w:r>
        <w:t>Vir: Ministrstvo za delo, družino, socialne zadeve in enake možnosti</w:t>
      </w:r>
    </w:p>
    <w:p w14:paraId="1D922B4E" w14:textId="531522B1" w:rsidR="00311346" w:rsidRDefault="00C93421" w:rsidP="00311346">
      <w:pPr>
        <w:pStyle w:val="Naslov2"/>
      </w:pPr>
      <w:r w:rsidRPr="00C93421">
        <w:t>Pomladanska napoved 2026</w:t>
      </w:r>
      <w:r w:rsidR="00311346">
        <w:t xml:space="preserve">: Gospodarska rast se bo okrepila, ob postopnem okrevanju izvoznega sektorja in krepitvi zasebne potrošnje; trenutno močno povečana geopolitična negotovost </w:t>
      </w:r>
    </w:p>
    <w:p w14:paraId="4D2D7E55" w14:textId="628202F5" w:rsidR="00311346" w:rsidRDefault="00311346" w:rsidP="00311346">
      <w:r>
        <w:t xml:space="preserve">Vlada se je seznanila s Pomladansko napovedjo gospodarskih gibanj 2026, ki jo je pripravil Urad RS za makroekonomske analize in razvoj (UMAR). </w:t>
      </w:r>
    </w:p>
    <w:p w14:paraId="2C8E8A70" w14:textId="77777777" w:rsidR="00311346" w:rsidRDefault="00311346" w:rsidP="00311346"/>
    <w:p w14:paraId="08CBA012" w14:textId="77777777" w:rsidR="00311346" w:rsidRDefault="00311346" w:rsidP="00311346">
      <w:r>
        <w:t>Po osrednjem scenariju, ki ne predvideva dolgotrajno povišanih cen nafte in plina ter njihove otežene dobave, se bo rast BDP v Sloveniji letos okrepila (2,0</w:t>
      </w:r>
      <w:proofErr w:type="gramStart"/>
      <w:r>
        <w:t xml:space="preserve"> %</w:t>
      </w:r>
      <w:proofErr w:type="gramEnd"/>
      <w:r>
        <w:t xml:space="preserve">), kar je zelo blizu jesenskim pričakovanjem UMAR, podobna bo tudi v prihodnjih dveh letih. Izvozno usmerjeni del gospodarstva bo postopno okreval ob izboljšanih obetih industrijske proizvodnje v najpomembnejših trgovinskih partnericah. </w:t>
      </w:r>
    </w:p>
    <w:p w14:paraId="5864FB1F" w14:textId="77777777" w:rsidR="00311346" w:rsidRDefault="00311346" w:rsidP="00311346"/>
    <w:p w14:paraId="65545213" w14:textId="06C89767" w:rsidR="00311346" w:rsidRDefault="00311346" w:rsidP="00311346">
      <w:r>
        <w:t xml:space="preserve">Nadaljevala se bo rast </w:t>
      </w:r>
      <w:proofErr w:type="gramStart"/>
      <w:r>
        <w:t>investicijske</w:t>
      </w:r>
      <w:proofErr w:type="gramEnd"/>
      <w:r>
        <w:t xml:space="preserve"> aktivnosti, ki bo še naprej temeljila predvsem na javnih investicijah, tudi rast zasebne potrošnje se bo okrepila. Letos bo inflacija (</w:t>
      </w:r>
      <w:proofErr w:type="gramStart"/>
      <w:r>
        <w:t>2,6 %</w:t>
      </w:r>
      <w:proofErr w:type="gramEnd"/>
      <w:r>
        <w:t xml:space="preserve"> konec leta, 2,5 % povprečna) podobna lanski, še naprej pričakujemo nadpovprečno rast cen storitev in hrane. V naslednjih letih se bo inflacija ob odsotnosti šokov postopoma zniževala proti 2</w:t>
      </w:r>
      <w:proofErr w:type="gramStart"/>
      <w:r>
        <w:t xml:space="preserve"> %</w:t>
      </w:r>
      <w:proofErr w:type="gramEnd"/>
      <w:r>
        <w:t>. Uresničitev Pomladanske napovedi spremljajo velika negativna tveganja v mednarodnem okolju, zlasti v povezavi z geopolitičnimi konflikti na Bližnjem vzhodu in njihovo zaostritvijo ter morebitno dolgotrajnostjo. Veliko tveganje ostaja tudi morebitno povečevanje trgovinskih ovir in vztrajanje globalne trgovinske negotovosti.</w:t>
      </w:r>
    </w:p>
    <w:p w14:paraId="222BFBBC" w14:textId="77777777" w:rsidR="00311346" w:rsidRDefault="00311346" w:rsidP="00311346">
      <w:pPr>
        <w:pStyle w:val="Vir"/>
      </w:pPr>
      <w:r>
        <w:t>Vir: Urad za makroekonomske analize in razvoj</w:t>
      </w:r>
    </w:p>
    <w:p w14:paraId="7F73C0C3" w14:textId="3A24B78F" w:rsidR="002133D3" w:rsidRDefault="002133D3" w:rsidP="002133D3">
      <w:pPr>
        <w:pStyle w:val="Naslov2"/>
      </w:pPr>
      <w:r>
        <w:t>Poročilo o izvajanju evropske kohezijske politike 2021–2027 in zaključevanju programskega obdobja 2014–2020 za obdobje od januarja 2014 do decembra 2025</w:t>
      </w:r>
    </w:p>
    <w:p w14:paraId="0662B6D1" w14:textId="77777777" w:rsidR="002133D3" w:rsidRDefault="002133D3" w:rsidP="002133D3">
      <w:r>
        <w:t>Vlada Republike Slovenije se je seznanila s Poročilom o izvajanju evropske kohezijske politike (EKP) 2021–2027 in zaključevanju programskega obdobja 2014–2020 za obdobje od januarja 2014 do decembra 2025.</w:t>
      </w:r>
    </w:p>
    <w:p w14:paraId="140C1D09" w14:textId="77777777" w:rsidR="002133D3" w:rsidRDefault="002133D3" w:rsidP="002133D3"/>
    <w:p w14:paraId="2FC2A315" w14:textId="77777777" w:rsidR="002133D3" w:rsidRDefault="002133D3" w:rsidP="002133D3">
      <w:r>
        <w:t xml:space="preserve">V vmesnem času so se </w:t>
      </w:r>
      <w:proofErr w:type="gramStart"/>
      <w:r>
        <w:t>aktivnosti</w:t>
      </w:r>
      <w:proofErr w:type="gramEnd"/>
      <w:r>
        <w:t xml:space="preserve"> intenzivno nadaljevale, zato so v nadaljevanju navedeni podatki na zadnji delovni dan meseca februarja.</w:t>
      </w:r>
    </w:p>
    <w:p w14:paraId="58F73B0A" w14:textId="77777777" w:rsidR="002133D3" w:rsidRDefault="002133D3" w:rsidP="002133D3"/>
    <w:p w14:paraId="1FA0C361" w14:textId="77777777" w:rsidR="002133D3" w:rsidRDefault="002133D3" w:rsidP="002133D3">
      <w:r>
        <w:t>Do 27. februarja je bilo v programskem obdobju 2021-2027:</w:t>
      </w:r>
    </w:p>
    <w:p w14:paraId="77B5BC99" w14:textId="4D3BCEFB" w:rsidR="002133D3" w:rsidRDefault="002133D3" w:rsidP="002133D3">
      <w:pPr>
        <w:pStyle w:val="Odstavekseznama"/>
        <w:numPr>
          <w:ilvl w:val="0"/>
          <w:numId w:val="12"/>
        </w:numPr>
      </w:pPr>
      <w:r>
        <w:t xml:space="preserve">izdanih za 2 milijardi evrov (EU </w:t>
      </w:r>
      <w:proofErr w:type="gramStart"/>
      <w:r>
        <w:t>del</w:t>
      </w:r>
      <w:proofErr w:type="gramEnd"/>
      <w:r>
        <w:t>) odločitev o podpori, kar je 56 odstotkov vseh razpoložljivih sredstev;</w:t>
      </w:r>
    </w:p>
    <w:p w14:paraId="505BCB69" w14:textId="6DC582E7" w:rsidR="002133D3" w:rsidRDefault="002133D3" w:rsidP="002133D3">
      <w:pPr>
        <w:pStyle w:val="Odstavekseznama"/>
        <w:numPr>
          <w:ilvl w:val="0"/>
          <w:numId w:val="12"/>
        </w:numPr>
      </w:pPr>
      <w:r>
        <w:t xml:space="preserve"> potrjenih operacij v skupni vrednosti 1.404 milijarde evrov (EU </w:t>
      </w:r>
      <w:proofErr w:type="gramStart"/>
      <w:r>
        <w:t>del</w:t>
      </w:r>
      <w:proofErr w:type="gramEnd"/>
      <w:r>
        <w:t>), kar je 39 odstotkov razpoložljivih sredstev;</w:t>
      </w:r>
    </w:p>
    <w:p w14:paraId="667D3E22" w14:textId="77777777" w:rsidR="002133D3" w:rsidRDefault="002133D3" w:rsidP="002133D3">
      <w:pPr>
        <w:pStyle w:val="Odstavekseznama"/>
        <w:numPr>
          <w:ilvl w:val="0"/>
          <w:numId w:val="12"/>
        </w:numPr>
      </w:pPr>
      <w:r>
        <w:lastRenderedPageBreak/>
        <w:t xml:space="preserve"> izplačil iz državnega proračuna v skupni vrednosti 393 milijonov evrov (EU </w:t>
      </w:r>
      <w:proofErr w:type="gramStart"/>
      <w:r>
        <w:t>del</w:t>
      </w:r>
      <w:proofErr w:type="gramEnd"/>
      <w:r>
        <w:t xml:space="preserve">), kar predstavlja 11 odstotkov pravic porabe; </w:t>
      </w:r>
    </w:p>
    <w:p w14:paraId="042A5344" w14:textId="4D58E605" w:rsidR="002133D3" w:rsidRDefault="002133D3" w:rsidP="002133D3">
      <w:pPr>
        <w:pStyle w:val="Odstavekseznama"/>
        <w:numPr>
          <w:ilvl w:val="0"/>
          <w:numId w:val="12"/>
        </w:numPr>
      </w:pPr>
      <w:r>
        <w:t>skupno je bilo certificiranih 391 milijonov evrov (</w:t>
      </w:r>
      <w:proofErr w:type="gramStart"/>
      <w:r>
        <w:t>EU del</w:t>
      </w:r>
      <w:proofErr w:type="gramEnd"/>
      <w:r>
        <w:t>) izdatkov.</w:t>
      </w:r>
    </w:p>
    <w:p w14:paraId="66C90D46" w14:textId="77777777" w:rsidR="002133D3" w:rsidRDefault="002133D3" w:rsidP="002133D3"/>
    <w:p w14:paraId="4A0F31C3" w14:textId="77777777" w:rsidR="002133D3" w:rsidRDefault="002133D3" w:rsidP="002133D3">
      <w:r>
        <w:t>Izvajanje evropske kohezijske politike za obdobje 2014–2020 je v zaključni fazi, saj so bile izdane vse odločitve o podpori in izvedena vsa izplačila, trenutno pa poteka zaključevanje operacij. Slovenija je v finančnem obdobju 2014–2020 uspešno pokoristila vsa razpoložljiva sredstva, skladno s finančnimi mejniki.</w:t>
      </w:r>
    </w:p>
    <w:p w14:paraId="43F4DEEE" w14:textId="77777777" w:rsidR="002133D3" w:rsidRDefault="002133D3" w:rsidP="002133D3"/>
    <w:p w14:paraId="2419292E" w14:textId="77777777" w:rsidR="002133D3" w:rsidRDefault="002133D3" w:rsidP="002133D3">
      <w:r>
        <w:t xml:space="preserve">Poročilu o koriščenju sredstev je bilo priloženo tudi Poročilo o delu Delovne skupine vlade za podporo izvajanju  </w:t>
      </w:r>
      <w:proofErr w:type="gramStart"/>
      <w:r>
        <w:t>Slovenske</w:t>
      </w:r>
      <w:proofErr w:type="gramEnd"/>
      <w:r>
        <w:t xml:space="preserve"> strategije trajnostne pametne specializacije v letu 2025.</w:t>
      </w:r>
    </w:p>
    <w:p w14:paraId="2C27031E" w14:textId="744D7F95" w:rsidR="001A7EC8" w:rsidRDefault="002133D3" w:rsidP="002133D3">
      <w:pPr>
        <w:pStyle w:val="Vir"/>
      </w:pPr>
      <w:r>
        <w:t>Vir: Ministrstvo za kohezijo in regionalni razvoj</w:t>
      </w:r>
    </w:p>
    <w:p w14:paraId="201043FF" w14:textId="017EFBFF" w:rsidR="001704EB" w:rsidRDefault="001704EB" w:rsidP="001704EB">
      <w:pPr>
        <w:pStyle w:val="Naslov2"/>
      </w:pPr>
      <w:r>
        <w:t>Vlada je izdala Uredbo o uporabi plovil na motorni pogon na reki Ljubljanici</w:t>
      </w:r>
    </w:p>
    <w:p w14:paraId="3A75D9F2" w14:textId="77777777" w:rsidR="001704EB" w:rsidRDefault="001704EB" w:rsidP="001704EB">
      <w:r>
        <w:t>Sprejem Uredbe o plovbi po reki Ljubljanici prinaša pomemben korak k boljši povezanosti Ljubljane z njenim zaledjem ter k razvoju sodobne, trajnostne mobilnosti. Ne govorimo o širitvi plovbe na nova območja, temveč o razširitvi plovne poti na relaciji od Vrhnike do Vevč. Krožna plovna pot se vsebinsko povezuje tudi s Krajinskim parkom Ljubljansko barje in s tem vzpostavljamo dodatno prometno os, ki povezuje mesto z okoliškimi kraji in odpira nove možnosti tako za dnevne uporabnike kot za turizem.</w:t>
      </w:r>
    </w:p>
    <w:p w14:paraId="5636DB60" w14:textId="77777777" w:rsidR="001704EB" w:rsidRDefault="001704EB" w:rsidP="001704EB"/>
    <w:p w14:paraId="118AD023" w14:textId="77777777" w:rsidR="001704EB" w:rsidRDefault="001704EB" w:rsidP="001704EB">
      <w:r>
        <w:t>Uredba omogoča povečanje dovoljene moči motorjev plovil. Govorimo o ukrepu za večjo varnost in boljšo plovnost. Zmogljivejši motorji pomenijo večjo manevrsko sposobnost, večjo zanesljivost v različnih vodostajih in s tem višjo raven varnosti za potnike.</w:t>
      </w:r>
    </w:p>
    <w:p w14:paraId="155F9586" w14:textId="77777777" w:rsidR="001704EB" w:rsidRDefault="001704EB" w:rsidP="001704EB"/>
    <w:p w14:paraId="0EF8021C" w14:textId="77777777" w:rsidR="001704EB" w:rsidRDefault="001704EB" w:rsidP="001704EB">
      <w:r>
        <w:t>Postajališča bo določila Mestna občina Ljubljana. Pomembno je, da bo omogočen vstop z Urbano, kar pomeni, da vodni promet vključujemo v enoten sistem javnega potniškega prometa. V uredbi so jasno določene prepovedi, omejitve in strokovno opredeljeni pogoji, ki zmanjšujejo vplive plovbe na ekološko in kemijsko stanje površinskih voda. Eden ključnih učinkov uredbe bo tudi prispevek k zmanjšanju izpustov CO</w:t>
      </w:r>
      <w:r>
        <w:rPr>
          <w:rFonts w:ascii="Cambria Math" w:hAnsi="Cambria Math" w:cs="Cambria Math"/>
        </w:rPr>
        <w:t>₂</w:t>
      </w:r>
      <w:r>
        <w:t>. Z razvojem vodnega prometa kot alternative cestnemu prometu krepimo trajnostne oblike mobilnosti in dolgoročno zmanjšujemo prometne obremenitve mesta.</w:t>
      </w:r>
    </w:p>
    <w:p w14:paraId="5B75AA23" w14:textId="77777777" w:rsidR="001704EB" w:rsidRDefault="001704EB" w:rsidP="001704EB"/>
    <w:p w14:paraId="2BF94F3F" w14:textId="4C0CE2DF" w:rsidR="00C254ED" w:rsidRDefault="001704EB" w:rsidP="001704EB">
      <w:r>
        <w:t>Gre za premišljen, strokovno utemeljen in okolijsko odgovoren korak, ki Ljubljanici vrača pomembno prometno in povezovalno vlogo – na način, ki je varen, trajnosten in usklajen z varstvom narave.</w:t>
      </w:r>
    </w:p>
    <w:p w14:paraId="003E4862" w14:textId="0353E23B" w:rsidR="001704EB" w:rsidRDefault="001704EB" w:rsidP="001704EB">
      <w:pPr>
        <w:pStyle w:val="Vir"/>
      </w:pPr>
      <w:r w:rsidRPr="001704EB">
        <w:t>Vir: Ministrstvo za naravne vire in prostor</w:t>
      </w:r>
    </w:p>
    <w:p w14:paraId="18F92552" w14:textId="4B3AB6DF" w:rsidR="00D430E8" w:rsidRDefault="00D430E8" w:rsidP="00D430E8">
      <w:pPr>
        <w:pStyle w:val="Naslov2"/>
      </w:pPr>
      <w:r>
        <w:t xml:space="preserve">Vlada je za tri mesece podaljšala možnost uveljavljanja delnega povračila nadomestila plače </w:t>
      </w:r>
    </w:p>
    <w:p w14:paraId="4F62FB7A" w14:textId="77777777" w:rsidR="00D430E8" w:rsidRDefault="00D430E8" w:rsidP="00D430E8">
      <w:r>
        <w:t>Vlada Republike Slovenije je sprejela Sklep o spremembi Sklepa o uveljavljanju delnega povračila nadomestila plače in ga objavi v Uradnem listu Republike Slovenije.</w:t>
      </w:r>
    </w:p>
    <w:p w14:paraId="235666E4" w14:textId="77777777" w:rsidR="00D430E8" w:rsidRDefault="00D430E8" w:rsidP="00D430E8"/>
    <w:p w14:paraId="44B5FE10" w14:textId="77777777" w:rsidR="00D430E8" w:rsidRDefault="00D430E8" w:rsidP="00D430E8">
      <w:r>
        <w:t xml:space="preserve">Vlada Republike Slovenije je </w:t>
      </w:r>
      <w:proofErr w:type="gramStart"/>
      <w:r>
        <w:t>5. 12. 2025</w:t>
      </w:r>
      <w:proofErr w:type="gramEnd"/>
      <w:r>
        <w:t xml:space="preserve"> aktivirala t. i. shemo skrajšanega delovnega časa (shema SDČ) za obdobje od 5. 12. 2025 do 5. 3. 2026, za dejavnosti, v katerih so nastopile začasne okoliščine z negativnim vplivom na obseg poslovanja delodajalcev in s tem na začasno nemožnost zagotavljanja zadostnega obsega dela delavcem.</w:t>
      </w:r>
    </w:p>
    <w:p w14:paraId="14E07F5C" w14:textId="77777777" w:rsidR="00D430E8" w:rsidRDefault="00D430E8" w:rsidP="00D430E8"/>
    <w:p w14:paraId="0382B435" w14:textId="77777777" w:rsidR="00D430E8" w:rsidRDefault="00D430E8" w:rsidP="00D430E8">
      <w:r>
        <w:t xml:space="preserve">Ministrstvo, pristojno za delo, je od ministrstva, pristojnega za gospodarstvo, </w:t>
      </w:r>
      <w:proofErr w:type="gramStart"/>
      <w:r>
        <w:t>16. 2. 2026</w:t>
      </w:r>
      <w:proofErr w:type="gramEnd"/>
      <w:r>
        <w:t xml:space="preserve"> prejelo predlog za podaljšanje ukrepa skrajšanega delovnega časa. </w:t>
      </w:r>
    </w:p>
    <w:p w14:paraId="4848092E" w14:textId="77777777" w:rsidR="00D430E8" w:rsidRDefault="00D430E8" w:rsidP="00D430E8">
      <w:r>
        <w:t xml:space="preserve"> </w:t>
      </w:r>
    </w:p>
    <w:p w14:paraId="0E94FED5" w14:textId="77777777" w:rsidR="00D430E8" w:rsidRDefault="00D430E8" w:rsidP="00D430E8">
      <w:r>
        <w:lastRenderedPageBreak/>
        <w:t>Vlada tako s sklepom za tri mesece podaljšuje obdobje, v katerem lahko delodajalec delavcu odredi delo s skrajšanim delovnim časom in uveljavlja delno povračilo nadomestila plače, tako da bo obdobje izvajanja ukrepa trajalo od 5. decembra 2025 do 5. junija 2026. Sklep velja za iste dejavnosti, kot je veljalo doslej.</w:t>
      </w:r>
    </w:p>
    <w:p w14:paraId="0500F20C" w14:textId="77777777" w:rsidR="00D430E8" w:rsidRDefault="00D430E8" w:rsidP="00D430E8"/>
    <w:p w14:paraId="10526079" w14:textId="06A45312" w:rsidR="00D430E8" w:rsidRDefault="00D430E8" w:rsidP="00D430E8">
      <w:r>
        <w:t xml:space="preserve">Sredstva za nadomestila plač v višini 1.000.000,00 </w:t>
      </w:r>
      <w:proofErr w:type="gramStart"/>
      <w:r>
        <w:t>evrov</w:t>
      </w:r>
      <w:proofErr w:type="gramEnd"/>
      <w:r>
        <w:t xml:space="preserve"> in sredstva za usposabljanje, izobraževanje in nagrade v višini 50.000,00 evrov se bodo zagotovila s prerazporeditvijo iz proračunskih postavk aktivne politike zaposlovanja.  </w:t>
      </w:r>
    </w:p>
    <w:p w14:paraId="03404FA5" w14:textId="75EC0D21" w:rsidR="00004BFC" w:rsidRDefault="00D430E8" w:rsidP="00D430E8">
      <w:pPr>
        <w:pStyle w:val="Vir"/>
      </w:pPr>
      <w:r>
        <w:t>Vir: Ministrstvo za delo, družino, socialne zadeve in enake možnosti</w:t>
      </w:r>
    </w:p>
    <w:p w14:paraId="59886712" w14:textId="0C01C1E5" w:rsidR="00112A69" w:rsidRDefault="00112A69" w:rsidP="00112A69">
      <w:pPr>
        <w:pStyle w:val="Naslov2"/>
      </w:pPr>
      <w:r>
        <w:t>Strategija skladnega regionalnega razvoja</w:t>
      </w:r>
    </w:p>
    <w:p w14:paraId="15578EDC" w14:textId="1547DB8C" w:rsidR="00112A69" w:rsidRDefault="00112A69" w:rsidP="00112A69">
      <w:r>
        <w:t xml:space="preserve">Vlada Republike Slovenije je določila besedilo predloga Resolucije o strategiji regionalnega razvoja Slovenije za obdobje 2026 - 2050 in ga predložila Državnemu zboru v obravnavo. Slovenija se s Strategijo regionalnega razvoja Slovenije do 2050 jasno odloča za policentrični razvoj, ki krepi vsa regijska središča in zmanjšuje prekomerno centralizacijo v Osrednjeslovenski </w:t>
      </w:r>
      <w:proofErr w:type="gramStart"/>
      <w:r>
        <w:t>regiji</w:t>
      </w:r>
      <w:proofErr w:type="gramEnd"/>
      <w:r>
        <w:t>. Cilj je nadaljnja krepitev Ljubljane in razvojno uravnotežena država z več močnimi središči. Le regije, ki so povezane, odporne in konkurenčne</w:t>
      </w:r>
      <w:proofErr w:type="gramStart"/>
      <w:r>
        <w:t xml:space="preserve"> ter</w:t>
      </w:r>
      <w:proofErr w:type="gramEnd"/>
      <w:r>
        <w:t xml:space="preserve"> regije, ki so dobro upravljane, lahko dosežejo zastavljene cilje.</w:t>
      </w:r>
    </w:p>
    <w:p w14:paraId="5B1038EE" w14:textId="77777777" w:rsidR="00112A69" w:rsidRDefault="00112A69" w:rsidP="00112A69"/>
    <w:p w14:paraId="1864E658" w14:textId="77777777" w:rsidR="00112A69" w:rsidRDefault="00112A69" w:rsidP="00112A69">
      <w:r>
        <w:t xml:space="preserve">Strategija v ospredje postavlja ekonomsko preobrazbo </w:t>
      </w:r>
      <w:proofErr w:type="gramStart"/>
      <w:r>
        <w:t>regij</w:t>
      </w:r>
      <w:proofErr w:type="gramEnd"/>
      <w:r>
        <w:t xml:space="preserve"> z osredotočenostjo na rast produktivnosti in konkurenčnosti, razvoj človeških virov ter dostop do storitev. Prednostna področja so:</w:t>
      </w:r>
    </w:p>
    <w:p w14:paraId="71E57650" w14:textId="4B5AF6D8" w:rsidR="00112A69" w:rsidRDefault="00112A69" w:rsidP="00112A69">
      <w:pPr>
        <w:pStyle w:val="Odstavekseznama"/>
        <w:numPr>
          <w:ilvl w:val="0"/>
          <w:numId w:val="26"/>
        </w:numPr>
      </w:pPr>
      <w:r>
        <w:t>Spodbujanje ekonomske preobrazbe z osredotočenostjo na rast produktivnosti in konkurenčnosti ter razvoj človeških virov.</w:t>
      </w:r>
    </w:p>
    <w:p w14:paraId="0AF8CBAF" w14:textId="10FB0B42" w:rsidR="00112A69" w:rsidRDefault="00112A69" w:rsidP="00112A69">
      <w:pPr>
        <w:pStyle w:val="Odstavekseznama"/>
        <w:numPr>
          <w:ilvl w:val="0"/>
          <w:numId w:val="26"/>
        </w:numPr>
      </w:pPr>
      <w:r>
        <w:t xml:space="preserve">Zagotavljanje ustrezne dostopnosti v </w:t>
      </w:r>
      <w:proofErr w:type="gramStart"/>
      <w:r>
        <w:t>regijah</w:t>
      </w:r>
      <w:proofErr w:type="gramEnd"/>
      <w:r>
        <w:t xml:space="preserve"> do javnih storitev in infrastrukture, za doseganje visoke kakovost življenja.</w:t>
      </w:r>
    </w:p>
    <w:p w14:paraId="05AAAC5B" w14:textId="0FFDEBCD" w:rsidR="00112A69" w:rsidRDefault="00112A69" w:rsidP="00112A69">
      <w:pPr>
        <w:pStyle w:val="Odstavekseznama"/>
        <w:numPr>
          <w:ilvl w:val="0"/>
          <w:numId w:val="26"/>
        </w:numPr>
      </w:pPr>
      <w:r>
        <w:t>Osredotočena podpora obmejnim območjem in območjem s posebnimi razvojnimi izzivi</w:t>
      </w:r>
    </w:p>
    <w:p w14:paraId="7FA2BFE0" w14:textId="16110A71" w:rsidR="00112A69" w:rsidRDefault="00112A69" w:rsidP="00112A69">
      <w:pPr>
        <w:pStyle w:val="Odstavekseznama"/>
        <w:numPr>
          <w:ilvl w:val="0"/>
          <w:numId w:val="26"/>
        </w:numPr>
      </w:pPr>
      <w:r>
        <w:t>Krepitev sistema upravljanja in izvajanja razvojnih politik na državni in regionalni ravni.</w:t>
      </w:r>
    </w:p>
    <w:p w14:paraId="21A7E3A5" w14:textId="77777777" w:rsidR="00112A69" w:rsidRDefault="00112A69" w:rsidP="00112A69"/>
    <w:p w14:paraId="40D500BE" w14:textId="77777777" w:rsidR="00112A69" w:rsidRDefault="00112A69" w:rsidP="00112A69">
      <w:r>
        <w:t xml:space="preserve">Nov regionalni razvojni model temelji na teritorialnem pristopu, ki predvideva ciljno podporo območjem glede na njihove specifične potrebe in razvojne značilnosti ter poudarja dolgoročno naravnanost gospodarskega razvoja in kakovostno življenje v vseh </w:t>
      </w:r>
      <w:proofErr w:type="gramStart"/>
      <w:r>
        <w:t>regijah</w:t>
      </w:r>
      <w:proofErr w:type="gramEnd"/>
      <w:r>
        <w:t>, z dostopom do:</w:t>
      </w:r>
    </w:p>
    <w:p w14:paraId="468A3DA8" w14:textId="1A1CAACB" w:rsidR="00112A69" w:rsidRDefault="00112A69" w:rsidP="00112A69">
      <w:pPr>
        <w:pStyle w:val="Odstavekseznama"/>
        <w:numPr>
          <w:ilvl w:val="0"/>
          <w:numId w:val="27"/>
        </w:numPr>
      </w:pPr>
      <w:r>
        <w:t>delovnih mest z višjo dodano vrednostjo in</w:t>
      </w:r>
    </w:p>
    <w:p w14:paraId="406C3E8E" w14:textId="10F95641" w:rsidR="00112A69" w:rsidRDefault="00112A69" w:rsidP="00112A69">
      <w:pPr>
        <w:pStyle w:val="Odstavekseznama"/>
        <w:numPr>
          <w:ilvl w:val="0"/>
          <w:numId w:val="27"/>
        </w:numPr>
      </w:pPr>
      <w:r>
        <w:t>kakovostnih javnih in tržnih storitev čim bliže kraju bivanja.</w:t>
      </w:r>
    </w:p>
    <w:p w14:paraId="13A8B657" w14:textId="77777777" w:rsidR="00112A69" w:rsidRDefault="00112A69" w:rsidP="00112A69">
      <w:r>
        <w:t>S tem pristopom strategija neposredno naslavlja vsakodnevne potrebe ljudi in zmanjšuje dnevne migracije.</w:t>
      </w:r>
    </w:p>
    <w:p w14:paraId="4A67D889" w14:textId="77777777" w:rsidR="00112A69" w:rsidRDefault="00112A69" w:rsidP="00112A69"/>
    <w:p w14:paraId="0CEACAB4" w14:textId="77777777" w:rsidR="00112A69" w:rsidRDefault="00112A69" w:rsidP="00112A69">
      <w:r>
        <w:t xml:space="preserve">V skladu s Strategijo regionalnega razvoja Slovenije </w:t>
      </w:r>
      <w:proofErr w:type="gramStart"/>
      <w:r>
        <w:t>regije</w:t>
      </w:r>
      <w:proofErr w:type="gramEnd"/>
      <w:r>
        <w:t xml:space="preserve"> niso več obravnavane zgolj kot izvajalke lokalnih infrastrukturnih projektov, temveč kot aktivni viri gospodarskega, inovacijskega in družbenega razvoja države. Težišče regionalne politike se premika k znanju, podjetništvu, inovacijam in gospodarski preobrazbi. Podpora </w:t>
      </w:r>
      <w:proofErr w:type="gramStart"/>
      <w:r>
        <w:t>regijam</w:t>
      </w:r>
      <w:proofErr w:type="gramEnd"/>
      <w:r>
        <w:t xml:space="preserve"> bo v prihodnje celovita, ciljno usmerjena in prilagojena njihovim razvojnim izzivom. Ukrepi in projekti se bodo oblikovali po meri </w:t>
      </w:r>
      <w:proofErr w:type="gramStart"/>
      <w:r>
        <w:t>regije</w:t>
      </w:r>
      <w:proofErr w:type="gramEnd"/>
      <w:r>
        <w:t xml:space="preserve">. </w:t>
      </w:r>
    </w:p>
    <w:p w14:paraId="266F0115" w14:textId="77777777" w:rsidR="00112A69" w:rsidRDefault="00112A69" w:rsidP="00112A69"/>
    <w:p w14:paraId="0B89441F" w14:textId="77777777" w:rsidR="00112A69" w:rsidRDefault="00112A69" w:rsidP="00112A69">
      <w:r>
        <w:t xml:space="preserve">Sprejem besedila Predloga resolucije o strategiji regionalnega razvoja Slovenije za obdobje 2026 – 2050 je nujen tudi zaradi nadaljnjih </w:t>
      </w:r>
      <w:proofErr w:type="gramStart"/>
      <w:r>
        <w:t>aktivnosti</w:t>
      </w:r>
      <w:proofErr w:type="gramEnd"/>
      <w:r>
        <w:t>, pomembnih za koriščenje evropskih sredstev v novem večletnem finančnem obdobju. Sprejemu strategije bo sledila priprava regionalnih razvojnih programov in izvedbenih dokumentov:</w:t>
      </w:r>
    </w:p>
    <w:p w14:paraId="2C07034C" w14:textId="4B2172A0" w:rsidR="00112A69" w:rsidRDefault="00112A69" w:rsidP="00112A69">
      <w:pPr>
        <w:pStyle w:val="Odstavekseznama"/>
        <w:numPr>
          <w:ilvl w:val="0"/>
          <w:numId w:val="28"/>
        </w:numPr>
      </w:pPr>
      <w:r>
        <w:t xml:space="preserve">na ravni države - akcijski program za skladen regionalni razvoj Slovenije </w:t>
      </w:r>
    </w:p>
    <w:p w14:paraId="241650A1" w14:textId="42BE9F80" w:rsidR="00112A69" w:rsidRDefault="00112A69" w:rsidP="00112A69">
      <w:pPr>
        <w:pStyle w:val="Odstavekseznama"/>
        <w:numPr>
          <w:ilvl w:val="0"/>
          <w:numId w:val="28"/>
        </w:numPr>
      </w:pPr>
      <w:r>
        <w:t xml:space="preserve">na ravni </w:t>
      </w:r>
      <w:proofErr w:type="gramStart"/>
      <w:r>
        <w:t>regije</w:t>
      </w:r>
      <w:proofErr w:type="gramEnd"/>
      <w:r>
        <w:t xml:space="preserve"> - dogovori za razvoj regij. </w:t>
      </w:r>
    </w:p>
    <w:p w14:paraId="4A5072B4" w14:textId="707BA9BE" w:rsidR="00004BFC" w:rsidRDefault="00112A69" w:rsidP="00112A69">
      <w:pPr>
        <w:pStyle w:val="Vir"/>
      </w:pPr>
      <w:r>
        <w:t>Vir: Ministrstvo za kohezijo in regionalni razvoj</w:t>
      </w:r>
    </w:p>
    <w:p w14:paraId="38C032C1" w14:textId="28FB1DFA" w:rsidR="00187832" w:rsidRDefault="00187832" w:rsidP="00187832">
      <w:pPr>
        <w:pStyle w:val="Naslov2"/>
      </w:pPr>
      <w:r>
        <w:lastRenderedPageBreak/>
        <w:t>Vesoljski program Republike Slovenije za področje nacionalne varnosti</w:t>
      </w:r>
    </w:p>
    <w:p w14:paraId="6A73A317" w14:textId="34ED5703" w:rsidR="00187832" w:rsidRDefault="00187832" w:rsidP="00187832">
      <w:r>
        <w:t xml:space="preserve">Vlada je na seji sprejela Vesoljski program Republike Slovenije za področje nacionalne varnosti (vesoljski program). Vesoljski program je strateški usmerjevalni in razvojni dokument, ki opredeljuje vizijo in cilje za razvoj področja vesolja z vidika nacionalne varnosti, pri čemer še posebej izpostavlja pomen in vidike obrambe, varnosti in odpornosti. </w:t>
      </w:r>
    </w:p>
    <w:p w14:paraId="7144AA28" w14:textId="77777777" w:rsidR="00187832" w:rsidRDefault="00187832" w:rsidP="00187832"/>
    <w:p w14:paraId="7240A395" w14:textId="77777777" w:rsidR="00187832" w:rsidRDefault="00187832" w:rsidP="00187832">
      <w:r>
        <w:t>Cilji vesoljskega programa so usmerjeni v vključevanje vesoljskih zmogljivosti v nacionalnovarnostni sistem. Ključni strateški cilj je zagotoviti visoko raven pripravljenosti in odzivnosti na varnostne grožnje in tveganja, ki se pojavljajo v vesolju ali izhajajo iz vesolja, ter omogočiti uporabo vesoljskih zmogljivosti za podporo vseh podsistemov nacionalne varnosti.</w:t>
      </w:r>
    </w:p>
    <w:p w14:paraId="34D0906D" w14:textId="77777777" w:rsidR="00187832" w:rsidRDefault="00187832" w:rsidP="00187832">
      <w:r>
        <w:t xml:space="preserve"> </w:t>
      </w:r>
    </w:p>
    <w:p w14:paraId="404184D5" w14:textId="77777777" w:rsidR="00187832" w:rsidRDefault="00187832" w:rsidP="00187832">
      <w:r>
        <w:t xml:space="preserve">Ministrstvo za obrambo bo v sodelovanju z Ministrstvom za gospodarstvo, turizem in šport, deležniki v nacionalnovarnostnem sistemu ter drugimi pristojnimi organi pripravilo akcijski načrt za izvajanje vesoljskega programa, ki bo orodje za zagotovitev usklajenega sodelovanja med vsemi deležniki – ministrstvi, vladnimi službami in drugimi pristojnimi organi, industrijo, akademskimi institucijami in </w:t>
      </w:r>
      <w:proofErr w:type="gramStart"/>
      <w:r>
        <w:t>raziskovalnimi centri</w:t>
      </w:r>
      <w:proofErr w:type="gramEnd"/>
      <w:r>
        <w:t>. Načrt bo opredelil način za doseganje v vesoljskem programu zastavljenih ciljev, posamezne ukrepe in kazalnike za spremljanje njihovega pričakovanega učinka, potrebne kadrovske, finančne in materialne vire ter časovnico za doseganje ciljev.</w:t>
      </w:r>
    </w:p>
    <w:p w14:paraId="36B7EA58" w14:textId="2C91B40D" w:rsidR="001A7EC8" w:rsidRDefault="00187832" w:rsidP="00187832">
      <w:pPr>
        <w:pStyle w:val="Vir"/>
      </w:pPr>
      <w:r>
        <w:t>Vir: Ministrstvo za obrambo</w:t>
      </w:r>
    </w:p>
    <w:p w14:paraId="23DDE45C" w14:textId="1E5F30A7" w:rsidR="001A7EC8" w:rsidRDefault="001A7EC8" w:rsidP="00D03EA4">
      <w:pPr>
        <w:pStyle w:val="Naslov2"/>
      </w:pPr>
      <w:r>
        <w:t>Nacionalna strategija za umetno inteligenco do leta 2030</w:t>
      </w:r>
    </w:p>
    <w:p w14:paraId="16F8C8D0" w14:textId="77777777" w:rsidR="00D03EA4" w:rsidRDefault="00D03EA4" w:rsidP="00D03EA4">
      <w:r>
        <w:t>Vlada Republike Slovenije je na današnji seji sprejela Nacionalno strategijo za umetno inteligenco do leta 2030 (</w:t>
      </w:r>
      <w:proofErr w:type="spellStart"/>
      <w:r>
        <w:t>NsUI</w:t>
      </w:r>
      <w:proofErr w:type="spellEnd"/>
      <w:r>
        <w:t xml:space="preserve"> 2030), s katero Slovenija postavlja celovit strateški okvir za razvoj, uvajanje in odgovorno uporabo umetne inteligence v gospodarstvu, javnem sektorju in širši družbi.</w:t>
      </w:r>
    </w:p>
    <w:p w14:paraId="613C8025" w14:textId="77777777" w:rsidR="00D03EA4" w:rsidRDefault="00D03EA4" w:rsidP="00D03EA4"/>
    <w:p w14:paraId="690CE833" w14:textId="77777777" w:rsidR="00D03EA4" w:rsidRDefault="00D03EA4" w:rsidP="00D03EA4">
      <w:r>
        <w:t xml:space="preserve">Strategija umetno inteligenco opredeljuje kot eno ključnih tehnologij za dvig konkurenčnosti, produktivnosti, digitalno preobrazbo ter zeleni prehod države. </w:t>
      </w:r>
      <w:proofErr w:type="spellStart"/>
      <w:r>
        <w:t>NsUI</w:t>
      </w:r>
      <w:proofErr w:type="spellEnd"/>
      <w:r>
        <w:t xml:space="preserve"> 2030 določa pet strateških ciljev: razvoj suverene in zaupanja vredne umetne inteligence, širšo uporabo UI v gospodarstvu in javnem sektorju, krepitev znanja in inovacijskega ekosistema, zagotavljanje varne in odgovorne rabe ter okrepitev mednarodne vpetosti Slovenije.</w:t>
      </w:r>
    </w:p>
    <w:p w14:paraId="2F34E7C9" w14:textId="77777777" w:rsidR="00D03EA4" w:rsidRDefault="00D03EA4" w:rsidP="00D03EA4"/>
    <w:p w14:paraId="1BACDC25" w14:textId="77777777" w:rsidR="00D03EA4" w:rsidRDefault="00D03EA4" w:rsidP="00D03EA4">
      <w:r>
        <w:t>Vlada je Ministrstvu za digitalno preobrazbo naložila, da v devetih mesecih pripravi akcijski načrt z natančno opredeljenimi ukrepi, časovnico in finančnimi viri. Ministrstva bodo ukrepe vključila v svoje strateške dokumente in zagotovila sredstva skladno s proračunskimi zmožnostmi.</w:t>
      </w:r>
    </w:p>
    <w:p w14:paraId="51862DEA" w14:textId="77777777" w:rsidR="00D03EA4" w:rsidRDefault="00D03EA4" w:rsidP="00D03EA4">
      <w:r>
        <w:t>S sprejemom strategije Slovenija krepi digitalno suverenost, spodbuja razvoj domačega znanja in tehnologij ter ustvarja pogoje za razvoj naprednih, etičnih in varnih rešitev umetne inteligence v korist ljudi, gospodarstva in države.</w:t>
      </w:r>
    </w:p>
    <w:p w14:paraId="4446D7A0" w14:textId="77777777" w:rsidR="00D03EA4" w:rsidRDefault="00D03EA4" w:rsidP="00D03EA4">
      <w:pPr>
        <w:pStyle w:val="Vir"/>
      </w:pPr>
      <w:r>
        <w:t>Vir: Ministrstvo za digitalno preobrazbo</w:t>
      </w:r>
    </w:p>
    <w:p w14:paraId="1A0A3B7E" w14:textId="18DF0D5A" w:rsidR="003C46E2" w:rsidRDefault="003C46E2" w:rsidP="003C46E2">
      <w:pPr>
        <w:pStyle w:val="Naslov2"/>
      </w:pPr>
      <w:proofErr w:type="gramStart"/>
      <w:r>
        <w:t>Slovenska startup</w:t>
      </w:r>
      <w:proofErr w:type="gramEnd"/>
      <w:r>
        <w:t xml:space="preserve"> strategija za podporo razvoju inovativnih podjetij</w:t>
      </w:r>
    </w:p>
    <w:p w14:paraId="74985B84" w14:textId="77777777" w:rsidR="009E058D" w:rsidRDefault="009E058D" w:rsidP="009E058D">
      <w:r>
        <w:t xml:space="preserve">Vlada je na današnji seji sprejela Slovensko </w:t>
      </w:r>
      <w:proofErr w:type="gramStart"/>
      <w:r>
        <w:t>startup</w:t>
      </w:r>
      <w:proofErr w:type="gramEnd"/>
      <w:r>
        <w:t xml:space="preserve"> strategijo, s katero določa cilje in ukrepe za razvoj startup ekosistema v Sloveniji do leta 2030. S strategijo želi Slovenija oblikovati enega od najboljših ekosistemov za nastajanje in rast inovativnih zagonskih podjetij v Evropi.</w:t>
      </w:r>
    </w:p>
    <w:p w14:paraId="13FBD4D6" w14:textId="77777777" w:rsidR="009E058D" w:rsidRDefault="009E058D" w:rsidP="009E058D"/>
    <w:p w14:paraId="3F20CF36" w14:textId="77777777" w:rsidR="009E058D" w:rsidRDefault="009E058D" w:rsidP="009E058D">
      <w:r>
        <w:t>Strategija izhaja iz ugotovitve, da je za povečanje konkurenčnosti slovenskega gospodarstva potreben premik v dejavnosti z višjo dodano vrednostjo s sistemsko podporo hitrorastočim inovativnim podjetjem. Strategija je nastajala od spodaj navzgor s tesnim sodelovanjem z ekosistemom (inkubatorji, startupi, skladi tveganega kapitala</w:t>
      </w:r>
      <w:proofErr w:type="gramStart"/>
      <w:r>
        <w:t>…</w:t>
      </w:r>
      <w:proofErr w:type="gramEnd"/>
      <w:r>
        <w:t xml:space="preserve">) </w:t>
      </w:r>
      <w:proofErr w:type="gramStart"/>
      <w:r>
        <w:t>in</w:t>
      </w:r>
      <w:proofErr w:type="gramEnd"/>
      <w:r>
        <w:t xml:space="preserve"> s tesnim sodelovanjem različnih ministrstev. S </w:t>
      </w:r>
      <w:r>
        <w:lastRenderedPageBreak/>
        <w:t xml:space="preserve">strategijo želi Slovenija pospešiti razvoj prebojnih inovacij in jih preko zagonskih inovativnih podjetij pripeljati na globalne trge. </w:t>
      </w:r>
    </w:p>
    <w:p w14:paraId="68BA30AB" w14:textId="77777777" w:rsidR="009E058D" w:rsidRDefault="009E058D" w:rsidP="009E058D"/>
    <w:p w14:paraId="49E9F918" w14:textId="77777777" w:rsidR="009E058D" w:rsidRDefault="009E058D" w:rsidP="009E058D">
      <w:r>
        <w:t>Cilji strategije do leta 2030 so:</w:t>
      </w:r>
    </w:p>
    <w:p w14:paraId="3005F9EB" w14:textId="0542AF13" w:rsidR="009E058D" w:rsidRDefault="009E058D" w:rsidP="009E058D">
      <w:pPr>
        <w:pStyle w:val="Odstavekseznama"/>
        <w:numPr>
          <w:ilvl w:val="0"/>
          <w:numId w:val="19"/>
        </w:numPr>
      </w:pPr>
      <w:r>
        <w:t xml:space="preserve">podvojitev števila </w:t>
      </w:r>
      <w:proofErr w:type="gramStart"/>
      <w:r>
        <w:t>startupov</w:t>
      </w:r>
      <w:proofErr w:type="gramEnd"/>
      <w:r>
        <w:t xml:space="preserve"> na milijon prebivalcev,</w:t>
      </w:r>
    </w:p>
    <w:p w14:paraId="70516AEF" w14:textId="4E3E29A5" w:rsidR="009E058D" w:rsidRDefault="009E058D" w:rsidP="009E058D">
      <w:pPr>
        <w:pStyle w:val="Odstavekseznama"/>
        <w:numPr>
          <w:ilvl w:val="0"/>
          <w:numId w:val="19"/>
        </w:numPr>
      </w:pPr>
      <w:r>
        <w:t xml:space="preserve">desetkratno povečanje </w:t>
      </w:r>
      <w:proofErr w:type="gramStart"/>
      <w:r>
        <w:t>investicij</w:t>
      </w:r>
      <w:proofErr w:type="gramEnd"/>
      <w:r>
        <w:t xml:space="preserve"> na prebivalca,</w:t>
      </w:r>
    </w:p>
    <w:p w14:paraId="7E80465C" w14:textId="2EB9C3C7" w:rsidR="009E058D" w:rsidRDefault="009E058D" w:rsidP="009E058D">
      <w:pPr>
        <w:pStyle w:val="Odstavekseznama"/>
        <w:numPr>
          <w:ilvl w:val="0"/>
          <w:numId w:val="19"/>
        </w:numPr>
      </w:pPr>
      <w:r>
        <w:t>najmanj 25-odstotna povprečna letna rast sektorja (z vidika zaposlenih, prihodkov in plačanih davkov),</w:t>
      </w:r>
    </w:p>
    <w:p w14:paraId="1A183B39" w14:textId="2A0A054A" w:rsidR="009E058D" w:rsidRDefault="009E058D" w:rsidP="009E058D">
      <w:pPr>
        <w:pStyle w:val="Odstavekseznama"/>
        <w:numPr>
          <w:ilvl w:val="0"/>
          <w:numId w:val="19"/>
        </w:numPr>
      </w:pPr>
      <w:r>
        <w:t>dolgoročno ohranjanje poslovnih in inovacijskih funkcij podjetij v Sloveniji.</w:t>
      </w:r>
    </w:p>
    <w:p w14:paraId="2EA4C0AA" w14:textId="77777777" w:rsidR="009E058D" w:rsidRDefault="009E058D" w:rsidP="009E058D"/>
    <w:p w14:paraId="01801420" w14:textId="77777777" w:rsidR="009E058D" w:rsidRDefault="009E058D" w:rsidP="009E058D">
      <w:r>
        <w:t>Strategija temelji na petih strateških pobudah:</w:t>
      </w:r>
    </w:p>
    <w:p w14:paraId="2990C55A" w14:textId="1091B4DB" w:rsidR="009E058D" w:rsidRDefault="009E058D" w:rsidP="009E058D">
      <w:pPr>
        <w:pStyle w:val="Odstavekseznama"/>
        <w:numPr>
          <w:ilvl w:val="0"/>
          <w:numId w:val="20"/>
        </w:numPr>
      </w:pPr>
      <w:r>
        <w:t xml:space="preserve">krepitev podpornega okolja za </w:t>
      </w:r>
      <w:proofErr w:type="gramStart"/>
      <w:r>
        <w:t>startup</w:t>
      </w:r>
      <w:proofErr w:type="gramEnd"/>
      <w:r>
        <w:t xml:space="preserve"> in </w:t>
      </w:r>
      <w:proofErr w:type="spellStart"/>
      <w:r>
        <w:t>scaleup</w:t>
      </w:r>
      <w:proofErr w:type="spellEnd"/>
      <w:r>
        <w:t xml:space="preserve"> podjetja,</w:t>
      </w:r>
    </w:p>
    <w:p w14:paraId="31EFCA3D" w14:textId="27BFE278" w:rsidR="009E058D" w:rsidRDefault="009E058D" w:rsidP="009E058D">
      <w:pPr>
        <w:pStyle w:val="Odstavekseznama"/>
        <w:numPr>
          <w:ilvl w:val="0"/>
          <w:numId w:val="20"/>
        </w:numPr>
      </w:pPr>
      <w:r>
        <w:t>razvoj trga tveganega kapitala,</w:t>
      </w:r>
    </w:p>
    <w:p w14:paraId="572E6282" w14:textId="0CE80D2B" w:rsidR="009E058D" w:rsidRDefault="009E058D" w:rsidP="009E058D">
      <w:pPr>
        <w:pStyle w:val="Odstavekseznama"/>
        <w:numPr>
          <w:ilvl w:val="0"/>
          <w:numId w:val="20"/>
        </w:numPr>
      </w:pPr>
      <w:r>
        <w:t>izboljšanje pogojev za nagrajevanje zaposlenih,</w:t>
      </w:r>
    </w:p>
    <w:p w14:paraId="2985FD57" w14:textId="4B30B00E" w:rsidR="009E058D" w:rsidRDefault="009E058D" w:rsidP="009E058D">
      <w:pPr>
        <w:pStyle w:val="Odstavekseznama"/>
        <w:numPr>
          <w:ilvl w:val="0"/>
          <w:numId w:val="20"/>
        </w:numPr>
      </w:pPr>
      <w:r>
        <w:t>privabljanje globalnih visokotehnoloških talentov,</w:t>
      </w:r>
    </w:p>
    <w:p w14:paraId="1454C82D" w14:textId="605E5FE4" w:rsidR="009E058D" w:rsidRDefault="009E058D" w:rsidP="009E058D">
      <w:pPr>
        <w:pStyle w:val="Odstavekseznama"/>
        <w:numPr>
          <w:ilvl w:val="0"/>
          <w:numId w:val="20"/>
        </w:numPr>
      </w:pPr>
      <w:r>
        <w:t xml:space="preserve">vzpostavitev nove oblike gospodarske družbe, prilagojene potrebam </w:t>
      </w:r>
      <w:proofErr w:type="gramStart"/>
      <w:r>
        <w:t>startup</w:t>
      </w:r>
      <w:proofErr w:type="gramEnd"/>
      <w:r>
        <w:t xml:space="preserve"> podjetij.</w:t>
      </w:r>
    </w:p>
    <w:p w14:paraId="13902A76" w14:textId="77777777" w:rsidR="009E058D" w:rsidRDefault="009E058D" w:rsidP="009E058D"/>
    <w:p w14:paraId="1CB9A89E" w14:textId="77777777" w:rsidR="009E058D" w:rsidRDefault="009E058D" w:rsidP="009E058D">
      <w:r>
        <w:t>Za spremljanje izvajanja strategije bo vlada ustanovila usmerjevalni odbor kot medresorsko delovno skupino, ki bo koordinirala izvajanje ukrepov in spremljala doseganje zastavljenih ciljev.</w:t>
      </w:r>
    </w:p>
    <w:p w14:paraId="19866E46" w14:textId="77777777" w:rsidR="009E058D" w:rsidRDefault="009E058D" w:rsidP="009E058D">
      <w:proofErr w:type="gramStart"/>
      <w:r>
        <w:t>Slovenska startup</w:t>
      </w:r>
      <w:proofErr w:type="gramEnd"/>
      <w:r>
        <w:t xml:space="preserve"> strategija predstavlja okvir za sistematično in dolgoročno podporo razvoju inovativnih podjetij ter krepitev konkurenčnosti slovenskega gospodarstva.</w:t>
      </w:r>
    </w:p>
    <w:p w14:paraId="3EB80CE1" w14:textId="77777777" w:rsidR="009E058D" w:rsidRDefault="009E058D" w:rsidP="009E058D"/>
    <w:p w14:paraId="35D2D693" w14:textId="77777777" w:rsidR="009E058D" w:rsidRDefault="009E058D" w:rsidP="009E058D">
      <w:r>
        <w:t xml:space="preserve">Strategija predvideva 5 strateških pobud: </w:t>
      </w:r>
    </w:p>
    <w:p w14:paraId="747EA023" w14:textId="7F93AAD8" w:rsidR="009E058D" w:rsidRDefault="009E058D" w:rsidP="009E058D">
      <w:r>
        <w:t xml:space="preserve">1. Krepitev podpornega okolja za </w:t>
      </w:r>
      <w:proofErr w:type="gramStart"/>
      <w:r>
        <w:t>startup</w:t>
      </w:r>
      <w:proofErr w:type="gramEnd"/>
      <w:r>
        <w:t xml:space="preserve"> in </w:t>
      </w:r>
      <w:proofErr w:type="spellStart"/>
      <w:r>
        <w:t>scaleup</w:t>
      </w:r>
      <w:proofErr w:type="spellEnd"/>
      <w:r>
        <w:t xml:space="preserve"> podjetja: </w:t>
      </w:r>
    </w:p>
    <w:p w14:paraId="38D25DA5" w14:textId="562348EA" w:rsidR="009E058D" w:rsidRDefault="009E058D" w:rsidP="009E058D">
      <w:pPr>
        <w:pStyle w:val="Odstavekseznama"/>
        <w:numPr>
          <w:ilvl w:val="0"/>
          <w:numId w:val="21"/>
        </w:numPr>
      </w:pPr>
      <w:r>
        <w:t xml:space="preserve">prenovljena in mednarodno primerljiva definicija </w:t>
      </w:r>
      <w:proofErr w:type="gramStart"/>
      <w:r>
        <w:t>startup</w:t>
      </w:r>
      <w:proofErr w:type="gramEnd"/>
      <w:r>
        <w:t xml:space="preserve"> podjetij,</w:t>
      </w:r>
    </w:p>
    <w:p w14:paraId="795F5163" w14:textId="5AC5ED12" w:rsidR="009E058D" w:rsidRDefault="009E058D" w:rsidP="009E058D">
      <w:pPr>
        <w:pStyle w:val="Odstavekseznama"/>
        <w:numPr>
          <w:ilvl w:val="0"/>
          <w:numId w:val="21"/>
        </w:numPr>
      </w:pPr>
      <w:r>
        <w:t>stabilnost pri zagotavljanju storitev podpornega podjetniškega okolja,</w:t>
      </w:r>
    </w:p>
    <w:p w14:paraId="58C249FC" w14:textId="60B99A3A" w:rsidR="009E058D" w:rsidRDefault="009E058D" w:rsidP="009E058D">
      <w:pPr>
        <w:pStyle w:val="Odstavekseznama"/>
        <w:numPr>
          <w:ilvl w:val="0"/>
          <w:numId w:val="21"/>
        </w:numPr>
      </w:pPr>
      <w:r>
        <w:t xml:space="preserve">vzpostavitev </w:t>
      </w:r>
      <w:proofErr w:type="gramStart"/>
      <w:r>
        <w:t>startup</w:t>
      </w:r>
      <w:proofErr w:type="gramEnd"/>
      <w:r>
        <w:t xml:space="preserve"> baze s sistematičnim zbiranjem in obdelavo podatkov o razvoju startup sistema,</w:t>
      </w:r>
    </w:p>
    <w:p w14:paraId="309D2EAD" w14:textId="40E5DBC2" w:rsidR="009E058D" w:rsidRDefault="009E058D" w:rsidP="009E058D">
      <w:pPr>
        <w:pStyle w:val="Odstavekseznama"/>
        <w:numPr>
          <w:ilvl w:val="0"/>
          <w:numId w:val="21"/>
        </w:numPr>
      </w:pPr>
      <w:r>
        <w:t xml:space="preserve">enotna promocija </w:t>
      </w:r>
      <w:proofErr w:type="gramStart"/>
      <w:r>
        <w:t>slovenskega startup</w:t>
      </w:r>
      <w:proofErr w:type="gramEnd"/>
      <w:r>
        <w:t xml:space="preserve"> ekosistema doma in v svetu,</w:t>
      </w:r>
    </w:p>
    <w:p w14:paraId="19146C6E" w14:textId="2E9E9573" w:rsidR="009E058D" w:rsidRDefault="009E058D" w:rsidP="009E058D">
      <w:pPr>
        <w:pStyle w:val="Odstavekseznama"/>
        <w:numPr>
          <w:ilvl w:val="0"/>
          <w:numId w:val="21"/>
        </w:numPr>
      </w:pPr>
      <w:r>
        <w:t>odpravljanje sivih lis v pokritosti, še posebej tehnoloških parkov, hkrati pa povečevanje dostopnosti in odprtosti uporabe javne raziskovalne in tehnološke opreme.</w:t>
      </w:r>
    </w:p>
    <w:p w14:paraId="3F9079AC" w14:textId="77777777" w:rsidR="009E058D" w:rsidRDefault="009E058D" w:rsidP="009E058D"/>
    <w:p w14:paraId="2498A0CA" w14:textId="36DCD71C" w:rsidR="009E058D" w:rsidRDefault="009E058D" w:rsidP="009E058D">
      <w:r>
        <w:t>2. Razvoj trga tveganega kapitala z javnimi spodbudami za okrepitev zasebnih vlaganj in vlaganj pokojninskih družb v tvegani kapital:</w:t>
      </w:r>
    </w:p>
    <w:p w14:paraId="0E5D2F0A" w14:textId="73DF343B" w:rsidR="009E058D" w:rsidRDefault="009E058D" w:rsidP="009E058D">
      <w:pPr>
        <w:pStyle w:val="Odstavekseznama"/>
        <w:numPr>
          <w:ilvl w:val="0"/>
          <w:numId w:val="22"/>
        </w:numPr>
      </w:pPr>
      <w:r>
        <w:t>nastajanje in krepitev javno zasebnih skladov tveganega kapitala za sofinanciranje vlaganj zasebnih investitorjev,</w:t>
      </w:r>
    </w:p>
    <w:p w14:paraId="27E25B51" w14:textId="0A0E0B09" w:rsidR="009E058D" w:rsidRDefault="009E058D" w:rsidP="009E058D">
      <w:pPr>
        <w:pStyle w:val="Odstavekseznama"/>
        <w:numPr>
          <w:ilvl w:val="0"/>
          <w:numId w:val="22"/>
        </w:numPr>
      </w:pPr>
      <w:r>
        <w:t>spremljanje in analiza v 2025 uvedenih davčnih ugodnosti ter preučitev možnosti nadgradnje davčnih ukrepov.</w:t>
      </w:r>
    </w:p>
    <w:p w14:paraId="31D5ED3F" w14:textId="77777777" w:rsidR="009E058D" w:rsidRDefault="009E058D" w:rsidP="009E058D"/>
    <w:p w14:paraId="76FB53EA" w14:textId="12800C80" w:rsidR="009E058D" w:rsidRDefault="009E058D" w:rsidP="009E058D">
      <w:r>
        <w:t>3. Nagrajevanje zaposlenih:</w:t>
      </w:r>
    </w:p>
    <w:p w14:paraId="22CF2388" w14:textId="02621B4F" w:rsidR="009E058D" w:rsidRDefault="009E058D" w:rsidP="009E058D">
      <w:pPr>
        <w:pStyle w:val="Odstavekseznama"/>
        <w:numPr>
          <w:ilvl w:val="0"/>
          <w:numId w:val="23"/>
        </w:numPr>
      </w:pPr>
      <w:r>
        <w:t>spremljanje izvajanja že uvedenih zakonskih rešitev (Zakon o udeležbi delavcev pri dobičku, Zakon o lastniški zadrugi delavcev),</w:t>
      </w:r>
    </w:p>
    <w:p w14:paraId="7F92E50E" w14:textId="0FC8853B" w:rsidR="009E058D" w:rsidRDefault="009E058D" w:rsidP="009E058D">
      <w:pPr>
        <w:pStyle w:val="Odstavekseznama"/>
        <w:numPr>
          <w:ilvl w:val="0"/>
          <w:numId w:val="23"/>
        </w:numPr>
      </w:pPr>
      <w:r>
        <w:t>spremljanje in analiziranje ukrepov na področju opcijskega nagrajevanja in po potrebi nadgradnja obstoječih rešitev.</w:t>
      </w:r>
    </w:p>
    <w:p w14:paraId="416A4352" w14:textId="77777777" w:rsidR="009E058D" w:rsidRDefault="009E058D" w:rsidP="009E058D"/>
    <w:p w14:paraId="24A576BC" w14:textId="097746F7" w:rsidR="009E058D" w:rsidRDefault="009E058D" w:rsidP="009E058D">
      <w:r>
        <w:t xml:space="preserve">4. Privabljanje globalnih visokotehnoloških talentov  </w:t>
      </w:r>
    </w:p>
    <w:p w14:paraId="7AC8CAE2" w14:textId="4D60D4CB" w:rsidR="009E058D" w:rsidRDefault="009E058D" w:rsidP="009E058D">
      <w:pPr>
        <w:pStyle w:val="Odstavekseznama"/>
        <w:numPr>
          <w:ilvl w:val="0"/>
          <w:numId w:val="24"/>
        </w:numPr>
      </w:pPr>
      <w:proofErr w:type="gramStart"/>
      <w:r>
        <w:t>ažuriranje</w:t>
      </w:r>
      <w:proofErr w:type="gramEnd"/>
      <w:r>
        <w:t xml:space="preserve"> seznama poklicev na področju visokokvalificiranih kadrov, ki jih na trgu dela dejansko trajno primanjkuje,</w:t>
      </w:r>
    </w:p>
    <w:p w14:paraId="041C2FF9" w14:textId="56DE4E4C" w:rsidR="009E058D" w:rsidRDefault="009E058D" w:rsidP="009E058D">
      <w:pPr>
        <w:pStyle w:val="Odstavekseznama"/>
        <w:numPr>
          <w:ilvl w:val="0"/>
          <w:numId w:val="24"/>
        </w:numPr>
      </w:pPr>
      <w:r>
        <w:t>vzpostavitev specializirane »štabne enote« za obravnavo tujcev za dovoljenja za prebivanje in delo z možnostjo tolmačenja v tujem jeziku,</w:t>
      </w:r>
    </w:p>
    <w:p w14:paraId="48691E47" w14:textId="6EB50906" w:rsidR="009E058D" w:rsidRDefault="009E058D" w:rsidP="009E058D">
      <w:pPr>
        <w:pStyle w:val="Odstavekseznama"/>
        <w:numPr>
          <w:ilvl w:val="0"/>
          <w:numId w:val="24"/>
        </w:numPr>
      </w:pPr>
      <w:r>
        <w:t xml:space="preserve">možnost za združevanje družine po vzoru modre karte, in sicer za vse zaposlene v startup </w:t>
      </w:r>
      <w:proofErr w:type="gramStart"/>
      <w:r>
        <w:t>podjetjih</w:t>
      </w:r>
      <w:proofErr w:type="gramEnd"/>
      <w:r>
        <w:t>,</w:t>
      </w:r>
    </w:p>
    <w:p w14:paraId="03BB53D3" w14:textId="75668EE1" w:rsidR="009E058D" w:rsidRDefault="009E058D" w:rsidP="009E058D">
      <w:pPr>
        <w:pStyle w:val="Odstavekseznama"/>
        <w:numPr>
          <w:ilvl w:val="0"/>
          <w:numId w:val="24"/>
        </w:numPr>
      </w:pPr>
      <w:r>
        <w:lastRenderedPageBreak/>
        <w:t>digitaliziran proces zaposlovanja tujcev in odvzem biometričnih podatkov z razširjeno uporabo pogodbenih storitev po svetu,</w:t>
      </w:r>
    </w:p>
    <w:p w14:paraId="448B8AD0" w14:textId="28CB543C" w:rsidR="009E058D" w:rsidRDefault="009E058D" w:rsidP="009E058D">
      <w:pPr>
        <w:pStyle w:val="Odstavekseznama"/>
        <w:numPr>
          <w:ilvl w:val="0"/>
          <w:numId w:val="24"/>
        </w:numPr>
      </w:pPr>
      <w:r>
        <w:t xml:space="preserve">promocijska gradiva z jasnimi napotki za tujce, ki bi se želeli zaposliti v slovenskih </w:t>
      </w:r>
      <w:proofErr w:type="gramStart"/>
      <w:r>
        <w:t>startupih</w:t>
      </w:r>
      <w:proofErr w:type="gramEnd"/>
      <w:r>
        <w:t>.</w:t>
      </w:r>
    </w:p>
    <w:p w14:paraId="38591A24" w14:textId="77777777" w:rsidR="009E058D" w:rsidRDefault="009E058D" w:rsidP="009E058D"/>
    <w:p w14:paraId="4D4CA2FB" w14:textId="1615E53C" w:rsidR="009E058D" w:rsidRDefault="009E058D" w:rsidP="009E058D">
      <w:r>
        <w:t>5. Vitka družba:</w:t>
      </w:r>
    </w:p>
    <w:p w14:paraId="1015511A" w14:textId="07735374" w:rsidR="009E058D" w:rsidRDefault="009E058D" w:rsidP="009E058D">
      <w:pPr>
        <w:pStyle w:val="Odstavekseznama"/>
        <w:numPr>
          <w:ilvl w:val="0"/>
          <w:numId w:val="25"/>
        </w:numPr>
      </w:pPr>
      <w:r>
        <w:t xml:space="preserve">nova pravno organizacijska oblika, prilagojena za startup podjetja, ki bo </w:t>
      </w:r>
      <w:proofErr w:type="gramStart"/>
      <w:r>
        <w:t>zagotavljala</w:t>
      </w:r>
      <w:proofErr w:type="gramEnd"/>
      <w:r>
        <w:t xml:space="preserve"> polno </w:t>
      </w:r>
      <w:proofErr w:type="spellStart"/>
      <w:r>
        <w:t>digitalnost</w:t>
      </w:r>
      <w:proofErr w:type="spellEnd"/>
      <w:r>
        <w:t xml:space="preserve"> ustanovitve, statusnih sprememb in poslovanja, združevala pa odprtost delniške družbe z enostavnim vstopom in izstopom delničarjev, na drugi strani pa ohranjala enostavnost družbe z omejeno odgovornostjo,</w:t>
      </w:r>
    </w:p>
    <w:p w14:paraId="1CD504BA" w14:textId="452C89C4" w:rsidR="009E058D" w:rsidRDefault="009E058D" w:rsidP="009E058D">
      <w:pPr>
        <w:pStyle w:val="Odstavekseznama"/>
        <w:numPr>
          <w:ilvl w:val="0"/>
          <w:numId w:val="25"/>
        </w:numPr>
      </w:pPr>
      <w:r>
        <w:t>pravna ureditev bo takšna, da bo v njej ob ustreznem zagotavljanju varnosti pravnega prometa in javnega interesa poskrbljeno za pravno varnost vlagateljev in upnikov.</w:t>
      </w:r>
    </w:p>
    <w:p w14:paraId="3323027A" w14:textId="77777777" w:rsidR="009E058D" w:rsidRDefault="009E058D" w:rsidP="009E058D"/>
    <w:p w14:paraId="6122D0EB" w14:textId="77777777" w:rsidR="009E058D" w:rsidRDefault="009E058D" w:rsidP="009E058D">
      <w:r>
        <w:t>Poleg strateških pobud strategija vključuje tudi druge ukrepe za izboljšanje ekosistema.</w:t>
      </w:r>
    </w:p>
    <w:p w14:paraId="78DF17EE" w14:textId="102FD337" w:rsidR="001A7EC8" w:rsidRDefault="003C46E2" w:rsidP="003C46E2">
      <w:pPr>
        <w:pStyle w:val="Vir"/>
      </w:pPr>
      <w:r>
        <w:t>Vir: Ministrstvo za gospodarstvo, turizem in šport</w:t>
      </w:r>
    </w:p>
    <w:p w14:paraId="3E0BF58F" w14:textId="2CF18C05" w:rsidR="00DD4CD4" w:rsidRDefault="00DD4CD4" w:rsidP="00DD4CD4">
      <w:pPr>
        <w:pStyle w:val="Naslov2"/>
      </w:pPr>
      <w:r>
        <w:t>Povračilo stroškov občinam zaradi začasne ponovne uvedbe nadzora na notranjih mejah</w:t>
      </w:r>
    </w:p>
    <w:p w14:paraId="60202513" w14:textId="77777777" w:rsidR="00DD4CD4" w:rsidRDefault="00DD4CD4" w:rsidP="00DD4CD4">
      <w:r>
        <w:t>Slovenija je 21. oktobra 2023 uvedla začasen ponovni nadzor na notranji schengenski meji s Hrvaško in Madžarsko, ki traja do vključno 21. junija 2026. Na podlagi Zakona o nadzoru državne meje so občine ob državni meji, kjer je tak nadzor uveden, upravičene do finančnega nadomestila zaradi ponovne uvedbe nadzora na notranjih mejah.</w:t>
      </w:r>
    </w:p>
    <w:p w14:paraId="4C3B399F" w14:textId="77777777" w:rsidR="00DD4CD4" w:rsidRDefault="00DD4CD4" w:rsidP="00DD4CD4"/>
    <w:p w14:paraId="171E5BEF" w14:textId="77777777" w:rsidR="00DD4CD4" w:rsidRDefault="00DD4CD4" w:rsidP="00DD4CD4">
      <w:r>
        <w:t xml:space="preserve">Skupna višina zagotovljenih sredstev v letu 2026 za povračilo stroškov občinam ob meji z Madžarsko in Hrvaško znaša dva milijona evrov. </w:t>
      </w:r>
    </w:p>
    <w:p w14:paraId="02B9AB22" w14:textId="77777777" w:rsidR="00DD4CD4" w:rsidRDefault="00DD4CD4" w:rsidP="00DD4CD4"/>
    <w:p w14:paraId="27E6D985" w14:textId="77777777" w:rsidR="00DD4CD4" w:rsidRDefault="00DD4CD4" w:rsidP="00DD4CD4">
      <w:r>
        <w:t xml:space="preserve">Občinam se izplača finančno nadomestilo za upravičene stroške zaradi začasne ponovne uvedbe nadzora na notranjih mejah, ki ima za posledico intenzivnejše izvajanje dejavnosti in ukrepov ter povečano prisotnost policije na območju občin ob državni meji, kjer je nadzor uveden. Med upravičene stroške sodijo stroški zaradi obnove in </w:t>
      </w:r>
      <w:proofErr w:type="gramStart"/>
      <w:r>
        <w:t>investicijskega</w:t>
      </w:r>
      <w:proofErr w:type="gramEnd"/>
      <w:r>
        <w:t xml:space="preserve"> vzdrževanja občinskih cest in javnih poti, ki so dodatno obremenjene zaradi začasne ponovne uvedbe nadzora na notranjih mejah, in drugi stroški, ki so posledica izvajanja dejavnosti in ukrepov.</w:t>
      </w:r>
    </w:p>
    <w:p w14:paraId="5E339690" w14:textId="77777777" w:rsidR="00DD4CD4" w:rsidRDefault="00DD4CD4" w:rsidP="00DD4CD4"/>
    <w:p w14:paraId="7C23FB95" w14:textId="77777777" w:rsidR="00DD4CD4" w:rsidRDefault="00DD4CD4" w:rsidP="00DD4CD4">
      <w:r>
        <w:t>Občine izkažejo višino nastalih stroškov z ustreznimi listinami in utemeljitvijo namenske porabe. Zahtevek za povračilo dela stroškov, nastalih v tekočem koledarskem letu, do 15. novembra tekočega koledarskega leta pošljejo Ministrstvu za notranje zadeve.</w:t>
      </w:r>
    </w:p>
    <w:p w14:paraId="6ADCDC4F" w14:textId="0B778B34" w:rsidR="009C10FA" w:rsidRDefault="00DD4CD4" w:rsidP="00DD4CD4">
      <w:pPr>
        <w:pStyle w:val="Vir"/>
      </w:pPr>
      <w:r>
        <w:t>Vir: Ministrstvo za notranje zadeve</w:t>
      </w:r>
    </w:p>
    <w:p w14:paraId="54C44A74" w14:textId="21108496" w:rsidR="009A602F" w:rsidRDefault="009A602F" w:rsidP="009A602F">
      <w:pPr>
        <w:pStyle w:val="Naslov2"/>
      </w:pPr>
      <w:r>
        <w:t>Vlada sprejela Program odprave posledic neposredne škode na stvareh zaradi neurja s poplavami in zemeljskimi plazovi 16. in 17. novembra 2025</w:t>
      </w:r>
    </w:p>
    <w:p w14:paraId="1FB0235E" w14:textId="77777777" w:rsidR="009A602F" w:rsidRDefault="009A602F" w:rsidP="009A602F">
      <w:r>
        <w:t xml:space="preserve">Na podlagi Zakona o odpravi posledic naravnih nesreč je Ministrstvo za naravne vire in prostor pripravilo Program odprave neposredne škode na stvareh zaradi neurja s poplavami in zemeljskimi plazovi 16. in 17. novembra 2025, v katerem so zajeti ukrepi za obnovo po naravni nesreči. Program zajema sanacijo vodotokov, obnovo cest in mostov, sanacijo plazov in usadov. Novembrsko neurje je največ škode povzročilo v občini Brda, pa tudi v Kanalu ob Soči, Tolminu in Bohinju. Sredstva za izvedbo programa se v letu 2026 zagotovijo v višini do 6,3 </w:t>
      </w:r>
      <w:proofErr w:type="gramStart"/>
      <w:r>
        <w:t>milijone</w:t>
      </w:r>
      <w:proofErr w:type="gramEnd"/>
      <w:r>
        <w:t xml:space="preserve"> evrov v okviru proračunske rezerve proračuna RS. Po letu 2026 se zagotavljajo pravice porabe iz integralnega proračuna v okviru finančnega načrta Ministrstva za naravne vire in prostor. </w:t>
      </w:r>
    </w:p>
    <w:p w14:paraId="434995AE" w14:textId="77777777" w:rsidR="009A602F" w:rsidRDefault="009A602F" w:rsidP="009A602F"/>
    <w:p w14:paraId="79000774" w14:textId="77777777" w:rsidR="009A602F" w:rsidRDefault="009A602F" w:rsidP="009A602F">
      <w:r>
        <w:t xml:space="preserve">Vlada Republike Slovenije je pred tem potrdila končno oceno neposredne škode na stvareh in ugotovila, da skupna končna ocena neposredne škode na stvareh presega 0,3 </w:t>
      </w:r>
      <w:proofErr w:type="gramStart"/>
      <w:r>
        <w:t>promile</w:t>
      </w:r>
      <w:proofErr w:type="gramEnd"/>
      <w:r>
        <w:t xml:space="preserve"> načrtovanih </w:t>
      </w:r>
      <w:r>
        <w:lastRenderedPageBreak/>
        <w:t>prihodkov državnega proračuna za leto 2025 in je bil tako dosežen limit za pomoč v skladu z Zakonom o odpravi posledic naravnih nesreč. Pristojnim ministrstvom je naložila, da na podlagi ocene škode pripravijo predlog programa odprave posledic neposredne škode v skladu z zakonom, zato je MNVP pripravil danes potrjeni program odprave škode.</w:t>
      </w:r>
    </w:p>
    <w:p w14:paraId="5BB5D4C7" w14:textId="026AE4FF" w:rsidR="009A602F" w:rsidRDefault="009A602F" w:rsidP="009A602F">
      <w:pPr>
        <w:pStyle w:val="Vir"/>
      </w:pPr>
      <w:r w:rsidRPr="009A602F">
        <w:t>Vir: Ministrstvo za naravne vire in prostor</w:t>
      </w:r>
    </w:p>
    <w:p w14:paraId="76678515" w14:textId="5872A9C1" w:rsidR="00792381" w:rsidRDefault="00792381" w:rsidP="00792381">
      <w:pPr>
        <w:pStyle w:val="Naslov2"/>
      </w:pPr>
      <w:r>
        <w:t xml:space="preserve">Javni zavod </w:t>
      </w:r>
      <w:proofErr w:type="gramStart"/>
      <w:r>
        <w:t>Center</w:t>
      </w:r>
      <w:proofErr w:type="gramEnd"/>
      <w:r>
        <w:t xml:space="preserve"> urbane kulture Kino Šiška je javni zavod v javnem interesu</w:t>
      </w:r>
    </w:p>
    <w:p w14:paraId="7C696751" w14:textId="05AA3247" w:rsidR="00792381" w:rsidRDefault="00792381" w:rsidP="00792381">
      <w:r>
        <w:t>Na predlog Ministrstva za kulturo je vlada na današnji seji sprejela sklep, s katerim je delovanju Javnega zavoda Center urbane kulture Kino Šiška v letih 2026</w:t>
      </w:r>
      <w:proofErr w:type="gramStart"/>
      <w:r>
        <w:t xml:space="preserve"> in</w:t>
      </w:r>
      <w:proofErr w:type="gramEnd"/>
      <w:r>
        <w:t xml:space="preserve"> 2027 priznala status javnega zavoda v javnem interesu države.</w:t>
      </w:r>
    </w:p>
    <w:p w14:paraId="5376C9AC" w14:textId="77777777" w:rsidR="00792381" w:rsidRDefault="00792381" w:rsidP="00792381"/>
    <w:p w14:paraId="72AD95D2" w14:textId="6D579187" w:rsidR="00792381" w:rsidRDefault="00792381" w:rsidP="00792381">
      <w:r>
        <w:t>Odločitev temelji na ugotovitvi, da program in dejavnosti Kina Šiška presegajo lokalni pomen ter pomembno prispevajo k dostopnosti in razvoju sodobne kulture na nacionalni ravni. Zavod že vrsto let kontinuirano izvaja obsežen in kakovosten program na področjih glasbene, uprizoritvene, vizualne in intermedijske umetnosti ter predstavlja eno ključnih platform za sodobno urbano kulturo v Sloveniji.</w:t>
      </w:r>
    </w:p>
    <w:p w14:paraId="08597BD3" w14:textId="77777777" w:rsidR="00792381" w:rsidRDefault="00792381" w:rsidP="00792381">
      <w:r>
        <w:t>Kino Šiška letno izvede približno 350 dogodkov in privabi več kot 150.000 obiskovalcev iz vse Slovenije ter tujine. Poseben poudarek namenja razvoju občinstev, podpori mladim ustvarjalcem ter mednarodnemu sodelovanju. Med programskimi vrhunci so tudi mednarodno uveljavljeni festivali, ki pomembno prispevajo k prepoznavnosti Slovenije v širšem evropskem prostoru.</w:t>
      </w:r>
    </w:p>
    <w:p w14:paraId="697285D1" w14:textId="77777777" w:rsidR="00792381" w:rsidRDefault="00792381" w:rsidP="00792381"/>
    <w:p w14:paraId="6BEFFBBB" w14:textId="0F23BF67" w:rsidR="00792381" w:rsidRDefault="00792381" w:rsidP="00792381">
      <w:r>
        <w:t xml:space="preserve">Vlada je ob tem poudarila, da program zavoda po obsegu, kakovosti in mednarodni vpetosti presega okvir Mestne občine Ljubljana ter zadovoljuje potrebe prebivalcev širše </w:t>
      </w:r>
      <w:proofErr w:type="gramStart"/>
      <w:r>
        <w:t>regije</w:t>
      </w:r>
      <w:proofErr w:type="gramEnd"/>
      <w:r>
        <w:t xml:space="preserve"> in sosednjih držav. S tem sklepom država potrjuje strateški pomen Kina Šiška kot osrednje nacionalne infrastrukture za sodobno urbano kulturo.</w:t>
      </w:r>
    </w:p>
    <w:p w14:paraId="1E2E54C9" w14:textId="77777777" w:rsidR="00792381" w:rsidRDefault="00792381" w:rsidP="00792381"/>
    <w:p w14:paraId="709929F8" w14:textId="698493FE" w:rsidR="00792381" w:rsidRDefault="00792381" w:rsidP="00792381">
      <w:r>
        <w:t xml:space="preserve">Sredstva za sofinanciranje v letih 2026 in 2027 so zagotovljena v okviru finančnega načrta Ministrstva za kulturo. Ministrica za kulturo in Mestna občina Ljubljana bosta na podlagi sklepa </w:t>
      </w:r>
      <w:proofErr w:type="gramStart"/>
      <w:r>
        <w:t>sklenili</w:t>
      </w:r>
      <w:proofErr w:type="gramEnd"/>
      <w:r>
        <w:t xml:space="preserve"> pogodbo o sofinanciranju in obsegu obveznosti občine.</w:t>
      </w:r>
    </w:p>
    <w:p w14:paraId="6B31EA49" w14:textId="77777777" w:rsidR="00792381" w:rsidRDefault="00792381" w:rsidP="00792381"/>
    <w:p w14:paraId="3EEC04CE" w14:textId="727770DE" w:rsidR="00792381" w:rsidRDefault="00792381" w:rsidP="00792381">
      <w:r>
        <w:t>Ministrstvo za kulturo ocenjuje, da sprejeti sklep zagotavlja stabilne pogoje za nadaljnji razvoj programov ter krepitev dostopnosti kakovostnih kulturnih vsebin za najširšo javnost.</w:t>
      </w:r>
    </w:p>
    <w:p w14:paraId="78B5A231" w14:textId="7F813A75" w:rsidR="001A7EC8" w:rsidRDefault="00792381" w:rsidP="00792381">
      <w:pPr>
        <w:pStyle w:val="Vir"/>
      </w:pPr>
      <w:r>
        <w:t>Vir: Ministrstvo za kulturo</w:t>
      </w:r>
    </w:p>
    <w:p w14:paraId="725AF4B5" w14:textId="7139CD51" w:rsidR="00792381" w:rsidRDefault="00792381" w:rsidP="00792381">
      <w:pPr>
        <w:pStyle w:val="Naslov2"/>
      </w:pPr>
      <w:r>
        <w:t xml:space="preserve">Javni zavod Kulturno-prireditveni </w:t>
      </w:r>
      <w:proofErr w:type="gramStart"/>
      <w:r>
        <w:t>center</w:t>
      </w:r>
      <w:proofErr w:type="gramEnd"/>
      <w:r>
        <w:t xml:space="preserve"> Narodni dom Maribor je javni zavod v javnem interesu</w:t>
      </w:r>
    </w:p>
    <w:p w14:paraId="266AC90E" w14:textId="3DCDAA3B" w:rsidR="00792381" w:rsidRDefault="00792381" w:rsidP="00792381">
      <w:r>
        <w:t>Vlada je na predlog Ministrstva za kulturo na današnji seji sprejela sklep, s katerim je delovanju Javnega zavoda Kulturno-prireditveni center Narodni dom Maribor v letih 2026</w:t>
      </w:r>
      <w:proofErr w:type="gramStart"/>
      <w:r>
        <w:t xml:space="preserve"> in</w:t>
      </w:r>
      <w:proofErr w:type="gramEnd"/>
      <w:r>
        <w:t xml:space="preserve"> 2027 priznala status javnega zavoda v javnem interesu države.</w:t>
      </w:r>
    </w:p>
    <w:p w14:paraId="5C8BBDFD" w14:textId="77777777" w:rsidR="00792381" w:rsidRDefault="00792381" w:rsidP="00792381"/>
    <w:p w14:paraId="69AFD6F4" w14:textId="16086EB4" w:rsidR="00792381" w:rsidRDefault="00792381" w:rsidP="00792381">
      <w:r>
        <w:t>Odločitev temelji na ugotovitvi, da programi in dejavnosti Narodnega doma Maribor presegajo lokalni pomen ter pomembno prispevajo k dostopnosti in razvoju kulturnih vsebin na regionalni in nacionalni ravni. Zavod neprekinjeno deluje od leta 1992 in letno izvede približno 1.800 prireditev, s čimer predstavlja enega osrednjih kulturnih nosilcev v vzhodni Sloveniji.</w:t>
      </w:r>
    </w:p>
    <w:p w14:paraId="5FE90F99" w14:textId="77777777" w:rsidR="00792381" w:rsidRDefault="00792381" w:rsidP="00792381"/>
    <w:p w14:paraId="19D649AD" w14:textId="78048180" w:rsidR="00792381" w:rsidRDefault="00792381" w:rsidP="00792381">
      <w:r>
        <w:t>Narodni dom Maribor izvaja raznolik program s poudarkom na glasbeni in uprizoritveni umetnosti, med njegovimi najbolj prepoznavnimi vsebinami pa so tudi večji festivalski projekti, kot sta Festival Lent in Festival Maribor. Pomemben del delovanja zavoda predstavljajo programi kulturno-umetnostne vzgoje in razvoja občinstev, zlasti za otroke in mladino, ter abonmajski programi, ki sistematično krepijo kulturno udeležbo in dostopnost programov za širšo javnost.</w:t>
      </w:r>
    </w:p>
    <w:p w14:paraId="570F0363" w14:textId="77777777" w:rsidR="00792381" w:rsidRDefault="00792381" w:rsidP="00792381"/>
    <w:p w14:paraId="4CD52F10" w14:textId="0B08436A" w:rsidR="00792381" w:rsidRDefault="00792381" w:rsidP="00792381">
      <w:r>
        <w:t>Zavod hkrati v imenu ustanovitelja upravlja pomemben del javne kulturne infrastrukture v Mariboru, tudi v spomeniško zaščitenih objektih (med drugim Narodni dom, Union, Vetrinjski dvor, Vodni stolp in Karantena), kar dodatno potrjuje njegovo vlogo pri zagotavljanju trajnega in nemotenega dostopa do javnih kulturnih dobrin.</w:t>
      </w:r>
    </w:p>
    <w:p w14:paraId="3DC4580B" w14:textId="77777777" w:rsidR="00792381" w:rsidRDefault="00792381" w:rsidP="00792381"/>
    <w:p w14:paraId="297B6203" w14:textId="7601CA8C" w:rsidR="00792381" w:rsidRDefault="00792381" w:rsidP="00792381">
      <w:r>
        <w:t xml:space="preserve">Vlada je ob sprejemu sklepa poudarila, da programi Narodnega doma Maribor po obsegu, izvedbeni zahtevnosti ter kakovosti presegajo okvir Mestne občine Maribor in zadovoljujejo tudi kulturne potrebe prebivalcev sosednjih občin in širše </w:t>
      </w:r>
      <w:proofErr w:type="gramStart"/>
      <w:r>
        <w:t>regije</w:t>
      </w:r>
      <w:proofErr w:type="gramEnd"/>
      <w:r>
        <w:t>. Primerljiv obseg in izvedbena zahtevnost tovrstnih programov v sosednjih občinah nista zagotovljena.</w:t>
      </w:r>
    </w:p>
    <w:p w14:paraId="3038B7C3" w14:textId="77777777" w:rsidR="00792381" w:rsidRDefault="00792381" w:rsidP="00792381"/>
    <w:p w14:paraId="7D6BE7D3" w14:textId="30726927" w:rsidR="00792381" w:rsidRDefault="00792381" w:rsidP="00792381">
      <w:r>
        <w:t xml:space="preserve">Sredstva za sofinanciranje v letih 2026 in 2027 so zagotovljena v okviru finančnega načrta Ministrstva za kulturo. Ministrica za kulturo in Mestna občina Maribor bosta na podlagi sklepa </w:t>
      </w:r>
      <w:proofErr w:type="gramStart"/>
      <w:r>
        <w:t>sklenili</w:t>
      </w:r>
      <w:proofErr w:type="gramEnd"/>
      <w:r>
        <w:t xml:space="preserve"> pogodbo o sofinanciranju in obsegu obveznosti občine.</w:t>
      </w:r>
    </w:p>
    <w:p w14:paraId="7CFD5B09" w14:textId="77777777" w:rsidR="00792381" w:rsidRDefault="00792381" w:rsidP="00792381"/>
    <w:p w14:paraId="2FA98895" w14:textId="0AEE8F55" w:rsidR="00792381" w:rsidRDefault="00792381" w:rsidP="00792381">
      <w:r>
        <w:t>Ministrstvo za kulturo ocenjuje, da bo sprejeti sklep prispeval k stabilnejšim pogojem za delovanje zavoda ter nadaljnjemu razvoju kakovostnih kulturnih programov, dostopnih najširši javnosti.</w:t>
      </w:r>
    </w:p>
    <w:p w14:paraId="331EC90A" w14:textId="3B76306C" w:rsidR="001A7EC8" w:rsidRDefault="00792381" w:rsidP="00792381">
      <w:pPr>
        <w:pStyle w:val="Vir"/>
      </w:pPr>
      <w:r>
        <w:t>Vir: Ministrstvo za kulturo</w:t>
      </w:r>
    </w:p>
    <w:p w14:paraId="2790CC14" w14:textId="40863EFF" w:rsidR="00D55DD7" w:rsidRDefault="00D55DD7" w:rsidP="00D55DD7">
      <w:pPr>
        <w:pStyle w:val="Naslov2"/>
      </w:pPr>
      <w:r>
        <w:t xml:space="preserve">Vlada v načrt razvojnih programov uvrstila </w:t>
      </w:r>
      <w:proofErr w:type="gramStart"/>
      <w:r>
        <w:t>investicijo</w:t>
      </w:r>
      <w:proofErr w:type="gramEnd"/>
      <w:r>
        <w:t xml:space="preserve"> podjetja SkyLabs v Mariboru</w:t>
      </w:r>
    </w:p>
    <w:p w14:paraId="730798FD" w14:textId="77777777" w:rsidR="00D55DD7" w:rsidRDefault="00D55DD7" w:rsidP="00D55DD7">
      <w:r>
        <w:t>Vlada je v Načrt razvojnih programov 2026–2029 uvrstila projekt »</w:t>
      </w:r>
      <w:proofErr w:type="gramStart"/>
      <w:r>
        <w:t>Investicija</w:t>
      </w:r>
      <w:proofErr w:type="gramEnd"/>
      <w:r>
        <w:t xml:space="preserve"> v novogradnjo ter opremo – SkyLabs«, s katerim podjetje SkyLabs iz Maribora krepi svojo raziskovalno-razvojno in tehnološko infrastrukturo na področju vesoljskih tehnologij.</w:t>
      </w:r>
    </w:p>
    <w:p w14:paraId="05852291" w14:textId="77777777" w:rsidR="00D55DD7" w:rsidRDefault="00D55DD7" w:rsidP="00D55DD7"/>
    <w:p w14:paraId="5F8BC381" w14:textId="77777777" w:rsidR="00D55DD7" w:rsidRDefault="00D55DD7" w:rsidP="00D55DD7">
      <w:r>
        <w:t xml:space="preserve">V Mariboru bo zgrajen nov raziskovalni objekt, opremljen z napredno laboratorijsko opremo, tehnologijo čiste sobe ter zemeljsko postajo (S/X </w:t>
      </w:r>
      <w:proofErr w:type="gramStart"/>
      <w:r>
        <w:t>band</w:t>
      </w:r>
      <w:proofErr w:type="gramEnd"/>
      <w:r>
        <w:t xml:space="preserve">). Skupna vrednost </w:t>
      </w:r>
      <w:proofErr w:type="gramStart"/>
      <w:r>
        <w:t>investicije</w:t>
      </w:r>
      <w:proofErr w:type="gramEnd"/>
      <w:r>
        <w:t xml:space="preserve"> znaša 5,69 milijona evrov (brez DDV).</w:t>
      </w:r>
    </w:p>
    <w:p w14:paraId="0FD819DC" w14:textId="77777777" w:rsidR="00D55DD7" w:rsidRDefault="00D55DD7" w:rsidP="00D55DD7"/>
    <w:p w14:paraId="7064D945" w14:textId="77777777" w:rsidR="00D55DD7" w:rsidRDefault="00D55DD7" w:rsidP="00D55DD7">
      <w:r>
        <w:t xml:space="preserve">Država bo </w:t>
      </w:r>
      <w:proofErr w:type="gramStart"/>
      <w:r>
        <w:t>investicijo</w:t>
      </w:r>
      <w:proofErr w:type="gramEnd"/>
      <w:r>
        <w:t xml:space="preserve"> podprla s subvencijo v višini 2.040.601 evra, ki bo izplačana postopno v obdobju 2026–2028. Sredstva so zagotovljena v okviru programa spodbujanja </w:t>
      </w:r>
      <w:proofErr w:type="gramStart"/>
      <w:r>
        <w:t>investicij</w:t>
      </w:r>
      <w:proofErr w:type="gramEnd"/>
      <w:r>
        <w:t xml:space="preserve"> Ministrstva za gospodarstvo, turizem in šport.</w:t>
      </w:r>
    </w:p>
    <w:p w14:paraId="67F02FCA" w14:textId="77777777" w:rsidR="00D55DD7" w:rsidRDefault="00D55DD7" w:rsidP="00D55DD7"/>
    <w:p w14:paraId="04663ED0" w14:textId="77777777" w:rsidR="00D55DD7" w:rsidRDefault="00D55DD7" w:rsidP="00D55DD7">
      <w:r>
        <w:t xml:space="preserve">Nova infrastruktura bo omogočila širitev industrijskih raziskav in </w:t>
      </w:r>
      <w:proofErr w:type="gramStart"/>
      <w:r>
        <w:t>eksperimentalnega</w:t>
      </w:r>
      <w:proofErr w:type="gramEnd"/>
      <w:r>
        <w:t xml:space="preserve"> razvoja ter razvoj kompleksnih visokotehnoloških rešitev z visoko dodano vrednostjo. Projekt predvideva ustvarjanje 10 novih visokokvalificiranih delovnih mest, pomembno rast prihodkov podjetja ter dvig dodane vrednosti na zaposlenega do leta 2030.</w:t>
      </w:r>
    </w:p>
    <w:p w14:paraId="618470A7" w14:textId="77777777" w:rsidR="00D55DD7" w:rsidRDefault="00D55DD7" w:rsidP="00D55DD7"/>
    <w:p w14:paraId="30E28E43" w14:textId="77777777" w:rsidR="00D55DD7" w:rsidRDefault="00D55DD7" w:rsidP="00D55DD7">
      <w:proofErr w:type="gramStart"/>
      <w:r>
        <w:t>Investicija</w:t>
      </w:r>
      <w:proofErr w:type="gramEnd"/>
      <w:r>
        <w:t xml:space="preserve"> ima tudi izrazit razvojni učinek za Podravsko regijo in širši slovenski tehnološki ekosistem. Ob tem vključuje zmanjševanje </w:t>
      </w:r>
      <w:proofErr w:type="gramStart"/>
      <w:r>
        <w:t>okoljskega</w:t>
      </w:r>
      <w:proofErr w:type="gramEnd"/>
      <w:r>
        <w:t xml:space="preserve"> odtisa ter povečanje uporabe obnovljivih virov energije.</w:t>
      </w:r>
    </w:p>
    <w:p w14:paraId="7E7860C6" w14:textId="77777777" w:rsidR="00D55DD7" w:rsidRDefault="00D55DD7" w:rsidP="00D55DD7"/>
    <w:p w14:paraId="6B259439" w14:textId="77777777" w:rsidR="00D55DD7" w:rsidRDefault="00D55DD7" w:rsidP="00D55DD7">
      <w:r>
        <w:t>SkyLabs je mednarodno uveljavljeno podjetje na področju vesoljskih tehnologij, ki sodeluje z vodilnimi evropskimi in globalnimi institucijami ter industrijskimi partnerji. Z današnjo odločitvijo vlada nadaljuje usmerjeno podporo projektom z visoko dodano vrednostjo, ki krepijo tehnološko suverenost, konkurenčnost in razvoj slovenskega gospodarstva.</w:t>
      </w:r>
    </w:p>
    <w:p w14:paraId="12DE3E4F" w14:textId="6BDA39B4" w:rsidR="00D55DD7" w:rsidRDefault="00D55DD7" w:rsidP="00D55DD7">
      <w:pPr>
        <w:pStyle w:val="Vir"/>
      </w:pPr>
      <w:r>
        <w:t>Vir: Ministrstvo za gospodarstvo, turizem in šport</w:t>
      </w:r>
    </w:p>
    <w:p w14:paraId="0FDB506E" w14:textId="064AFD05" w:rsidR="00932BC7" w:rsidRDefault="00932BC7" w:rsidP="00932BC7">
      <w:pPr>
        <w:pStyle w:val="Naslov2"/>
      </w:pPr>
      <w:r>
        <w:t>Odprtje nove proračunske postavke pri Ministrstvu za kulturo</w:t>
      </w:r>
    </w:p>
    <w:p w14:paraId="5971A0A6" w14:textId="77777777" w:rsidR="00932BC7" w:rsidRDefault="00932BC7" w:rsidP="00932BC7">
      <w:r>
        <w:lastRenderedPageBreak/>
        <w:t>Vlada je danes potrdila odprtje nove integralne proračunske postavke pri Ministrstvu za kulturo, in sicer za izvajanje Zakona o Radioteleviziji Slovenija.</w:t>
      </w:r>
    </w:p>
    <w:p w14:paraId="772CDF89" w14:textId="77777777" w:rsidR="00932BC7" w:rsidRDefault="00932BC7" w:rsidP="00932BC7"/>
    <w:p w14:paraId="0F8885CE" w14:textId="77777777" w:rsidR="00932BC7" w:rsidRDefault="00932BC7" w:rsidP="00932BC7">
      <w:r>
        <w:t xml:space="preserve">Nova proračunska postavka je namenjena izvajanju nove zakonske obveznosti na podlagi novele Zakona o Radioteleviziji Slovenija. </w:t>
      </w:r>
    </w:p>
    <w:p w14:paraId="0381ED35" w14:textId="77777777" w:rsidR="00932BC7" w:rsidRDefault="00932BC7" w:rsidP="00932BC7"/>
    <w:p w14:paraId="2A75B4AA" w14:textId="77777777" w:rsidR="00932BC7" w:rsidRDefault="00932BC7" w:rsidP="00932BC7">
      <w:r>
        <w:t xml:space="preserve">S </w:t>
      </w:r>
      <w:proofErr w:type="gramStart"/>
      <w:r>
        <w:t>slednjo</w:t>
      </w:r>
      <w:proofErr w:type="gramEnd"/>
      <w:r>
        <w:t xml:space="preserve"> je bila glasbena produkcija izrecno uvrščena v okvir javne službe RTV Slovenija, hkrati pa je zakon prvič sistemsko in trajno določil njen vir financiranja iz državnega proračuna, in sicer v delu, ki se ne financira iz RTV-prispevka.</w:t>
      </w:r>
    </w:p>
    <w:p w14:paraId="00A0B042" w14:textId="77777777" w:rsidR="00932BC7" w:rsidRDefault="00932BC7" w:rsidP="00932BC7"/>
    <w:p w14:paraId="2F9686EE" w14:textId="77777777" w:rsidR="00932BC7" w:rsidRDefault="00932BC7" w:rsidP="00932BC7">
      <w:r>
        <w:t>Sredstva za pokrivanje obveznosti na tej postavki v višini 400.000 evrov se v letu 2026 zagotovijo s prerazporeditvijo pravic porabe znotraj finančnega načrta Ministrstva za kulturo.</w:t>
      </w:r>
    </w:p>
    <w:p w14:paraId="351237F0" w14:textId="3CC31FB8" w:rsidR="003C7638" w:rsidRDefault="00932BC7" w:rsidP="00932BC7">
      <w:pPr>
        <w:pStyle w:val="Vir"/>
      </w:pPr>
      <w:r>
        <w:t>Vir: Ministrstvo za finance</w:t>
      </w:r>
    </w:p>
    <w:p w14:paraId="12D5388D" w14:textId="12346529" w:rsidR="00516F90" w:rsidRDefault="00516F90" w:rsidP="00516F90">
      <w:pPr>
        <w:pStyle w:val="Naslov2"/>
      </w:pPr>
      <w:r>
        <w:t>Tehnični dogovor o zagotavljanju podpore države gostiteljice na vaji INIOCHOS 26</w:t>
      </w:r>
    </w:p>
    <w:p w14:paraId="779C4158" w14:textId="77777777" w:rsidR="00516F90" w:rsidRDefault="00516F90" w:rsidP="00516F90">
      <w:r>
        <w:t xml:space="preserve">Vlada se je danes seznanila z namero podpisa tehničnega dogovora o sodelovanju in zagotavljanju podpore države gostiteljice za vajo INIOCHOS 26. Gre za mednarodno taktično vajo, ki bo od 9. marca do 20. aprila letos na ozemlju Helenske republike, namenjena pa bo usposabljanju v realnih pogojih bojevanja proti ciljem v zraku, na tleh in na morju. </w:t>
      </w:r>
    </w:p>
    <w:p w14:paraId="4083BAF7" w14:textId="77777777" w:rsidR="00516F90" w:rsidRDefault="00516F90" w:rsidP="00516F90"/>
    <w:p w14:paraId="18A86216" w14:textId="77777777" w:rsidR="00516F90" w:rsidRDefault="00516F90" w:rsidP="00516F90">
      <w:r>
        <w:t>Na vaji INIOCHOS 26 bodo sodelovali pripadniki in vojaški zrakoplovi iz devetih držav, Slovenska vojska pa bo na njej sodelovala s 40 pripadniki. Tehnični dogovor bo urejal medsebojna razmerja, pravice in obveznosti udeležencev na vaji ter bo vseboval splošne, pravne in finančne določbe, določbe v zvezi z zagotavljanjem podpore države gostiteljice ter ostalo.</w:t>
      </w:r>
    </w:p>
    <w:p w14:paraId="09583823" w14:textId="0EC79CFE" w:rsidR="004F0D89" w:rsidRDefault="00516F90" w:rsidP="00516F90">
      <w:pPr>
        <w:pStyle w:val="Vir"/>
      </w:pPr>
      <w:r>
        <w:t>Vir: Ministrstvo za obrambo</w:t>
      </w:r>
    </w:p>
    <w:p w14:paraId="30D2773E" w14:textId="20F06469" w:rsidR="00F963BF" w:rsidRDefault="00F963BF" w:rsidP="00F963BF">
      <w:pPr>
        <w:pStyle w:val="Naslov2"/>
      </w:pPr>
      <w:r>
        <w:t>Obrambno ministrstvo bo za projekte Evropskega obrambnega sklada podpisalo pisma o nameri</w:t>
      </w:r>
    </w:p>
    <w:p w14:paraId="3A4233D9" w14:textId="77777777" w:rsidR="00F963BF" w:rsidRDefault="00F963BF" w:rsidP="00F963BF">
      <w:r>
        <w:t>Vlada se je danes seznanila z informacijo o podpisu pisem o nameri za projekte v okviru Evropskega obrambnega sklada v letu 2025. Pisma o nameri bo s podjetji, ki razvijajo projekte</w:t>
      </w:r>
      <w:proofErr w:type="gramStart"/>
      <w:r>
        <w:t xml:space="preserve"> </w:t>
      </w:r>
      <w:proofErr w:type="spellStart"/>
      <w:r>
        <w:t>projekte</w:t>
      </w:r>
      <w:proofErr w:type="spellEnd"/>
      <w:proofErr w:type="gramEnd"/>
      <w:r>
        <w:t xml:space="preserve"> ALPHA SKYLOCK, LUMINA in FALCON, podpisalo Ministrstvo za obrambo.</w:t>
      </w:r>
    </w:p>
    <w:p w14:paraId="18CBDCE8" w14:textId="77777777" w:rsidR="00F963BF" w:rsidRDefault="00F963BF" w:rsidP="00F963BF"/>
    <w:p w14:paraId="5FE67849" w14:textId="77777777" w:rsidR="00F963BF" w:rsidRDefault="00F963BF" w:rsidP="00F963BF">
      <w:r>
        <w:t>Evropska komisija v okviru Evropskega obrambnega sklada (EDF) financira raziskave in razvoj novih tehnologij in inovacij v obrambne namene. Letni program 2025 EDF zajema 36 tematskih razpisov. Na njih so uspešno kandidirali projekti ALPHA SKYLOCK, LUMINA in FALCON, v katera so v okviru konzorcijev vključena slovenska podjetja. Za navedene projekte bo Ministrstvo za obrambo podpisalo pisma o nameri</w:t>
      </w:r>
      <w:proofErr w:type="gramStart"/>
      <w:r>
        <w:t>, ki je pogoj za udeležbo konzorcijev podjetij na razpisu.</w:t>
      </w:r>
      <w:proofErr w:type="gramEnd"/>
      <w:r>
        <w:t xml:space="preserve"> </w:t>
      </w:r>
    </w:p>
    <w:p w14:paraId="27A177B7" w14:textId="77777777" w:rsidR="00F963BF" w:rsidRDefault="00F963BF" w:rsidP="00F963BF"/>
    <w:p w14:paraId="787A703C" w14:textId="16F77C38" w:rsidR="00F963BF" w:rsidRDefault="00F963BF" w:rsidP="00F963BF">
      <w:r>
        <w:t xml:space="preserve">Namen projekta ALPHA SKYLOCK je razviti sistem zračne obrambe naslednje generacije z </w:t>
      </w:r>
      <w:proofErr w:type="spellStart"/>
      <w:r>
        <w:t>visokomočnostnim</w:t>
      </w:r>
      <w:proofErr w:type="spellEnd"/>
      <w:r>
        <w:t xml:space="preserve"> </w:t>
      </w:r>
      <w:proofErr w:type="spellStart"/>
      <w:r>
        <w:t>mikrovalovanjem</w:t>
      </w:r>
      <w:proofErr w:type="spellEnd"/>
      <w:r>
        <w:t xml:space="preserve">, ki bo omogočil učinkovito odkrivanje in uničevanje ciljev v zraku. Celotna vrednost projekta je ocenjena na 6.525.000 evrov, slovenska podjetja pa bodo od EU prejela 651.000 evrov nepovratnih sredstev. </w:t>
      </w:r>
    </w:p>
    <w:p w14:paraId="0C3095F3" w14:textId="77777777" w:rsidR="00F963BF" w:rsidRDefault="00F963BF" w:rsidP="00F963BF"/>
    <w:p w14:paraId="3EF55156" w14:textId="2E108666" w:rsidR="00F963BF" w:rsidRDefault="00F963BF" w:rsidP="00F963BF">
      <w:r>
        <w:t xml:space="preserve">Projekt LUMINA bo razvil ekosistem prežečega streliva, ki temelji na dveh platformah. Celotna vrednost projekta je ocenjena na 9.800.000 evrov, slovenska podjetja pa bodo od EU prejela 150.000 evrov nepovratnih sredstev. </w:t>
      </w:r>
    </w:p>
    <w:p w14:paraId="643E23B6" w14:textId="77777777" w:rsidR="00F963BF" w:rsidRDefault="00F963BF" w:rsidP="00F963BF"/>
    <w:p w14:paraId="3EECE44B" w14:textId="470F5573" w:rsidR="00F963BF" w:rsidRDefault="00F963BF" w:rsidP="00F963BF">
      <w:r>
        <w:t xml:space="preserve">Projekt FALCON bo razvil in prikazal evropsko družino stroškovno učinkovitih, avtonomnih prežečih bojnih brezpilotnih zrakoplovov in platform brezpilotnih zrakoplovov z zmogljivostjo izvajanja udarov. </w:t>
      </w:r>
      <w:r>
        <w:lastRenderedPageBreak/>
        <w:t xml:space="preserve">Vrednost projekta je ocenjena na 10.295.605 evrov, znotraj katerega pripada slovenskim podjetjem 5.120.811 evrov nepovratnih sredstev Evropske komisije. </w:t>
      </w:r>
    </w:p>
    <w:p w14:paraId="20FEEFA8" w14:textId="77777777" w:rsidR="00F963BF" w:rsidRDefault="00F963BF" w:rsidP="00F963BF"/>
    <w:p w14:paraId="6F3CD4C6" w14:textId="77777777" w:rsidR="00F963BF" w:rsidRDefault="00F963BF" w:rsidP="00F963BF">
      <w:r>
        <w:t>Pri vseh navedenih projektih sofinanciranje s strani Republike Slovenije ne bo potrebno.</w:t>
      </w:r>
    </w:p>
    <w:p w14:paraId="58C81AFE" w14:textId="0BBB9A7B" w:rsidR="004F0D89" w:rsidRDefault="00F963BF" w:rsidP="00F963BF">
      <w:pPr>
        <w:pStyle w:val="Vir"/>
      </w:pPr>
      <w:r>
        <w:t>Vir: Ministrstvo za obrambo</w:t>
      </w:r>
    </w:p>
    <w:p w14:paraId="23FC90A3" w14:textId="4372DE1D" w:rsidR="0049634A" w:rsidRDefault="0049634A" w:rsidP="0049634A">
      <w:pPr>
        <w:pStyle w:val="Naslov2"/>
      </w:pPr>
      <w:r>
        <w:t xml:space="preserve">Memorandum o soglasju med Ministrstvom za visoko šolstvo, znanost in inovacije in Mednarodnim </w:t>
      </w:r>
      <w:proofErr w:type="gramStart"/>
      <w:r>
        <w:t>centrom</w:t>
      </w:r>
      <w:proofErr w:type="gramEnd"/>
      <w:r>
        <w:t xml:space="preserve"> za teoretično fiziko </w:t>
      </w:r>
      <w:proofErr w:type="spellStart"/>
      <w:r>
        <w:t>Abdus</w:t>
      </w:r>
      <w:proofErr w:type="spellEnd"/>
      <w:r>
        <w:t xml:space="preserve"> Salam</w:t>
      </w:r>
    </w:p>
    <w:p w14:paraId="160D3CE9" w14:textId="77777777" w:rsidR="0049634A" w:rsidRDefault="0049634A" w:rsidP="0049634A">
      <w:r>
        <w:t xml:space="preserve">Vlada se je seznanila z nameravanim podpisom Memoranduma o soglasju med Ministrstvom za visoko šolstvo, znanost in inovacije Republike Slovenije in Mednarodnim </w:t>
      </w:r>
      <w:proofErr w:type="gramStart"/>
      <w:r>
        <w:t>centrom</w:t>
      </w:r>
      <w:proofErr w:type="gramEnd"/>
      <w:r>
        <w:t xml:space="preserve"> za teoretično fiziko </w:t>
      </w:r>
      <w:proofErr w:type="spellStart"/>
      <w:r>
        <w:t>Abdus</w:t>
      </w:r>
      <w:proofErr w:type="spellEnd"/>
      <w:r>
        <w:t xml:space="preserve"> Salam. Memorandum bo predstavljal splošen in sistemski okvir za nadaljnje </w:t>
      </w:r>
      <w:proofErr w:type="gramStart"/>
      <w:r>
        <w:t>znanstveno-raziskovalno</w:t>
      </w:r>
      <w:proofErr w:type="gramEnd"/>
      <w:r>
        <w:t xml:space="preserve"> sodelovanje med institucijama na prednostnih področjih, zlasti na področjih umetne inteligence, </w:t>
      </w:r>
      <w:proofErr w:type="spellStart"/>
      <w:r>
        <w:t>superračunalništva</w:t>
      </w:r>
      <w:proofErr w:type="spellEnd"/>
      <w:r>
        <w:t xml:space="preserve">, kvantne znanosti, ved o življenju, fizike delcev, biomolekularnih simulacij ter razvoja baterij in </w:t>
      </w:r>
      <w:proofErr w:type="spellStart"/>
      <w:r>
        <w:t>superkondenzatorjev</w:t>
      </w:r>
      <w:proofErr w:type="spellEnd"/>
      <w:r>
        <w:t xml:space="preserve">. </w:t>
      </w:r>
    </w:p>
    <w:p w14:paraId="14E66D6C" w14:textId="77777777" w:rsidR="0049634A" w:rsidRDefault="0049634A" w:rsidP="0049634A"/>
    <w:p w14:paraId="6700733E" w14:textId="77777777" w:rsidR="0049634A" w:rsidRDefault="0049634A" w:rsidP="0049634A">
      <w:r>
        <w:t xml:space="preserve">Sodelovanje naj bi se izvajalo prek izmenjave informacij, skupnih raziskovalnih </w:t>
      </w:r>
      <w:proofErr w:type="gramStart"/>
      <w:r>
        <w:t>aktivnosti</w:t>
      </w:r>
      <w:proofErr w:type="gramEnd"/>
      <w:r>
        <w:t>, organizacije znanstvenih dogodkov, izmenjave raziskovalcev in strokovnega osebja ter prek drugih dogovorjenih oblik sodelovanja. Memorandum o soglasju ni pravno zavezujoč akt in ne ustvarja pravnih ali finančnih obveznosti, temveč izraža skupno namero za poglabljanje sodelovanja v prihodnje.</w:t>
      </w:r>
    </w:p>
    <w:p w14:paraId="1751F568" w14:textId="77777777" w:rsidR="0049634A" w:rsidRDefault="0049634A" w:rsidP="0049634A"/>
    <w:p w14:paraId="3E404F21" w14:textId="77777777" w:rsidR="0049634A" w:rsidRDefault="0049634A" w:rsidP="0049634A">
      <w:r>
        <w:t xml:space="preserve">Mednarodni center za teoretično fiziko </w:t>
      </w:r>
      <w:proofErr w:type="spellStart"/>
      <w:r>
        <w:t>Abdus</w:t>
      </w:r>
      <w:proofErr w:type="spellEnd"/>
      <w:r>
        <w:t xml:space="preserve"> Salam (ICTP) je bil ustanovljen leta 1964 v Trstu</w:t>
      </w:r>
      <w:proofErr w:type="gramStart"/>
      <w:r>
        <w:t xml:space="preserve">.  </w:t>
      </w:r>
      <w:proofErr w:type="gramEnd"/>
      <w:r>
        <w:t xml:space="preserve">Je ena vodilnih globalnih institucij na področju teoretične fizike in sorodnih znanstvenih disciplin. ICTP izvaja vrhunske raziskave ter obsežen program izobraževanja, gostovanj in znanstvenih dogodkov, s posebnim poudarkom na </w:t>
      </w:r>
      <w:proofErr w:type="gramStart"/>
      <w:r>
        <w:t xml:space="preserve">podpori  </w:t>
      </w:r>
      <w:proofErr w:type="gramEnd"/>
      <w:r>
        <w:t>raziskovalkam in raziskovalcem. Že več let ICTP sodeluje tudi s slovenskimi raziskovalkami in raziskovalci.</w:t>
      </w:r>
    </w:p>
    <w:p w14:paraId="2A1F3C29" w14:textId="77777777" w:rsidR="0049634A" w:rsidRDefault="0049634A" w:rsidP="0049634A">
      <w:pPr>
        <w:pStyle w:val="Vir"/>
      </w:pPr>
      <w:r>
        <w:t xml:space="preserve">Vir: Ministrstvo za visoko šolstvo, znanost in inovacije   </w:t>
      </w:r>
    </w:p>
    <w:p w14:paraId="389D5F78" w14:textId="235A5347" w:rsidR="002A5A58" w:rsidRDefault="002A5A58" w:rsidP="002A5A58">
      <w:pPr>
        <w:pStyle w:val="Naslov2"/>
      </w:pPr>
      <w:r>
        <w:t>Vlada razrešila generalno sekretarko na Ministrstvu za okolje, podnebje in energijo</w:t>
      </w:r>
    </w:p>
    <w:p w14:paraId="0A1AA919" w14:textId="2B993458" w:rsidR="002A5A58" w:rsidRDefault="002A5A58" w:rsidP="002A5A58">
      <w:r>
        <w:t>Vlada je razrešila generalno sekretarko Ministrstva za okolje, podnebje in energijo mag. Tejo Božovič Holc z 31. marcem 2026.</w:t>
      </w:r>
    </w:p>
    <w:p w14:paraId="0B53ADBD" w14:textId="3BD5DDA1" w:rsidR="0049634A" w:rsidRDefault="002A5A58" w:rsidP="002A5A58">
      <w:pPr>
        <w:pStyle w:val="Vir"/>
      </w:pPr>
      <w:r>
        <w:t>Vir: Ministrstvo za okolje, podnebje in energijo</w:t>
      </w:r>
    </w:p>
    <w:p w14:paraId="444757F2" w14:textId="6CAC3C77" w:rsidR="0049634A" w:rsidRDefault="0049634A" w:rsidP="0049634A">
      <w:pPr>
        <w:pStyle w:val="Naslov2"/>
      </w:pPr>
      <w:r>
        <w:t>Vlada podala soglasje k imenovanju direktorja Zavoda za šport Republike Slovenije Planica</w:t>
      </w:r>
    </w:p>
    <w:p w14:paraId="0005C4BF" w14:textId="77777777" w:rsidR="0049634A" w:rsidRDefault="0049634A" w:rsidP="0049634A">
      <w:r>
        <w:t>Vlada je podala soglasje k imenovanju dr. Francija Petka za direktorja Zavoda za šport Republike Slovenije Planica za mandatno obdobje petih let.</w:t>
      </w:r>
    </w:p>
    <w:p w14:paraId="78598117" w14:textId="77777777" w:rsidR="0049634A" w:rsidRDefault="0049634A" w:rsidP="0049634A"/>
    <w:p w14:paraId="1CBA47EB" w14:textId="77777777" w:rsidR="0049634A" w:rsidRDefault="0049634A" w:rsidP="0049634A">
      <w:r>
        <w:t xml:space="preserve">Dr. Franci Petek je </w:t>
      </w:r>
      <w:proofErr w:type="gramStart"/>
      <w:r>
        <w:t>doktor</w:t>
      </w:r>
      <w:proofErr w:type="gramEnd"/>
      <w:r>
        <w:t xml:space="preserve"> geografskih znanosti, nekdanji vrhunski športnik in dolgoletni športni delavec z bogatimi izkušnjami na področju vodenja športnih organizacij. Kot nekdanji svetovni prvak v smučarskih skokih in udeleženec </w:t>
      </w:r>
      <w:proofErr w:type="gramStart"/>
      <w:r>
        <w:t>dveh</w:t>
      </w:r>
      <w:proofErr w:type="gramEnd"/>
      <w:r>
        <w:t xml:space="preserve"> olimpijskih iger dobro pozna vrhunski šport tako z vidika tekmovalca kot tudi z vidika sistemskega razvoja panoge.</w:t>
      </w:r>
    </w:p>
    <w:p w14:paraId="3165CDAD" w14:textId="77777777" w:rsidR="0049634A" w:rsidRDefault="0049634A" w:rsidP="0049634A"/>
    <w:p w14:paraId="29902E61" w14:textId="77777777" w:rsidR="0049634A" w:rsidRDefault="0049634A" w:rsidP="0049634A">
      <w:r>
        <w:t xml:space="preserve">V preteklih letih je opravljal več vodstvenih </w:t>
      </w:r>
      <w:proofErr w:type="gramStart"/>
      <w:r>
        <w:t>funkcij</w:t>
      </w:r>
      <w:proofErr w:type="gramEnd"/>
      <w:r>
        <w:t xml:space="preserve"> v slovenskem športu. Med drugim je bil direktor Smučarske zveze Slovenije ter vodja panoge smučarski skoki in nordijska kombinacija, kjer je soustvarjal organizacijski in razvojni model panoge. Od leta 2021 vodi Zavod za šport Republike Slovenije Planica, ki upravlja Nordijski </w:t>
      </w:r>
      <w:proofErr w:type="gramStart"/>
      <w:r>
        <w:t>center</w:t>
      </w:r>
      <w:proofErr w:type="gramEnd"/>
      <w:r>
        <w:t xml:space="preserve"> Planica – eno najpomembnejših športnih infrastrukturnih objektov v državi.</w:t>
      </w:r>
    </w:p>
    <w:p w14:paraId="1B50127C" w14:textId="77777777" w:rsidR="0049634A" w:rsidRDefault="0049634A" w:rsidP="0049634A"/>
    <w:p w14:paraId="69E1F151" w14:textId="77777777" w:rsidR="0049634A" w:rsidRDefault="0049634A" w:rsidP="0049634A">
      <w:r>
        <w:lastRenderedPageBreak/>
        <w:t>Pod njegovim vodstvom je zavod nadaljeval razvoj infrastrukturnih in programskih dejavnosti, pomembno prispeval k uspešni kandidaturi za organizacijo svetovnega prvenstva v nordijskih disciplinah ter krepil stabilno in odgovorno upravljanje javnega zavoda.</w:t>
      </w:r>
    </w:p>
    <w:p w14:paraId="1BF39B33" w14:textId="77777777" w:rsidR="0049634A" w:rsidRDefault="0049634A" w:rsidP="0049634A"/>
    <w:p w14:paraId="6B95C725" w14:textId="77777777" w:rsidR="0049634A" w:rsidRDefault="0049634A" w:rsidP="0049634A">
      <w:r>
        <w:t>Svet Zavoda za šport Republike Slovenije Planica je dr. Petka imenoval na podlagi javnega razpisa in izvedenega izbirnega postopka. V skladu z Zakonom o zavodih mora k imenovanju direktorja javnega zavoda soglasje podati ustanovitelj, to je Vlada Republike Slovenije.</w:t>
      </w:r>
    </w:p>
    <w:p w14:paraId="6C05CB8D" w14:textId="77777777" w:rsidR="0049634A" w:rsidRDefault="0049634A" w:rsidP="0049634A"/>
    <w:p w14:paraId="355EDCD4" w14:textId="77777777" w:rsidR="0049634A" w:rsidRDefault="0049634A" w:rsidP="0049634A">
      <w:r>
        <w:t xml:space="preserve">Z današnjim sklepom vlada zagotavlja kontinuiteto strokovnega in razvojnega dela zavoda ter nadaljnjo krepitev vloge Planice kot nacionalnega in mednarodno prepoznavnega športnega </w:t>
      </w:r>
      <w:proofErr w:type="gramStart"/>
      <w:r>
        <w:t>centra</w:t>
      </w:r>
      <w:proofErr w:type="gramEnd"/>
      <w:r>
        <w:t>.</w:t>
      </w:r>
    </w:p>
    <w:p w14:paraId="134A8D8E" w14:textId="77777777" w:rsidR="0049634A" w:rsidRDefault="0049634A" w:rsidP="0049634A">
      <w:pPr>
        <w:pStyle w:val="Vir"/>
      </w:pPr>
      <w:r>
        <w:t>Vir: Ministrstvo za gospodarstvo, turizem in šport</w:t>
      </w:r>
    </w:p>
    <w:p w14:paraId="2E254093" w14:textId="34CB074F" w:rsidR="0049634A" w:rsidRDefault="0049634A" w:rsidP="0049634A">
      <w:pPr>
        <w:pStyle w:val="Naslov2"/>
      </w:pPr>
      <w:r>
        <w:t>Vlada imenovala svoje predstavnike v svet Inštituta za socialno varstvo</w:t>
      </w:r>
    </w:p>
    <w:p w14:paraId="662B25E3" w14:textId="77777777" w:rsidR="0049634A" w:rsidRDefault="0049634A" w:rsidP="0049634A">
      <w:r>
        <w:t>V svet javnega zavoda Inštitut Republike Slovenije za socialno varstvo se za mandatno dobo štirih let, in sicer od ustanovitvene seje javnega zavoda, kot predstavniki ustanovitelja imenujejo:</w:t>
      </w:r>
    </w:p>
    <w:p w14:paraId="2059512E" w14:textId="77777777" w:rsidR="0049634A" w:rsidRDefault="0049634A" w:rsidP="0049634A">
      <w:r>
        <w:t>Polona Kovač, Gorazd Kovačič, Lidija Bolčina in Katja Simončič.</w:t>
      </w:r>
    </w:p>
    <w:p w14:paraId="1D8C11C7" w14:textId="77777777" w:rsidR="0049634A" w:rsidRDefault="0049634A" w:rsidP="0049634A"/>
    <w:p w14:paraId="2192BE63" w14:textId="77777777" w:rsidR="0049634A" w:rsidRDefault="0049634A" w:rsidP="0049634A">
      <w:r>
        <w:t>Sedanjim članom predstavnikov ustanovitelja mandat v upravnem odboru poteče dne 31. marca 2026 oziroma s konstituiranjem novega sveta inštituta, zato je treba imenovati predstavnike ustanovitelja v svet inštituta.</w:t>
      </w:r>
    </w:p>
    <w:p w14:paraId="159E8D32" w14:textId="77777777" w:rsidR="0049634A" w:rsidRDefault="0049634A" w:rsidP="0049634A">
      <w:pPr>
        <w:pStyle w:val="Vir"/>
      </w:pPr>
      <w:r>
        <w:t>Vir: Ministrstvo za delo, družino, socialne zadeve in enake možnosti</w:t>
      </w:r>
    </w:p>
    <w:p w14:paraId="7E9B7799" w14:textId="4C559D84" w:rsidR="0049634A" w:rsidRDefault="0049634A" w:rsidP="0049634A">
      <w:pPr>
        <w:pStyle w:val="Naslov2"/>
      </w:pPr>
      <w:r>
        <w:t>Vlada imenovala nadomestnega člana v odbor pokojninskega sklada javnih uslužbencev</w:t>
      </w:r>
    </w:p>
    <w:p w14:paraId="2D4830E1" w14:textId="77777777" w:rsidR="0049634A" w:rsidRDefault="0049634A" w:rsidP="0049634A">
      <w:r>
        <w:t>Vlada Republike Slovenije je za preostanek mandata, in sicer do 8. julija 2026, kot predstavnico reprezentativnih sindikatov javnega sektorja v odboru Krovnega pokojninskega sklada javnih uslužbencev imenovala Sonjo Barl, Sindikat delavcev v vzgojni, izobraževalni in raziskovalni dejavnosti Slovenije.</w:t>
      </w:r>
    </w:p>
    <w:p w14:paraId="4587EACD" w14:textId="77777777" w:rsidR="0049634A" w:rsidRDefault="0049634A" w:rsidP="0049634A">
      <w:pPr>
        <w:pStyle w:val="Vir"/>
      </w:pPr>
      <w:r>
        <w:t>Vir: Ministrstvo za delo, družino, socialne zadeve in enake možnosti</w:t>
      </w:r>
    </w:p>
    <w:p w14:paraId="0A4783C2" w14:textId="2FDC05FA" w:rsidR="0049634A" w:rsidRDefault="0049634A" w:rsidP="0049634A">
      <w:pPr>
        <w:pStyle w:val="Naslov2"/>
      </w:pPr>
      <w:r>
        <w:t xml:space="preserve">Imenovanja nacionalnih predstavnikov v načrtovalne skupine Natovega Odbora za odpornost </w:t>
      </w:r>
    </w:p>
    <w:p w14:paraId="74964F50" w14:textId="77777777" w:rsidR="0049634A" w:rsidRDefault="0049634A" w:rsidP="0049634A">
      <w:r>
        <w:t>Vlada je za spremljanje vsebin v načrtovalnih skupinah Natovega Odbora za odpornost in njihovih podskupinah imenovala nacionalne predstavnike iz pristojnih resorjev in njihove namestnike, glede na vsebine, ki jih posamezne skupine oz. podskupine pokrivajo, in sicer v</w:t>
      </w:r>
    </w:p>
    <w:p w14:paraId="456DA5DA" w14:textId="77777777" w:rsidR="0049634A" w:rsidRDefault="0049634A" w:rsidP="0049634A">
      <w:pPr>
        <w:pStyle w:val="Odstavekseznama"/>
        <w:numPr>
          <w:ilvl w:val="0"/>
          <w:numId w:val="17"/>
        </w:numPr>
      </w:pPr>
      <w:r>
        <w:t>Skupino za civilno zaščito (</w:t>
      </w:r>
      <w:proofErr w:type="gramStart"/>
      <w:r>
        <w:t>Civil</w:t>
      </w:r>
      <w:proofErr w:type="gramEnd"/>
      <w:r>
        <w:t xml:space="preserve"> </w:t>
      </w:r>
      <w:proofErr w:type="spellStart"/>
      <w:r>
        <w:t>Protection</w:t>
      </w:r>
      <w:proofErr w:type="spellEnd"/>
      <w:r>
        <w:t xml:space="preserve"> Group),</w:t>
      </w:r>
    </w:p>
    <w:p w14:paraId="1A80645B" w14:textId="77777777" w:rsidR="0049634A" w:rsidRDefault="0049634A" w:rsidP="0049634A">
      <w:pPr>
        <w:pStyle w:val="Odstavekseznama"/>
        <w:numPr>
          <w:ilvl w:val="0"/>
          <w:numId w:val="17"/>
        </w:numPr>
      </w:pPr>
      <w:r>
        <w:t>Načrtovalno skupino za civilne komunikacije (</w:t>
      </w:r>
      <w:proofErr w:type="gramStart"/>
      <w:r>
        <w:t>Civil</w:t>
      </w:r>
      <w:proofErr w:type="gramEnd"/>
      <w:r>
        <w:t xml:space="preserve"> Communications </w:t>
      </w:r>
      <w:proofErr w:type="spellStart"/>
      <w:r>
        <w:t>Planning</w:t>
      </w:r>
      <w:proofErr w:type="spellEnd"/>
      <w:r>
        <w:t xml:space="preserve"> Group), </w:t>
      </w:r>
    </w:p>
    <w:p w14:paraId="4A96A776" w14:textId="77777777" w:rsidR="0049634A" w:rsidRDefault="0049634A" w:rsidP="0049634A">
      <w:pPr>
        <w:pStyle w:val="Odstavekseznama"/>
        <w:numPr>
          <w:ilvl w:val="0"/>
          <w:numId w:val="17"/>
        </w:numPr>
      </w:pPr>
      <w:r>
        <w:t xml:space="preserve">Načrtovalno skupino za energijo (Energy </w:t>
      </w:r>
      <w:proofErr w:type="spellStart"/>
      <w:r>
        <w:t>Planning</w:t>
      </w:r>
      <w:proofErr w:type="spellEnd"/>
      <w:r>
        <w:t xml:space="preserve"> Group),</w:t>
      </w:r>
    </w:p>
    <w:p w14:paraId="10A340BF" w14:textId="77777777" w:rsidR="0049634A" w:rsidRDefault="0049634A" w:rsidP="0049634A">
      <w:pPr>
        <w:pStyle w:val="Odstavekseznama"/>
        <w:numPr>
          <w:ilvl w:val="0"/>
          <w:numId w:val="17"/>
        </w:numPr>
      </w:pPr>
      <w:r>
        <w:t xml:space="preserve">Načrtovalno skupino za hrano in kmetijstvo (Food </w:t>
      </w:r>
      <w:proofErr w:type="gramStart"/>
      <w:r>
        <w:t>and</w:t>
      </w:r>
      <w:proofErr w:type="gramEnd"/>
      <w:r>
        <w:t xml:space="preserve"> </w:t>
      </w:r>
      <w:proofErr w:type="spellStart"/>
      <w:r>
        <w:t>Agriculture</w:t>
      </w:r>
      <w:proofErr w:type="spellEnd"/>
      <w:r>
        <w:t xml:space="preserve"> </w:t>
      </w:r>
      <w:proofErr w:type="spellStart"/>
      <w:r>
        <w:t>Planning</w:t>
      </w:r>
      <w:proofErr w:type="spellEnd"/>
      <w:r>
        <w:t xml:space="preserve"> Group),</w:t>
      </w:r>
    </w:p>
    <w:p w14:paraId="61F7A1EC" w14:textId="77777777" w:rsidR="0049634A" w:rsidRDefault="0049634A" w:rsidP="0049634A">
      <w:pPr>
        <w:pStyle w:val="Odstavekseznama"/>
        <w:numPr>
          <w:ilvl w:val="0"/>
          <w:numId w:val="17"/>
        </w:numPr>
      </w:pPr>
      <w:r>
        <w:t>Združeno skupino za zdravstvo (</w:t>
      </w:r>
      <w:proofErr w:type="spellStart"/>
      <w:proofErr w:type="gramStart"/>
      <w:r>
        <w:t>Joint</w:t>
      </w:r>
      <w:proofErr w:type="spellEnd"/>
      <w:proofErr w:type="gramEnd"/>
      <w:r>
        <w:t xml:space="preserve"> Health Group),</w:t>
      </w:r>
    </w:p>
    <w:p w14:paraId="740BBFF6" w14:textId="77777777" w:rsidR="0049634A" w:rsidRDefault="0049634A" w:rsidP="0049634A">
      <w:pPr>
        <w:pStyle w:val="Odstavekseznama"/>
        <w:numPr>
          <w:ilvl w:val="0"/>
          <w:numId w:val="17"/>
        </w:numPr>
      </w:pPr>
      <w:r>
        <w:t>Skupino za transport (Transport Group),</w:t>
      </w:r>
    </w:p>
    <w:p w14:paraId="01D0296C" w14:textId="77777777" w:rsidR="0049634A" w:rsidRDefault="0049634A" w:rsidP="0049634A">
      <w:pPr>
        <w:pStyle w:val="Odstavekseznama"/>
        <w:numPr>
          <w:ilvl w:val="0"/>
          <w:numId w:val="17"/>
        </w:numPr>
      </w:pPr>
      <w:r>
        <w:t xml:space="preserve">Skupino za civilno letalstvo v Skupini za transport (Transport Group </w:t>
      </w:r>
      <w:proofErr w:type="gramStart"/>
      <w:r>
        <w:t>Civil</w:t>
      </w:r>
      <w:proofErr w:type="gramEnd"/>
      <w:r>
        <w:t xml:space="preserve"> Aviation),</w:t>
      </w:r>
    </w:p>
    <w:p w14:paraId="29D1BAD3" w14:textId="77777777" w:rsidR="0049634A" w:rsidRDefault="0049634A" w:rsidP="0049634A">
      <w:pPr>
        <w:pStyle w:val="Odstavekseznama"/>
        <w:numPr>
          <w:ilvl w:val="0"/>
          <w:numId w:val="17"/>
        </w:numPr>
      </w:pPr>
      <w:r>
        <w:t>Skupino za pomorski promet v Skupini za transport (Transport Group Ocean Shipping),</w:t>
      </w:r>
    </w:p>
    <w:p w14:paraId="6DF8F908" w14:textId="77777777" w:rsidR="0049634A" w:rsidRDefault="0049634A" w:rsidP="0049634A">
      <w:pPr>
        <w:pStyle w:val="Odstavekseznama"/>
        <w:numPr>
          <w:ilvl w:val="0"/>
          <w:numId w:val="17"/>
        </w:numPr>
      </w:pPr>
      <w:r>
        <w:t xml:space="preserve">Skupino za kopenski promet v Skupini za transport (Transport Group </w:t>
      </w:r>
      <w:proofErr w:type="spellStart"/>
      <w:r>
        <w:t>Inland</w:t>
      </w:r>
      <w:proofErr w:type="spellEnd"/>
      <w:r>
        <w:t xml:space="preserve"> </w:t>
      </w:r>
      <w:proofErr w:type="spellStart"/>
      <w:r>
        <w:t>Surface</w:t>
      </w:r>
      <w:proofErr w:type="spellEnd"/>
      <w:r>
        <w:t>).</w:t>
      </w:r>
    </w:p>
    <w:p w14:paraId="0376AA96" w14:textId="77777777" w:rsidR="0049634A" w:rsidRDefault="0049634A" w:rsidP="0049634A"/>
    <w:p w14:paraId="7A7AE793" w14:textId="77777777" w:rsidR="0049634A" w:rsidRDefault="0049634A" w:rsidP="0049634A">
      <w:r>
        <w:t>Nacionalni predstavniki v načrtovalnih skupinah in podskupinah so predlagani s strani pristojnih ministrstev.</w:t>
      </w:r>
    </w:p>
    <w:p w14:paraId="5812DD40" w14:textId="77777777" w:rsidR="0049634A" w:rsidRDefault="0049634A" w:rsidP="0049634A">
      <w:pPr>
        <w:pStyle w:val="Vir"/>
      </w:pPr>
      <w:r>
        <w:t>Vir: Ministrstvo za obrambo</w:t>
      </w:r>
    </w:p>
    <w:p w14:paraId="58311C65" w14:textId="5A6C69F6" w:rsidR="0092632C" w:rsidRDefault="0092632C" w:rsidP="0092632C">
      <w:pPr>
        <w:pStyle w:val="Naslov2"/>
      </w:pPr>
      <w:r>
        <w:lastRenderedPageBreak/>
        <w:t>Vlada potrdila spremembo sestave Komisije za odpravo posledic naravnih nesreč na stvareh</w:t>
      </w:r>
    </w:p>
    <w:p w14:paraId="7F78E060" w14:textId="7038D7C0" w:rsidR="0092632C" w:rsidRDefault="0092632C" w:rsidP="0092632C">
      <w:r>
        <w:t>Na podlagi Zakona o odpravi posledic naravnih nesreč (ZOPNN) je vlada januarja izdala Odlok o ustanovitvi Komisije za odpravo posledic naravnih nesreč na stvareh. Glede na to, da so se v obdobju od imenovanja Komisije v letu 2008 do danes spremenile določbe ZOPNN, organizacija ter poimenovanje državnih organov in organov v sestavi kot tudi kadrovske spremembe v organih, je bilo treba v Komisiji na novo določiti člane in njihove namestnike.</w:t>
      </w:r>
    </w:p>
    <w:p w14:paraId="5B44D236" w14:textId="77777777" w:rsidR="0092632C" w:rsidRDefault="0092632C" w:rsidP="0092632C"/>
    <w:p w14:paraId="7A414DE3" w14:textId="77777777" w:rsidR="0092632C" w:rsidRDefault="0092632C" w:rsidP="0092632C">
      <w:r>
        <w:t>Komisijo sestavlja sedem članic ali članov naslednjih ministrstev: en predstavnik ministrstva, pristojnega za varstvo pred naravnimi in drugimi nesrečami, en predstavnik ministrstva, pristojnega za promet, s področja obnove poškodovane prometne infrastrukture, en predstavnik ministrstva, pristojnega za kulturno dediščino, en predstavnik ministrstva, pristojnega za finance, en predstavnik ministrstva, pristojnega za kmetijstvo in gozdarstvo, s področja obnove kmetijskih gospodarskih objektov, gozdov, gozdnih cest in kmetijskih zemljišč ter po en predstavnik ministrstva, pristojnega za okolje s področja monitoringa naravnih pojavov</w:t>
      </w:r>
      <w:proofErr w:type="gramStart"/>
      <w:r>
        <w:t>,</w:t>
      </w:r>
      <w:proofErr w:type="gramEnd"/>
      <w:r>
        <w:t xml:space="preserve"> in ministrstva, pristojnega za naravne vire, s področja priprave in izvedbe programov odprave posledic naravnih nesreč na stvareh. Za vsakega člana Komisije se imenuje tudi njegovega namestnika, ki je predstavnik istega ministrstva, kot je član Komisije. Komisiji predseduje predstavnik ministrstva, pristojnega za naravne vire. </w:t>
      </w:r>
    </w:p>
    <w:p w14:paraId="3655E95D" w14:textId="77777777" w:rsidR="0092632C" w:rsidRDefault="0092632C" w:rsidP="0092632C"/>
    <w:p w14:paraId="18E65DD8" w14:textId="77777777" w:rsidR="0092632C" w:rsidRDefault="0092632C" w:rsidP="0092632C">
      <w:r>
        <w:t xml:space="preserve">V komisiji se tako nadomestijo določeni člani in imenujejo drugi, zato je vlada s sklepom imenuje kot člana Ministrstva za okolje, podnebje in energijo, Agencija Republike Slovenije za okolje, mag. Gregorja Slugo, kot članico Ministrstva za obrambo, Uprava Republike Slovenije za zaščito in reševanje, imenuje Ano Jakšič, kot člana Ministrstva za infrastrukturo imenuje </w:t>
      </w:r>
      <w:proofErr w:type="spellStart"/>
      <w:proofErr w:type="gramStart"/>
      <w:r>
        <w:t>Benota</w:t>
      </w:r>
      <w:proofErr w:type="spellEnd"/>
      <w:proofErr w:type="gramEnd"/>
      <w:r>
        <w:t xml:space="preserve"> Fekonjo, kot članico Ministrstva za kmetijstvo, gozdarstvo in prehrano imenuje Vesno Stradar, kot članico Ministrstva za finance imenuje Katjo Lisec, kot namestnika Ministrstva za okolje, podnebje in energijo, Agencija Republike Slovenije za okolje, imenuje mag. Nejca Pogačnika, kot namestnika Ministrstva za obrambo, Uprava Republike Slovenije za zaščito in reševanje, imenuje Rudolfa Goloba, kot namestnico Ministrstva za infrastrukturo, Direkcija Republike Slovenije za infrastrukturo, imenuje Simonko Šraj, kot namestnika Ministrstva za kmetijstvo, gozdarstvo in prehrano imenuje Aleša Pregla, kot namestnika Ministrstva za finance imenuje Zorana Barjaktarevića in kot namestnika Ministrstva za kulturo imenuje dr. Marka Srako.</w:t>
      </w:r>
    </w:p>
    <w:p w14:paraId="66BEBAFC" w14:textId="7A04DE83" w:rsidR="0049634A" w:rsidRDefault="0092632C" w:rsidP="0092632C">
      <w:pPr>
        <w:pStyle w:val="Vir"/>
      </w:pPr>
      <w:r w:rsidRPr="0092632C">
        <w:t>Vir: Ministrstvo za naravne vire in prostor</w:t>
      </w:r>
    </w:p>
    <w:p w14:paraId="466D9A9F" w14:textId="2FB0508A" w:rsidR="0049634A" w:rsidRDefault="0049634A" w:rsidP="0049634A">
      <w:pPr>
        <w:pStyle w:val="Naslov2"/>
      </w:pPr>
      <w:r>
        <w:t>Sprememba Skupnega kadrovskega načrta organov državne uprave za leti 2025 in 2026</w:t>
      </w:r>
    </w:p>
    <w:p w14:paraId="75D1987B" w14:textId="77777777" w:rsidR="0049634A" w:rsidRDefault="0049634A" w:rsidP="0049634A">
      <w:r>
        <w:t xml:space="preserve">Skupni kadrovski načrt (SKN) organov državne uprave za leti 2025 in 2026 se zaradi trajnega prenosa kvot spremeni tako, da se postavka Nerazporejeno zmanjša za štiri kvote, dovoljeno število zaposlitev v kadrovskem načrtu za vladne službe, odgovorne generalnemu sekretarju Vlade Republike Slovenije, pa se poveča za štiri zaposlitve. Dodatne kvote so namenjene za izvajanje dodatnih nalog Generalnega sekretariata Vlade RS za potrebe klicnega </w:t>
      </w:r>
      <w:proofErr w:type="gramStart"/>
      <w:r>
        <w:t>centra</w:t>
      </w:r>
      <w:proofErr w:type="gramEnd"/>
      <w:r>
        <w:t xml:space="preserve"> 114. </w:t>
      </w:r>
    </w:p>
    <w:p w14:paraId="04D394E8" w14:textId="77777777" w:rsidR="0049634A" w:rsidRDefault="0049634A" w:rsidP="0049634A"/>
    <w:p w14:paraId="44044340" w14:textId="77777777" w:rsidR="0049634A" w:rsidRDefault="0049634A" w:rsidP="0049634A">
      <w:r>
        <w:t>Zaradi omenjenih prenosov kvot skupno število zaposlitev v SKN ostaja nespremenjeno. Sredstva za prenose kvot zagotovi proračunski uporabnik v okviru sredstev za stroške dela v svojem finančnem načrtu.</w:t>
      </w:r>
    </w:p>
    <w:p w14:paraId="7294C637" w14:textId="77777777" w:rsidR="0049634A" w:rsidRDefault="0049634A" w:rsidP="0049634A">
      <w:pPr>
        <w:pStyle w:val="Vir"/>
      </w:pPr>
      <w:r>
        <w:t>Vir: Ministrstvo za javno upravo</w:t>
      </w:r>
    </w:p>
    <w:p w14:paraId="50850F43" w14:textId="61E4BF80" w:rsidR="0049634A" w:rsidRDefault="0049634A" w:rsidP="0049634A">
      <w:pPr>
        <w:pStyle w:val="Naslov2"/>
      </w:pPr>
      <w:r>
        <w:t>I</w:t>
      </w:r>
      <w:r w:rsidRPr="00DD7B40">
        <w:t>menovanj</w:t>
      </w:r>
      <w:r>
        <w:t>e</w:t>
      </w:r>
      <w:r w:rsidRPr="00DD7B40">
        <w:t xml:space="preserve"> predstavnice Republike Slovenije in nadomestne predstavnice v upravnem odboru </w:t>
      </w:r>
      <w:proofErr w:type="spellStart"/>
      <w:r w:rsidRPr="00DD7B40">
        <w:t>Eurimages</w:t>
      </w:r>
      <w:proofErr w:type="spellEnd"/>
    </w:p>
    <w:p w14:paraId="1BA74ABE" w14:textId="77777777" w:rsidR="0049634A" w:rsidRDefault="0049634A" w:rsidP="0049634A">
      <w:r>
        <w:lastRenderedPageBreak/>
        <w:t xml:space="preserve">Vlada je za mandatno dobo štirih let za predstavnico Republike Slovenije v upravnem odboru </w:t>
      </w:r>
      <w:proofErr w:type="spellStart"/>
      <w:r>
        <w:t>Eurimages</w:t>
      </w:r>
      <w:proofErr w:type="spellEnd"/>
      <w:r>
        <w:t xml:space="preserve"> imenovala Natašo Bučar in za nadomestno predstavnico Republike Slovenije v upravnem odboru </w:t>
      </w:r>
      <w:proofErr w:type="spellStart"/>
      <w:r>
        <w:t>Eurimages</w:t>
      </w:r>
      <w:proofErr w:type="spellEnd"/>
      <w:r>
        <w:t xml:space="preserve"> Ireno </w:t>
      </w:r>
      <w:proofErr w:type="gramStart"/>
      <w:r>
        <w:t>Ostrouško</w:t>
      </w:r>
      <w:proofErr w:type="gramEnd"/>
      <w:r>
        <w:t>.</w:t>
      </w:r>
    </w:p>
    <w:p w14:paraId="7BEB26D9" w14:textId="77777777" w:rsidR="0049634A" w:rsidRDefault="0049634A" w:rsidP="0049634A">
      <w:r>
        <w:t xml:space="preserve">S 27. januarjem 2026 se je iztekel mandat Nine Ukmar kot predstavnice RS v Upravnem odboru </w:t>
      </w:r>
      <w:proofErr w:type="spellStart"/>
      <w:r>
        <w:t>Eurimages</w:t>
      </w:r>
      <w:proofErr w:type="spellEnd"/>
      <w:r>
        <w:t xml:space="preserve"> ter mandat nadomestne predstavnice v Upravnem odboru </w:t>
      </w:r>
      <w:proofErr w:type="spellStart"/>
      <w:r>
        <w:t>Eurimages</w:t>
      </w:r>
      <w:proofErr w:type="spellEnd"/>
      <w:r>
        <w:t xml:space="preserve">. Za naslednje štiriletno mandatno obdobje je za nacionalno predstavnico v Upravnem odboru vlada imenovala Natašo Bučar, direktorico Slovenskega filmskega centra, javne agencije Republike Slovenije. Za nadomestno predstavnico je vlada imenovala </w:t>
      </w:r>
      <w:proofErr w:type="gramStart"/>
      <w:r>
        <w:t>Ireno</w:t>
      </w:r>
      <w:proofErr w:type="gramEnd"/>
      <w:r>
        <w:t xml:space="preserve"> Ostrouško, sekretarko v Direktoratu za medije Ministrstva za kulturo. </w:t>
      </w:r>
    </w:p>
    <w:p w14:paraId="073E4C25" w14:textId="77777777" w:rsidR="0049634A" w:rsidRDefault="0049634A" w:rsidP="0049634A"/>
    <w:p w14:paraId="7BFBDDE9" w14:textId="77777777" w:rsidR="0049634A" w:rsidRDefault="0049634A" w:rsidP="0049634A">
      <w:r>
        <w:t xml:space="preserve">Nataša Bučar je od leta 2016 direktorica Slovenskega filmskega centra, javne agencije Republike Slovenije. Je strokovnjakinja za področje filma z bogatimi izkušnjami v domačem kot mednarodnem filmskem in avdiovizualnem sektorju. Svojo karierno pot je začela kot vodja projekta Mednarodnega filmskega festivala </w:t>
      </w:r>
      <w:proofErr w:type="spellStart"/>
      <w:r>
        <w:t>LIFFe</w:t>
      </w:r>
      <w:proofErr w:type="spellEnd"/>
      <w:r>
        <w:t xml:space="preserve"> v Ljubljani, sodelovala je pri dejavnosti distribucije </w:t>
      </w:r>
      <w:proofErr w:type="gramStart"/>
      <w:r>
        <w:t>art</w:t>
      </w:r>
      <w:proofErr w:type="gramEnd"/>
      <w:r>
        <w:t xml:space="preserve"> filmov v Cankarjevem domu. Bila je direktorica Festivala slovenskega filma in pomočnica direktorja Filmskega sklada Republike Slovenije, javnega sklada, nato generalna direktorica Direktorata za medije na Ministrstvu za kulturo. Leta 2016 se je kot strokovnjakinja za trženje pridružila javnemu zavodu Kinodvoru, prav tako leta 2016 je bila imenovana za direktorico Slovenskega filmskega centra, javne agencije Republike Slovenije. Njeno delo se osredotoča na podporo nacionalni filmski produkciji, promocijo slovenske kinematografije v tujini ter krepitev položaja Slovenije v evropski in svetovni filmski industriji. V priznanje njenega strateškega vodenja in dolgoročne vizije je bila ponovno imenovana na to mesto za drugi mandat. V svoji več kot 20-letni karieri na področju filmske umetnosti je razvila širok nabor kompetenc, vključno s strateškim vodenjem, razvojem filmskih politik, mednarodnimi odnosi, financiranjem in distribucijo filmov, vodenjem mednarodnih projektov, komunikacijo z različnimi mednarodnimi deležniki idr. Je aktivna članica upravnega odbora Združenja direktorjev evropskih filmskih agencij (EFAD) in članica Evropske filmske akademije (EFA), kar odraža njeno močno angažiranost pri mednarodnem sodelovanju ter spodbujanju trajnostnega in mednarodno povezanega filmskega ekosistema.</w:t>
      </w:r>
    </w:p>
    <w:p w14:paraId="087D35E0" w14:textId="77777777" w:rsidR="0049634A" w:rsidRDefault="0049634A" w:rsidP="0049634A"/>
    <w:p w14:paraId="46887A29" w14:textId="77777777" w:rsidR="0049634A" w:rsidRDefault="0049634A" w:rsidP="0049634A">
      <w:r>
        <w:t xml:space="preserve">Irena Ostrouška v okviru Direktorata za medije pokriva avdiovizualno in filmsko področje. Po izobrazbi je univ. dipl. profesor primerjalne književnosti in literarne teorije ter francoskega jezika. Bila je že nadomestna predstavnica v upravnem odboru </w:t>
      </w:r>
      <w:proofErr w:type="spellStart"/>
      <w:r>
        <w:t>Eurimages</w:t>
      </w:r>
      <w:proofErr w:type="spellEnd"/>
      <w:r>
        <w:t xml:space="preserve">. V okviru dela Direktorata za medije pokriva avdiovizualno področje in medije ter sodeluje v delovnih skupinah Sveta EU, vezanih na predmetno področje. </w:t>
      </w:r>
    </w:p>
    <w:p w14:paraId="7CC3620A" w14:textId="77777777" w:rsidR="0049634A" w:rsidRDefault="0049634A" w:rsidP="0049634A"/>
    <w:p w14:paraId="6E951018" w14:textId="77777777" w:rsidR="0049634A" w:rsidRDefault="0049634A" w:rsidP="0049634A">
      <w:r>
        <w:t xml:space="preserve">Slovenija je podpisnica delnega sporazuma Sveta Evrope za ustanovitev sklada </w:t>
      </w:r>
      <w:proofErr w:type="spellStart"/>
      <w:r>
        <w:t>Eurimages</w:t>
      </w:r>
      <w:proofErr w:type="spellEnd"/>
      <w:r>
        <w:t>, ki deluje kot sklad Sveta Evrope za koprodukcijo, distribucijo in prikazovanje evropskih kinematografskih del.</w:t>
      </w:r>
    </w:p>
    <w:p w14:paraId="6797494D" w14:textId="77777777" w:rsidR="0049634A" w:rsidRDefault="0049634A" w:rsidP="0049634A">
      <w:pPr>
        <w:pStyle w:val="Vir"/>
      </w:pPr>
      <w:r>
        <w:t>Vir: Ministrstvo za kulturo</w:t>
      </w:r>
    </w:p>
    <w:p w14:paraId="31E3EE0F" w14:textId="375EADF9" w:rsidR="0049634A" w:rsidRDefault="003C7638" w:rsidP="002A50D0">
      <w:pPr>
        <w:pStyle w:val="Naslov2"/>
      </w:pPr>
      <w:r w:rsidRPr="003C7638">
        <w:t xml:space="preserve"> </w:t>
      </w:r>
      <w:r w:rsidR="002A50D0">
        <w:t>I</w:t>
      </w:r>
      <w:r w:rsidRPr="003C7638">
        <w:t>menovanj</w:t>
      </w:r>
      <w:r w:rsidR="002A50D0">
        <w:t>e</w:t>
      </w:r>
      <w:r w:rsidRPr="003C7638">
        <w:t xml:space="preserve"> vršilke dolžnosti direktorja Urada Republike Slovenije za makroekonomske analize in razvoj</w:t>
      </w:r>
    </w:p>
    <w:p w14:paraId="09D08A54" w14:textId="23D83B75" w:rsidR="002A50D0" w:rsidRDefault="002A50D0" w:rsidP="002A50D0">
      <w:r>
        <w:t xml:space="preserve">Vlada Republike Slovenije je na današnji seji sprejela sklep, da se dr. Alenka Kajzer </w:t>
      </w:r>
      <w:r w:rsidR="00907EE7">
        <w:t xml:space="preserve">s </w:t>
      </w:r>
      <w:r>
        <w:t>6.</w:t>
      </w:r>
      <w:r w:rsidR="00907EE7">
        <w:t xml:space="preserve"> marcem 2</w:t>
      </w:r>
      <w:r>
        <w:t xml:space="preserve">026 imenuje za vršilko dolžnosti direktorja Urada Republike Slovenije za makroekonomske analize in razvoj, in sicer do imenovanja novega direktorja Urada, vendar največ za tri mesece, to je najdlje do </w:t>
      </w:r>
      <w:proofErr w:type="gramStart"/>
      <w:r>
        <w:t>5. 6. 2026</w:t>
      </w:r>
      <w:proofErr w:type="gramEnd"/>
      <w:r>
        <w:t xml:space="preserve">. </w:t>
      </w:r>
    </w:p>
    <w:p w14:paraId="205775BC" w14:textId="77777777" w:rsidR="002A50D0" w:rsidRDefault="002A50D0" w:rsidP="002A50D0"/>
    <w:p w14:paraId="564C7022" w14:textId="77777777" w:rsidR="002A50D0" w:rsidRDefault="002A50D0" w:rsidP="002A50D0">
      <w:r>
        <w:t xml:space="preserve">Vršilka dolžnosti je bila imenovana, ker se je natečajni postopek, na katerega sta prispeli dve prijavi, zaključil brez izbire. Posebna natečajna komisija je ugotovila, da eden od kandidatov ne izpolnjuje natečajnih pogojev, za drugega kandidata pa je ocenila, da glede na svojo strokovno usposobljenost ni primeren za razpisani položaj. Posebni javni natečaj se je zato zaključil neuspešno. </w:t>
      </w:r>
    </w:p>
    <w:p w14:paraId="349EB0E3" w14:textId="77777777" w:rsidR="002A50D0" w:rsidRDefault="002A50D0" w:rsidP="002A50D0">
      <w:pPr>
        <w:pStyle w:val="Vir"/>
      </w:pPr>
      <w:r>
        <w:lastRenderedPageBreak/>
        <w:t>Vir: Kabinet predsednika vlade</w:t>
      </w:r>
    </w:p>
    <w:p w14:paraId="10307C2F" w14:textId="77777777" w:rsidR="0049634A" w:rsidRPr="001A7EC8" w:rsidRDefault="0049634A" w:rsidP="0049634A"/>
    <w:p w14:paraId="44286F3E" w14:textId="7DA529F3" w:rsidR="0049634A" w:rsidRDefault="0049634A" w:rsidP="0049634A">
      <w:pPr>
        <w:pStyle w:val="Vir"/>
      </w:pPr>
      <w:r>
        <w:t xml:space="preserve">                                                                  </w:t>
      </w:r>
    </w:p>
    <w:p w14:paraId="5E407796" w14:textId="77777777" w:rsidR="0049634A" w:rsidRDefault="0049634A" w:rsidP="0049634A">
      <w:r>
        <w:t xml:space="preserve">                                                                                    </w:t>
      </w:r>
    </w:p>
    <w:p w14:paraId="6A389C11" w14:textId="77777777" w:rsidR="0049634A" w:rsidRDefault="0049634A" w:rsidP="0049634A"/>
    <w:p w14:paraId="05D57201" w14:textId="77777777" w:rsidR="004B508A" w:rsidRDefault="004B508A" w:rsidP="004B508A"/>
    <w:p w14:paraId="0C6CFC33" w14:textId="77777777" w:rsidR="004B508A" w:rsidRPr="004B508A" w:rsidRDefault="004B508A" w:rsidP="004B508A"/>
    <w:p w14:paraId="6CDB4F56" w14:textId="77777777" w:rsidR="001A7EC8" w:rsidRDefault="001A7EC8" w:rsidP="001A7EC8"/>
    <w:sectPr w:rsidR="001A7EC8" w:rsidSect="00F01966">
      <w:type w:val="continuous"/>
      <w:pgSz w:w="11906" w:h="16838"/>
      <w:pgMar w:top="1135" w:right="1417" w:bottom="1417" w:left="1417" w:header="1417"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828" w14:textId="77777777" w:rsidR="0067375D" w:rsidRDefault="0067375D" w:rsidP="00750D01">
      <w:pPr>
        <w:spacing w:line="240" w:lineRule="auto"/>
      </w:pPr>
      <w:r>
        <w:separator/>
      </w:r>
    </w:p>
  </w:endnote>
  <w:endnote w:type="continuationSeparator" w:id="0">
    <w:p w14:paraId="382D8D7B" w14:textId="77777777" w:rsidR="0067375D" w:rsidRDefault="0067375D" w:rsidP="00750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05DB" w14:textId="77777777" w:rsidR="0067375D" w:rsidRDefault="0067375D" w:rsidP="00750D01">
      <w:pPr>
        <w:spacing w:line="240" w:lineRule="auto"/>
      </w:pPr>
      <w:r>
        <w:separator/>
      </w:r>
    </w:p>
  </w:footnote>
  <w:footnote w:type="continuationSeparator" w:id="0">
    <w:p w14:paraId="56A3F1D9" w14:textId="77777777" w:rsidR="0067375D" w:rsidRDefault="0067375D" w:rsidP="00750D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6B71" w14:textId="77777777" w:rsidR="009540E4" w:rsidRPr="00110CBD" w:rsidRDefault="009540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F38C" w14:textId="1CA9CECA" w:rsidR="00F01966" w:rsidRDefault="00F01966">
    <w:pPr>
      <w:pStyle w:val="Glava"/>
    </w:pPr>
    <w:r>
      <w:rPr>
        <w:noProof/>
      </w:rPr>
      <w:drawing>
        <wp:anchor distT="0" distB="0" distL="114300" distR="114300" simplePos="0" relativeHeight="251660288" behindDoc="0" locked="0" layoutInCell="1" allowOverlap="1" wp14:anchorId="3B4E3537" wp14:editId="27ACADE6">
          <wp:simplePos x="0" y="0"/>
          <wp:positionH relativeFrom="column">
            <wp:posOffset>-742950</wp:posOffset>
          </wp:positionH>
          <wp:positionV relativeFrom="paragraph">
            <wp:posOffset>387098</wp:posOffset>
          </wp:positionV>
          <wp:extent cx="2216989" cy="329086"/>
          <wp:effectExtent l="0" t="0" r="0" b="0"/>
          <wp:wrapNone/>
          <wp:docPr id="2" name="Slika 2" descr="Slika, ki vsebuje besede grafika, simbol, risan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grafika, simbol, risanka,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6989" cy="329086"/>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A44"/>
    <w:multiLevelType w:val="hybridMultilevel"/>
    <w:tmpl w:val="658AD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126880"/>
    <w:multiLevelType w:val="hybridMultilevel"/>
    <w:tmpl w:val="771E3F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F65898"/>
    <w:multiLevelType w:val="hybridMultilevel"/>
    <w:tmpl w:val="C4A6B24E"/>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9D2F26"/>
    <w:multiLevelType w:val="hybridMultilevel"/>
    <w:tmpl w:val="14AC876C"/>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1B7F6A"/>
    <w:multiLevelType w:val="hybridMultilevel"/>
    <w:tmpl w:val="FC841A22"/>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642CC1"/>
    <w:multiLevelType w:val="hybridMultilevel"/>
    <w:tmpl w:val="E16447FE"/>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C663E7"/>
    <w:multiLevelType w:val="hybridMultilevel"/>
    <w:tmpl w:val="CD802484"/>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421CB5"/>
    <w:multiLevelType w:val="hybridMultilevel"/>
    <w:tmpl w:val="EB1AEA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385ACD"/>
    <w:multiLevelType w:val="hybridMultilevel"/>
    <w:tmpl w:val="77961D10"/>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9" w15:restartNumberingAfterBreak="0">
    <w:nsid w:val="24046133"/>
    <w:multiLevelType w:val="hybridMultilevel"/>
    <w:tmpl w:val="9C6C4F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C34BFE"/>
    <w:multiLevelType w:val="hybridMultilevel"/>
    <w:tmpl w:val="FEAE0DF0"/>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2D2AC2"/>
    <w:multiLevelType w:val="hybridMultilevel"/>
    <w:tmpl w:val="056094C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5D2CF9"/>
    <w:multiLevelType w:val="hybridMultilevel"/>
    <w:tmpl w:val="1CDA2A0A"/>
    <w:lvl w:ilvl="0" w:tplc="5044B500">
      <w:start w:val="1"/>
      <w:numFmt w:val="bullet"/>
      <w:lvlText w:val=""/>
      <w:lvlJc w:val="left"/>
      <w:pPr>
        <w:ind w:left="720" w:hanging="360"/>
      </w:pPr>
      <w:rPr>
        <w:rFonts w:ascii="Symbol" w:hAnsi="Symbol" w:hint="default"/>
      </w:rPr>
    </w:lvl>
    <w:lvl w:ilvl="1" w:tplc="41860F60">
      <w:start w:val="20"/>
      <w:numFmt w:val="bullet"/>
      <w:lvlText w:val="-"/>
      <w:lvlJc w:val="left"/>
      <w:pPr>
        <w:ind w:left="1650" w:hanging="57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5E3891"/>
    <w:multiLevelType w:val="hybridMultilevel"/>
    <w:tmpl w:val="930808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CDB7E58"/>
    <w:multiLevelType w:val="hybridMultilevel"/>
    <w:tmpl w:val="1E948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533FC0"/>
    <w:multiLevelType w:val="hybridMultilevel"/>
    <w:tmpl w:val="7AFEF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4C1D52"/>
    <w:multiLevelType w:val="hybridMultilevel"/>
    <w:tmpl w:val="53D8D7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1C90CBE"/>
    <w:multiLevelType w:val="hybridMultilevel"/>
    <w:tmpl w:val="F1F83CB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3DC1E22"/>
    <w:multiLevelType w:val="hybridMultilevel"/>
    <w:tmpl w:val="D548A172"/>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3F84D0F"/>
    <w:multiLevelType w:val="hybridMultilevel"/>
    <w:tmpl w:val="B07AB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7BD65D3"/>
    <w:multiLevelType w:val="hybridMultilevel"/>
    <w:tmpl w:val="35043D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97C6E40"/>
    <w:multiLevelType w:val="hybridMultilevel"/>
    <w:tmpl w:val="4672ED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8271FA"/>
    <w:multiLevelType w:val="hybridMultilevel"/>
    <w:tmpl w:val="DAEC4C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1C7D06"/>
    <w:multiLevelType w:val="hybridMultilevel"/>
    <w:tmpl w:val="7C9CFD28"/>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8084421"/>
    <w:multiLevelType w:val="hybridMultilevel"/>
    <w:tmpl w:val="DA241698"/>
    <w:lvl w:ilvl="0" w:tplc="725C927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FF67F3F"/>
    <w:multiLevelType w:val="hybridMultilevel"/>
    <w:tmpl w:val="6254C1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1406EF5"/>
    <w:multiLevelType w:val="hybridMultilevel"/>
    <w:tmpl w:val="C582AAB6"/>
    <w:lvl w:ilvl="0" w:tplc="9BB603B4">
      <w:start w:val="1"/>
      <w:numFmt w:val="bullet"/>
      <w:pStyle w:val="Odstavekseznama"/>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A0D175E"/>
    <w:multiLevelType w:val="hybridMultilevel"/>
    <w:tmpl w:val="3F46B55A"/>
    <w:lvl w:ilvl="0" w:tplc="5044B50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176576364">
    <w:abstractNumId w:val="26"/>
  </w:num>
  <w:num w:numId="2" w16cid:durableId="984821814">
    <w:abstractNumId w:val="19"/>
  </w:num>
  <w:num w:numId="3" w16cid:durableId="150218247">
    <w:abstractNumId w:val="1"/>
  </w:num>
  <w:num w:numId="4" w16cid:durableId="1026903286">
    <w:abstractNumId w:val="20"/>
  </w:num>
  <w:num w:numId="5" w16cid:durableId="231817878">
    <w:abstractNumId w:val="12"/>
  </w:num>
  <w:num w:numId="6" w16cid:durableId="2110814889">
    <w:abstractNumId w:val="27"/>
  </w:num>
  <w:num w:numId="7" w16cid:durableId="695153758">
    <w:abstractNumId w:val="13"/>
  </w:num>
  <w:num w:numId="8" w16cid:durableId="853298866">
    <w:abstractNumId w:val="17"/>
  </w:num>
  <w:num w:numId="9" w16cid:durableId="1789348953">
    <w:abstractNumId w:val="11"/>
  </w:num>
  <w:num w:numId="10" w16cid:durableId="1415012333">
    <w:abstractNumId w:val="22"/>
  </w:num>
  <w:num w:numId="11" w16cid:durableId="886650520">
    <w:abstractNumId w:val="15"/>
  </w:num>
  <w:num w:numId="12" w16cid:durableId="1644847971">
    <w:abstractNumId w:val="8"/>
  </w:num>
  <w:num w:numId="13" w16cid:durableId="1941405153">
    <w:abstractNumId w:val="25"/>
  </w:num>
  <w:num w:numId="14" w16cid:durableId="879049608">
    <w:abstractNumId w:val="0"/>
  </w:num>
  <w:num w:numId="15" w16cid:durableId="287050179">
    <w:abstractNumId w:val="7"/>
  </w:num>
  <w:num w:numId="16" w16cid:durableId="1160272472">
    <w:abstractNumId w:val="6"/>
  </w:num>
  <w:num w:numId="17" w16cid:durableId="2045976548">
    <w:abstractNumId w:val="10"/>
  </w:num>
  <w:num w:numId="18" w16cid:durableId="1524512429">
    <w:abstractNumId w:val="21"/>
  </w:num>
  <w:num w:numId="19" w16cid:durableId="731461716">
    <w:abstractNumId w:val="9"/>
  </w:num>
  <w:num w:numId="20" w16cid:durableId="1805461754">
    <w:abstractNumId w:val="18"/>
  </w:num>
  <w:num w:numId="21" w16cid:durableId="140579837">
    <w:abstractNumId w:val="2"/>
  </w:num>
  <w:num w:numId="22" w16cid:durableId="1262911419">
    <w:abstractNumId w:val="3"/>
  </w:num>
  <w:num w:numId="23" w16cid:durableId="2092311356">
    <w:abstractNumId w:val="23"/>
  </w:num>
  <w:num w:numId="24" w16cid:durableId="1834253984">
    <w:abstractNumId w:val="5"/>
  </w:num>
  <w:num w:numId="25" w16cid:durableId="839540332">
    <w:abstractNumId w:val="4"/>
  </w:num>
  <w:num w:numId="26" w16cid:durableId="203714922">
    <w:abstractNumId w:val="16"/>
  </w:num>
  <w:num w:numId="27" w16cid:durableId="506558269">
    <w:abstractNumId w:val="14"/>
  </w:num>
  <w:num w:numId="28" w16cid:durableId="5098806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E4"/>
    <w:rsid w:val="00004BFC"/>
    <w:rsid w:val="000318E4"/>
    <w:rsid w:val="00050A56"/>
    <w:rsid w:val="000610D5"/>
    <w:rsid w:val="00076DF7"/>
    <w:rsid w:val="00085D04"/>
    <w:rsid w:val="00087069"/>
    <w:rsid w:val="00087A14"/>
    <w:rsid w:val="00097B85"/>
    <w:rsid w:val="000B1D39"/>
    <w:rsid w:val="000C2563"/>
    <w:rsid w:val="000D5520"/>
    <w:rsid w:val="000E0657"/>
    <w:rsid w:val="00110932"/>
    <w:rsid w:val="00110B8F"/>
    <w:rsid w:val="00111A16"/>
    <w:rsid w:val="00112A69"/>
    <w:rsid w:val="00113F85"/>
    <w:rsid w:val="0012724F"/>
    <w:rsid w:val="0013016C"/>
    <w:rsid w:val="001602C9"/>
    <w:rsid w:val="0016530C"/>
    <w:rsid w:val="001673A5"/>
    <w:rsid w:val="001704EB"/>
    <w:rsid w:val="0017062A"/>
    <w:rsid w:val="00173343"/>
    <w:rsid w:val="00187832"/>
    <w:rsid w:val="001A7EC8"/>
    <w:rsid w:val="001B01DD"/>
    <w:rsid w:val="001B42F9"/>
    <w:rsid w:val="001C3560"/>
    <w:rsid w:val="001C5F19"/>
    <w:rsid w:val="001D4277"/>
    <w:rsid w:val="001D69D6"/>
    <w:rsid w:val="001F51BC"/>
    <w:rsid w:val="001F7F63"/>
    <w:rsid w:val="00203CAB"/>
    <w:rsid w:val="00203F5F"/>
    <w:rsid w:val="002133D3"/>
    <w:rsid w:val="00215140"/>
    <w:rsid w:val="00220CDD"/>
    <w:rsid w:val="0022511A"/>
    <w:rsid w:val="00231021"/>
    <w:rsid w:val="002501CE"/>
    <w:rsid w:val="002856E5"/>
    <w:rsid w:val="002A50D0"/>
    <w:rsid w:val="002A5A58"/>
    <w:rsid w:val="002C0766"/>
    <w:rsid w:val="002C36A6"/>
    <w:rsid w:val="002D5B5D"/>
    <w:rsid w:val="002E3F96"/>
    <w:rsid w:val="002F3BE7"/>
    <w:rsid w:val="00302938"/>
    <w:rsid w:val="00311346"/>
    <w:rsid w:val="0032012B"/>
    <w:rsid w:val="0032428F"/>
    <w:rsid w:val="0033519E"/>
    <w:rsid w:val="00346E22"/>
    <w:rsid w:val="00351E1E"/>
    <w:rsid w:val="0035204D"/>
    <w:rsid w:val="00357DC0"/>
    <w:rsid w:val="00361255"/>
    <w:rsid w:val="00363A41"/>
    <w:rsid w:val="0036651D"/>
    <w:rsid w:val="00381018"/>
    <w:rsid w:val="003847C8"/>
    <w:rsid w:val="003877EB"/>
    <w:rsid w:val="00390DF7"/>
    <w:rsid w:val="0039662C"/>
    <w:rsid w:val="003A2035"/>
    <w:rsid w:val="003A3742"/>
    <w:rsid w:val="003B5A6C"/>
    <w:rsid w:val="003C46E2"/>
    <w:rsid w:val="003C7638"/>
    <w:rsid w:val="003D64D8"/>
    <w:rsid w:val="003E17B6"/>
    <w:rsid w:val="003E1B89"/>
    <w:rsid w:val="003E6170"/>
    <w:rsid w:val="003E7D4C"/>
    <w:rsid w:val="003F4CC5"/>
    <w:rsid w:val="00415527"/>
    <w:rsid w:val="00431C65"/>
    <w:rsid w:val="00432937"/>
    <w:rsid w:val="00435CF5"/>
    <w:rsid w:val="004403EC"/>
    <w:rsid w:val="00447B57"/>
    <w:rsid w:val="0045565C"/>
    <w:rsid w:val="00455B63"/>
    <w:rsid w:val="00460370"/>
    <w:rsid w:val="00465AB5"/>
    <w:rsid w:val="00472762"/>
    <w:rsid w:val="00493DE8"/>
    <w:rsid w:val="0049634A"/>
    <w:rsid w:val="004A00A8"/>
    <w:rsid w:val="004A7BFC"/>
    <w:rsid w:val="004A7CAD"/>
    <w:rsid w:val="004B0FC9"/>
    <w:rsid w:val="004B4753"/>
    <w:rsid w:val="004B508A"/>
    <w:rsid w:val="004B7346"/>
    <w:rsid w:val="004C3F67"/>
    <w:rsid w:val="004C721D"/>
    <w:rsid w:val="004E5BC6"/>
    <w:rsid w:val="004F0D89"/>
    <w:rsid w:val="00514121"/>
    <w:rsid w:val="00516F90"/>
    <w:rsid w:val="00522637"/>
    <w:rsid w:val="00527867"/>
    <w:rsid w:val="00527AA5"/>
    <w:rsid w:val="005314D7"/>
    <w:rsid w:val="005348E9"/>
    <w:rsid w:val="00544398"/>
    <w:rsid w:val="005458D4"/>
    <w:rsid w:val="005515BD"/>
    <w:rsid w:val="0055309A"/>
    <w:rsid w:val="005740C1"/>
    <w:rsid w:val="005845FF"/>
    <w:rsid w:val="0059143B"/>
    <w:rsid w:val="005A570D"/>
    <w:rsid w:val="005B5886"/>
    <w:rsid w:val="005B7935"/>
    <w:rsid w:val="005C1523"/>
    <w:rsid w:val="005D00D3"/>
    <w:rsid w:val="005E1ABB"/>
    <w:rsid w:val="00614FFD"/>
    <w:rsid w:val="00622E7B"/>
    <w:rsid w:val="00626A98"/>
    <w:rsid w:val="006274BB"/>
    <w:rsid w:val="00634EFA"/>
    <w:rsid w:val="00635D43"/>
    <w:rsid w:val="006367B9"/>
    <w:rsid w:val="0064180E"/>
    <w:rsid w:val="0066249C"/>
    <w:rsid w:val="0067375D"/>
    <w:rsid w:val="00676F03"/>
    <w:rsid w:val="006906AF"/>
    <w:rsid w:val="00693BA3"/>
    <w:rsid w:val="006B3F12"/>
    <w:rsid w:val="006C1B31"/>
    <w:rsid w:val="006F29FA"/>
    <w:rsid w:val="0070324C"/>
    <w:rsid w:val="0071171B"/>
    <w:rsid w:val="007120FD"/>
    <w:rsid w:val="007130E1"/>
    <w:rsid w:val="00716545"/>
    <w:rsid w:val="00717E59"/>
    <w:rsid w:val="0073796B"/>
    <w:rsid w:val="00750D01"/>
    <w:rsid w:val="00751A49"/>
    <w:rsid w:val="0075264D"/>
    <w:rsid w:val="007643A0"/>
    <w:rsid w:val="007669A3"/>
    <w:rsid w:val="00767A18"/>
    <w:rsid w:val="00773BE2"/>
    <w:rsid w:val="00781345"/>
    <w:rsid w:val="00784E57"/>
    <w:rsid w:val="00787DC2"/>
    <w:rsid w:val="00792381"/>
    <w:rsid w:val="0079749C"/>
    <w:rsid w:val="007A6460"/>
    <w:rsid w:val="007B0ADD"/>
    <w:rsid w:val="007B515F"/>
    <w:rsid w:val="007B69EA"/>
    <w:rsid w:val="007B7F48"/>
    <w:rsid w:val="007C21FB"/>
    <w:rsid w:val="007C329D"/>
    <w:rsid w:val="007E198F"/>
    <w:rsid w:val="007F5B51"/>
    <w:rsid w:val="007F5D6B"/>
    <w:rsid w:val="007F6EE3"/>
    <w:rsid w:val="007F6EF7"/>
    <w:rsid w:val="00801A29"/>
    <w:rsid w:val="0081398D"/>
    <w:rsid w:val="008220A3"/>
    <w:rsid w:val="008244C0"/>
    <w:rsid w:val="008336E7"/>
    <w:rsid w:val="00836E94"/>
    <w:rsid w:val="00847738"/>
    <w:rsid w:val="00847AD3"/>
    <w:rsid w:val="00851FE1"/>
    <w:rsid w:val="008522C0"/>
    <w:rsid w:val="008624E8"/>
    <w:rsid w:val="0088720B"/>
    <w:rsid w:val="008A16D8"/>
    <w:rsid w:val="008B6738"/>
    <w:rsid w:val="008B7AF2"/>
    <w:rsid w:val="008C0D30"/>
    <w:rsid w:val="008C115A"/>
    <w:rsid w:val="008C4231"/>
    <w:rsid w:val="008C4BFB"/>
    <w:rsid w:val="008D49BD"/>
    <w:rsid w:val="008D7E90"/>
    <w:rsid w:val="00905C96"/>
    <w:rsid w:val="00907EE7"/>
    <w:rsid w:val="009174DA"/>
    <w:rsid w:val="0092632C"/>
    <w:rsid w:val="00932BC7"/>
    <w:rsid w:val="00933061"/>
    <w:rsid w:val="00933087"/>
    <w:rsid w:val="00945B27"/>
    <w:rsid w:val="009540E4"/>
    <w:rsid w:val="00974186"/>
    <w:rsid w:val="00983241"/>
    <w:rsid w:val="009900DE"/>
    <w:rsid w:val="009A41AA"/>
    <w:rsid w:val="009A602F"/>
    <w:rsid w:val="009B3707"/>
    <w:rsid w:val="009C10FA"/>
    <w:rsid w:val="009C2C98"/>
    <w:rsid w:val="009C2D77"/>
    <w:rsid w:val="009C562E"/>
    <w:rsid w:val="009D10D1"/>
    <w:rsid w:val="009E058D"/>
    <w:rsid w:val="009F37F4"/>
    <w:rsid w:val="009F4DB0"/>
    <w:rsid w:val="00A06971"/>
    <w:rsid w:val="00A21DC1"/>
    <w:rsid w:val="00A30052"/>
    <w:rsid w:val="00A34FC4"/>
    <w:rsid w:val="00A445DF"/>
    <w:rsid w:val="00A521C4"/>
    <w:rsid w:val="00A5415F"/>
    <w:rsid w:val="00A60A37"/>
    <w:rsid w:val="00A60FBF"/>
    <w:rsid w:val="00A67305"/>
    <w:rsid w:val="00A726C3"/>
    <w:rsid w:val="00A7412B"/>
    <w:rsid w:val="00AB1DC2"/>
    <w:rsid w:val="00AD1AFD"/>
    <w:rsid w:val="00AE6CD6"/>
    <w:rsid w:val="00AF2612"/>
    <w:rsid w:val="00AF5FC8"/>
    <w:rsid w:val="00B022E5"/>
    <w:rsid w:val="00B06EAB"/>
    <w:rsid w:val="00B43836"/>
    <w:rsid w:val="00B47F61"/>
    <w:rsid w:val="00B53594"/>
    <w:rsid w:val="00B602CF"/>
    <w:rsid w:val="00B60F58"/>
    <w:rsid w:val="00B70F5B"/>
    <w:rsid w:val="00B753A8"/>
    <w:rsid w:val="00B84862"/>
    <w:rsid w:val="00B903E5"/>
    <w:rsid w:val="00BA743D"/>
    <w:rsid w:val="00BB1111"/>
    <w:rsid w:val="00BB73C0"/>
    <w:rsid w:val="00BE5C43"/>
    <w:rsid w:val="00C254ED"/>
    <w:rsid w:val="00C3152B"/>
    <w:rsid w:val="00C354D9"/>
    <w:rsid w:val="00C365A8"/>
    <w:rsid w:val="00C43D34"/>
    <w:rsid w:val="00C458C2"/>
    <w:rsid w:val="00C62EB5"/>
    <w:rsid w:val="00C666AC"/>
    <w:rsid w:val="00C818CB"/>
    <w:rsid w:val="00C93421"/>
    <w:rsid w:val="00C97F7B"/>
    <w:rsid w:val="00CA5624"/>
    <w:rsid w:val="00CC3123"/>
    <w:rsid w:val="00CC3530"/>
    <w:rsid w:val="00CC37B3"/>
    <w:rsid w:val="00CD33C1"/>
    <w:rsid w:val="00CD4182"/>
    <w:rsid w:val="00CE21D5"/>
    <w:rsid w:val="00CE45D7"/>
    <w:rsid w:val="00CF099E"/>
    <w:rsid w:val="00D03EA4"/>
    <w:rsid w:val="00D10EB4"/>
    <w:rsid w:val="00D14EEC"/>
    <w:rsid w:val="00D15F98"/>
    <w:rsid w:val="00D22282"/>
    <w:rsid w:val="00D42266"/>
    <w:rsid w:val="00D430E8"/>
    <w:rsid w:val="00D55DD7"/>
    <w:rsid w:val="00D60A92"/>
    <w:rsid w:val="00D62BFC"/>
    <w:rsid w:val="00D64FA4"/>
    <w:rsid w:val="00D650E2"/>
    <w:rsid w:val="00D7373E"/>
    <w:rsid w:val="00D74A82"/>
    <w:rsid w:val="00D85532"/>
    <w:rsid w:val="00D9208E"/>
    <w:rsid w:val="00D95BC6"/>
    <w:rsid w:val="00D966FF"/>
    <w:rsid w:val="00D97B4B"/>
    <w:rsid w:val="00DA3B4D"/>
    <w:rsid w:val="00DA3BD5"/>
    <w:rsid w:val="00DA5C0D"/>
    <w:rsid w:val="00DA5D7A"/>
    <w:rsid w:val="00DB55BA"/>
    <w:rsid w:val="00DD36B0"/>
    <w:rsid w:val="00DD4CD4"/>
    <w:rsid w:val="00DD7B40"/>
    <w:rsid w:val="00DE199D"/>
    <w:rsid w:val="00DE1B54"/>
    <w:rsid w:val="00DE27BA"/>
    <w:rsid w:val="00E02AB3"/>
    <w:rsid w:val="00E05EEE"/>
    <w:rsid w:val="00E14AAE"/>
    <w:rsid w:val="00E20351"/>
    <w:rsid w:val="00E2036F"/>
    <w:rsid w:val="00E20571"/>
    <w:rsid w:val="00E3207D"/>
    <w:rsid w:val="00E3507E"/>
    <w:rsid w:val="00E6065F"/>
    <w:rsid w:val="00E7132A"/>
    <w:rsid w:val="00E83E60"/>
    <w:rsid w:val="00E86C78"/>
    <w:rsid w:val="00E948BD"/>
    <w:rsid w:val="00EA1AF3"/>
    <w:rsid w:val="00EC012E"/>
    <w:rsid w:val="00ED2EC7"/>
    <w:rsid w:val="00ED7A1D"/>
    <w:rsid w:val="00EE35F8"/>
    <w:rsid w:val="00EF1263"/>
    <w:rsid w:val="00F01966"/>
    <w:rsid w:val="00F03257"/>
    <w:rsid w:val="00F20884"/>
    <w:rsid w:val="00F21123"/>
    <w:rsid w:val="00F21419"/>
    <w:rsid w:val="00F21BAD"/>
    <w:rsid w:val="00F23144"/>
    <w:rsid w:val="00F240E9"/>
    <w:rsid w:val="00F30E33"/>
    <w:rsid w:val="00F31222"/>
    <w:rsid w:val="00F42FBE"/>
    <w:rsid w:val="00F462C7"/>
    <w:rsid w:val="00F63B7E"/>
    <w:rsid w:val="00F92545"/>
    <w:rsid w:val="00F93A56"/>
    <w:rsid w:val="00F963BF"/>
    <w:rsid w:val="00FA368E"/>
    <w:rsid w:val="00FA792D"/>
    <w:rsid w:val="00FC2D38"/>
    <w:rsid w:val="00FD6F18"/>
    <w:rsid w:val="00FE5604"/>
    <w:rsid w:val="00FF24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8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0D01"/>
    <w:pPr>
      <w:spacing w:after="0" w:line="260" w:lineRule="exact"/>
    </w:pPr>
    <w:rPr>
      <w:rFonts w:ascii="Arial" w:eastAsia="Times New Roman" w:hAnsi="Arial" w:cs="Times New Roman"/>
      <w:sz w:val="20"/>
      <w:szCs w:val="24"/>
    </w:rPr>
  </w:style>
  <w:style w:type="paragraph" w:styleId="Naslov1">
    <w:name w:val="heading 1"/>
    <w:basedOn w:val="Navaden"/>
    <w:next w:val="Navaden"/>
    <w:link w:val="Naslov1Znak"/>
    <w:uiPriority w:val="9"/>
    <w:qFormat/>
    <w:rsid w:val="0039662C"/>
    <w:pPr>
      <w:autoSpaceDE w:val="0"/>
      <w:autoSpaceDN w:val="0"/>
      <w:adjustRightInd w:val="0"/>
      <w:spacing w:after="240" w:line="240" w:lineRule="auto"/>
      <w:outlineLvl w:val="0"/>
    </w:pPr>
    <w:rPr>
      <w:b/>
      <w:bCs/>
      <w:sz w:val="28"/>
      <w:szCs w:val="28"/>
    </w:rPr>
  </w:style>
  <w:style w:type="paragraph" w:styleId="Naslov2">
    <w:name w:val="heading 2"/>
    <w:basedOn w:val="Navaden"/>
    <w:next w:val="Navaden"/>
    <w:link w:val="Naslov2Znak"/>
    <w:uiPriority w:val="9"/>
    <w:unhideWhenUsed/>
    <w:qFormat/>
    <w:rsid w:val="005E1ABB"/>
    <w:pPr>
      <w:autoSpaceDE w:val="0"/>
      <w:autoSpaceDN w:val="0"/>
      <w:adjustRightInd w:val="0"/>
      <w:spacing w:after="240" w:line="240" w:lineRule="auto"/>
      <w:contextualSpacing/>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750D01"/>
    <w:pPr>
      <w:tabs>
        <w:tab w:val="center" w:pos="4320"/>
        <w:tab w:val="right" w:pos="8640"/>
      </w:tabs>
    </w:p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basedOn w:val="Privzetapisavaodstavka"/>
    <w:link w:val="Glava"/>
    <w:uiPriority w:val="99"/>
    <w:rsid w:val="00750D01"/>
    <w:rPr>
      <w:rFonts w:ascii="Arial" w:eastAsia="Times New Roman" w:hAnsi="Arial" w:cs="Times New Roman"/>
      <w:sz w:val="20"/>
      <w:szCs w:val="24"/>
    </w:rPr>
  </w:style>
  <w:style w:type="paragraph" w:styleId="Noga">
    <w:name w:val="footer"/>
    <w:basedOn w:val="Navaden"/>
    <w:link w:val="NogaZnak"/>
    <w:rsid w:val="00750D01"/>
    <w:pPr>
      <w:tabs>
        <w:tab w:val="center" w:pos="4320"/>
        <w:tab w:val="right" w:pos="8640"/>
      </w:tabs>
    </w:pPr>
  </w:style>
  <w:style w:type="character" w:customStyle="1" w:styleId="NogaZnak">
    <w:name w:val="Noga Znak"/>
    <w:basedOn w:val="Privzetapisavaodstavka"/>
    <w:link w:val="Noga"/>
    <w:rsid w:val="00750D01"/>
    <w:rPr>
      <w:rFonts w:ascii="Arial" w:eastAsia="Times New Roman" w:hAnsi="Arial" w:cs="Times New Roman"/>
      <w:sz w:val="20"/>
      <w:szCs w:val="24"/>
    </w:rPr>
  </w:style>
  <w:style w:type="character" w:styleId="tevilkastrani">
    <w:name w:val="page number"/>
    <w:basedOn w:val="Privzetapisavaodstavka"/>
    <w:rsid w:val="00750D01"/>
  </w:style>
  <w:style w:type="paragraph" w:styleId="Naslov">
    <w:name w:val="Title"/>
    <w:basedOn w:val="Navaden"/>
    <w:next w:val="Navaden"/>
    <w:link w:val="NaslovZnak"/>
    <w:uiPriority w:val="10"/>
    <w:qFormat/>
    <w:rsid w:val="009D10D1"/>
    <w:pPr>
      <w:spacing w:before="480" w:after="240" w:line="240" w:lineRule="auto"/>
      <w:contextualSpacing/>
    </w:pPr>
    <w:rPr>
      <w:rFonts w:eastAsiaTheme="majorEastAsia" w:cs="Arial"/>
      <w:spacing w:val="-10"/>
      <w:kern w:val="28"/>
      <w:szCs w:val="20"/>
    </w:rPr>
  </w:style>
  <w:style w:type="character" w:customStyle="1" w:styleId="NaslovZnak">
    <w:name w:val="Naslov Znak"/>
    <w:basedOn w:val="Privzetapisavaodstavka"/>
    <w:link w:val="Naslov"/>
    <w:uiPriority w:val="10"/>
    <w:rsid w:val="009D10D1"/>
    <w:rPr>
      <w:rFonts w:ascii="Arial" w:eastAsiaTheme="majorEastAsia" w:hAnsi="Arial" w:cs="Arial"/>
      <w:spacing w:val="-10"/>
      <w:kern w:val="28"/>
      <w:sz w:val="20"/>
      <w:szCs w:val="20"/>
    </w:rPr>
  </w:style>
  <w:style w:type="character" w:customStyle="1" w:styleId="Naslov1Znak">
    <w:name w:val="Naslov 1 Znak"/>
    <w:basedOn w:val="Privzetapisavaodstavka"/>
    <w:link w:val="Naslov1"/>
    <w:uiPriority w:val="9"/>
    <w:rsid w:val="0039662C"/>
    <w:rPr>
      <w:rFonts w:ascii="Arial" w:eastAsia="Times New Roman" w:hAnsi="Arial" w:cs="Times New Roman"/>
      <w:b/>
      <w:bCs/>
      <w:sz w:val="28"/>
      <w:szCs w:val="28"/>
    </w:rPr>
  </w:style>
  <w:style w:type="paragraph" w:customStyle="1" w:styleId="DatumSZJ">
    <w:name w:val="Datum SZJ"/>
    <w:basedOn w:val="Navaden"/>
    <w:next w:val="Navaden"/>
    <w:link w:val="DatumSZJZnak"/>
    <w:qFormat/>
    <w:rsid w:val="00A7412B"/>
    <w:pPr>
      <w:autoSpaceDE w:val="0"/>
      <w:autoSpaceDN w:val="0"/>
      <w:adjustRightInd w:val="0"/>
      <w:spacing w:after="360" w:line="240" w:lineRule="auto"/>
    </w:pPr>
  </w:style>
  <w:style w:type="character" w:customStyle="1" w:styleId="Naslov2Znak">
    <w:name w:val="Naslov 2 Znak"/>
    <w:basedOn w:val="Privzetapisavaodstavka"/>
    <w:link w:val="Naslov2"/>
    <w:uiPriority w:val="9"/>
    <w:rsid w:val="005E1ABB"/>
    <w:rPr>
      <w:rFonts w:ascii="Arial" w:eastAsia="Times New Roman" w:hAnsi="Arial" w:cs="Times New Roman"/>
      <w:b/>
      <w:bCs/>
      <w:sz w:val="20"/>
      <w:szCs w:val="24"/>
    </w:rPr>
  </w:style>
  <w:style w:type="character" w:customStyle="1" w:styleId="DatumSZJZnak">
    <w:name w:val="Datum SZJ Znak"/>
    <w:basedOn w:val="Privzetapisavaodstavka"/>
    <w:link w:val="DatumSZJ"/>
    <w:rsid w:val="00A7412B"/>
    <w:rPr>
      <w:rFonts w:ascii="Arial" w:eastAsia="Times New Roman" w:hAnsi="Arial" w:cs="Times New Roman"/>
      <w:sz w:val="20"/>
      <w:szCs w:val="24"/>
    </w:rPr>
  </w:style>
  <w:style w:type="paragraph" w:customStyle="1" w:styleId="Vir">
    <w:name w:val="Vir"/>
    <w:basedOn w:val="Navaden"/>
    <w:next w:val="Navaden"/>
    <w:link w:val="VirZnak"/>
    <w:qFormat/>
    <w:rsid w:val="00110B8F"/>
    <w:pPr>
      <w:autoSpaceDE w:val="0"/>
      <w:autoSpaceDN w:val="0"/>
      <w:adjustRightInd w:val="0"/>
      <w:spacing w:before="240" w:after="360" w:line="240" w:lineRule="auto"/>
    </w:pPr>
  </w:style>
  <w:style w:type="paragraph" w:styleId="Odstavekseznama">
    <w:name w:val="List Paragraph"/>
    <w:basedOn w:val="Navaden"/>
    <w:uiPriority w:val="34"/>
    <w:qFormat/>
    <w:rsid w:val="00203F5F"/>
    <w:pPr>
      <w:numPr>
        <w:numId w:val="1"/>
      </w:numPr>
      <w:contextualSpacing/>
    </w:pPr>
  </w:style>
  <w:style w:type="character" w:customStyle="1" w:styleId="VirZnak">
    <w:name w:val="Vir Znak"/>
    <w:basedOn w:val="Privzetapisavaodstavka"/>
    <w:link w:val="Vir"/>
    <w:rsid w:val="00110B8F"/>
    <w:rPr>
      <w:rFonts w:ascii="Arial" w:eastAsia="Times New Roman" w:hAnsi="Arial" w:cs="Times New Roman"/>
      <w:sz w:val="20"/>
      <w:szCs w:val="24"/>
    </w:rPr>
  </w:style>
  <w:style w:type="character" w:styleId="Hiperpovezava">
    <w:name w:val="Hyperlink"/>
    <w:basedOn w:val="Privzetapisavaodstavka"/>
    <w:uiPriority w:val="99"/>
    <w:unhideWhenUsed/>
    <w:rsid w:val="003520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srs.si/pregledPredpisa?id=ZAKO710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i/teme/sistem-inspekcijskega-nadzor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D5117429E6D7418C58FC90322A8638" ma:contentTypeVersion="3" ma:contentTypeDescription="Create a new document." ma:contentTypeScope="" ma:versionID="af7836002ab36a4cf9d574b9cf62edcf">
  <xsd:schema xmlns:xsd="http://www.w3.org/2001/XMLSchema" xmlns:xs="http://www.w3.org/2001/XMLSchema" xmlns:p="http://schemas.microsoft.com/office/2006/metadata/properties" xmlns:ns3="eb582466-1b59-4d29-8755-2962c9164f84" targetNamespace="http://schemas.microsoft.com/office/2006/metadata/properties" ma:root="true" ma:fieldsID="8f3c0790d4e523edad3a139ab2c0a08f" ns3:_="">
    <xsd:import namespace="eb582466-1b59-4d29-8755-2962c9164f84"/>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82466-1b59-4d29-8755-2962c9164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C695D88-41D0-4D94-8F20-06CCAE564D2D}">
  <ds:schemaRefs>
    <ds:schemaRef ds:uri="eb582466-1b59-4d29-8755-2962c9164f84"/>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354DDD5E-BF2A-42E4-BF83-F29C09BA9F1D}">
  <ds:schemaRefs>
    <ds:schemaRef ds:uri="http://schemas.microsoft.com/sharepoint/v3/contenttype/forms"/>
  </ds:schemaRefs>
</ds:datastoreItem>
</file>

<file path=customXml/itemProps3.xml><?xml version="1.0" encoding="utf-8"?>
<ds:datastoreItem xmlns:ds="http://schemas.openxmlformats.org/officeDocument/2006/customXml" ds:itemID="{6B5584C5-23D0-42C4-903E-C12EFBD15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82466-1b59-4d29-8755-2962c916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01A8C-74B0-4B71-BCE1-F6503D5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11025</Words>
  <Characters>62847</Characters>
  <Application>Microsoft Office Word</Application>
  <DocSecurity>0</DocSecurity>
  <Lines>523</Lines>
  <Paragraphs>147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2026-03-04T09:02:00Z</dcterms:created>
  <dcterms:modified xsi:type="dcterms:W3CDTF">2026-03-05T12:07:00Z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0x010100E5D5117429E6D7418C58FC90322A8638</vt:lpwstr>
  </property>
</Properties>
</file>