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35F6036E" w:rsidR="0073796B" w:rsidRDefault="00223A7C" w:rsidP="0039662C">
      <w:pPr>
        <w:pStyle w:val="Naslov1"/>
      </w:pPr>
      <w:r>
        <w:t>4</w:t>
      </w:r>
      <w:r w:rsidR="00E1074E">
        <w:t>29</w:t>
      </w:r>
      <w:r w:rsidR="0073796B" w:rsidRPr="0039662C">
        <w:t xml:space="preserve">. </w:t>
      </w:r>
      <w:r w:rsidR="00F03257">
        <w:t xml:space="preserve">dopisna </w:t>
      </w:r>
      <w:r w:rsidR="0073796B" w:rsidRPr="0039662C">
        <w:t>seja Vlade Republike Slovenije</w:t>
      </w:r>
    </w:p>
    <w:p w14:paraId="1F263D84" w14:textId="3F0E8239" w:rsidR="003B462D" w:rsidRDefault="003B462D" w:rsidP="003B462D">
      <w:pPr>
        <w:pStyle w:val="Naslov2"/>
      </w:pPr>
      <w:r>
        <w:t>Vlada je izdala Uredbo o Državnem prostorskem načrtu za ureditev platoja Karavanke</w:t>
      </w:r>
    </w:p>
    <w:p w14:paraId="7ACAC6AC" w14:textId="77777777" w:rsidR="003B462D" w:rsidRDefault="003B462D" w:rsidP="003B462D">
      <w:r>
        <w:t>Državni prostorski načrt (DPN) za ureditev platoja Karavanke predvideva bolj funkcionalne rešitve za upravljanje s tovornim prometom. Na območju obstoječega platoja se načrtuje rušitev nekaterih obstoječih objektov ter preureditve obstoječega objekta in prometnih ureditev za boljše upravljanje, vodenje in nadzor prometa ter delovanje Policije in drugih državnih organov.</w:t>
      </w:r>
    </w:p>
    <w:p w14:paraId="5034BB81" w14:textId="77777777" w:rsidR="003B462D" w:rsidRDefault="003B462D" w:rsidP="003B462D"/>
    <w:p w14:paraId="120A29FE" w14:textId="77777777" w:rsidR="003B462D" w:rsidRDefault="003B462D" w:rsidP="003B462D">
      <w:r>
        <w:t>Velikost platoja Karavanke bo merila 115.761</w:t>
      </w:r>
      <w:proofErr w:type="gramStart"/>
      <w:r>
        <w:t xml:space="preserve"> m2</w:t>
      </w:r>
      <w:proofErr w:type="gramEnd"/>
      <w:r>
        <w:t xml:space="preserve"> ali 0,116 km2. Načrtovana je izgradnja 140 parkirnih mest, ki bodo omogočala izločanje in parkiranje tovornih vozil. Območje DPN za ureditev platoja Karavanke posega na območje DPN za dograditev avtocestnega predora Karavanke, s katerim se načrtuje novogradnja druge predorske cevi Karavanke ter novogradnja manjkajočega dela avtoceste z vsemi spremljajočimi ureditvami.</w:t>
      </w:r>
    </w:p>
    <w:p w14:paraId="74E1A4AB" w14:textId="2AF9BEDB" w:rsidR="00E1074E" w:rsidRDefault="003B462D" w:rsidP="003B462D">
      <w:pPr>
        <w:pStyle w:val="Vir"/>
      </w:pPr>
      <w:r>
        <w:t>Vir: Ministrstvo za naravne vire in prostor</w:t>
      </w:r>
    </w:p>
    <w:p w14:paraId="6B45CBBD" w14:textId="621B4B33" w:rsidR="00804153" w:rsidRDefault="00804153" w:rsidP="00804153">
      <w:pPr>
        <w:pStyle w:val="Naslov2"/>
      </w:pPr>
      <w:r>
        <w:t xml:space="preserve">Vlada izdala novelo Uredbe o izvajanju </w:t>
      </w:r>
      <w:proofErr w:type="gramStart"/>
      <w:r>
        <w:t>intervencije</w:t>
      </w:r>
      <w:proofErr w:type="gramEnd"/>
      <w:r>
        <w:t xml:space="preserve"> konzorciji institucij znanja v podporo prehodu kmetijstva v zeleno, digitalno in podnebno nevtralno iz SN SKP 2023–2027</w:t>
      </w:r>
    </w:p>
    <w:p w14:paraId="4F6D0F73" w14:textId="77777777" w:rsidR="00804153" w:rsidRDefault="00804153" w:rsidP="00804153">
      <w:r>
        <w:t xml:space="preserve">Vlada je izdala novelo Uredbe o izvajanju </w:t>
      </w:r>
      <w:proofErr w:type="gramStart"/>
      <w:r>
        <w:t>intervencije</w:t>
      </w:r>
      <w:proofErr w:type="gramEnd"/>
      <w:r>
        <w:t xml:space="preserve"> konzorciji institucij znanja v podporo prehodu kmetijstva v zeleno, digitalno in podnebno nevtralno iz strateškega načrta skupne kmetijske politike 2023–2027 in jo objavi v Uradnem listu Republike Slovenije.</w:t>
      </w:r>
    </w:p>
    <w:p w14:paraId="4BE8407C" w14:textId="77777777" w:rsidR="00804153" w:rsidRDefault="00804153" w:rsidP="00804153"/>
    <w:p w14:paraId="25F6961B" w14:textId="75ACC6FD" w:rsidR="00804153" w:rsidRDefault="00804153" w:rsidP="00804153">
      <w:r>
        <w:t>Novela uredb</w:t>
      </w:r>
      <w:r>
        <w:t xml:space="preserve">e se </w:t>
      </w:r>
      <w:r>
        <w:t xml:space="preserve">usklajuje z novim Zakonom o kmetijstvu (ZKME-2), ki velja od 1. januarja 2026. In sicer se uskladi uporaba izraza »družinska kmetija« (do uveljavitve ZKME-2 se je uporabljal izraz »kmetija«), uredba se ustrezno prilagodi spremembam na področju upravnega postopka (na primer glede roka za odrek od pravice do sredstev, podrobnejša ureditev upravne sankcije glede izključitve iz podpore v skladu z novim ZKME-2).   </w:t>
      </w:r>
    </w:p>
    <w:p w14:paraId="3849E079" w14:textId="77777777" w:rsidR="00804153" w:rsidRDefault="00804153" w:rsidP="00804153"/>
    <w:p w14:paraId="7FE94FCA" w14:textId="005AD92A" w:rsidR="00804153" w:rsidRDefault="00804153" w:rsidP="00804153">
      <w:r>
        <w:t xml:space="preserve">Poenostavlja se tudi elektronski seznam prenosa znanja, kjer novela uredbe kot </w:t>
      </w:r>
      <w:proofErr w:type="gramStart"/>
      <w:r>
        <w:t xml:space="preserve">sestavino  </w:t>
      </w:r>
      <w:proofErr w:type="gramEnd"/>
      <w:r>
        <w:t>seznama ne zahteva več zadnjih treh številk enotne matične številke občana (EMŠO). To zmanjšuje administrativno breme upravičencev.</w:t>
      </w:r>
    </w:p>
    <w:p w14:paraId="6923F748" w14:textId="77777777" w:rsidR="00804153" w:rsidRDefault="00804153" w:rsidP="00804153"/>
    <w:p w14:paraId="34A6EB40" w14:textId="05354EFD" w:rsidR="00804153" w:rsidRDefault="00804153" w:rsidP="00804153">
      <w:r>
        <w:t xml:space="preserve">Cilj </w:t>
      </w:r>
      <w:proofErr w:type="gramStart"/>
      <w:r>
        <w:t>intervencije</w:t>
      </w:r>
      <w:proofErr w:type="gramEnd"/>
      <w:r>
        <w:t xml:space="preserve">, ki jo ureja novela uredbe (intervencija IRP 38), je omogočiti učinkovitejšo in hitrejšo preobrazbo kmetijstva v zeleno, digitalno in podnebno nevtralno. S prvim javnim razpisom je bilo podprtih šest konzorcijev, ki bodo vzpostavili celovito, moderno, tehnološko posodobljeno okolje, kjer bo na enem mestu mogoče ustvarjati, izmenjati in prenašati znanje do končnih uporabnikov, zlasti kmetov. Skupaj je za izvajanje te </w:t>
      </w:r>
      <w:proofErr w:type="gramStart"/>
      <w:r>
        <w:t>intervencije</w:t>
      </w:r>
      <w:proofErr w:type="gramEnd"/>
      <w:r>
        <w:t xml:space="preserve"> namenjenih 12 milijonov evrov oziroma 2 milijona evrov na konzorcij. Podprte bodo lahko tako naložbe kot tudi stroški dela, materiala, zunanjih storitev itd. </w:t>
      </w:r>
      <w:proofErr w:type="gramStart"/>
      <w:r>
        <w:t>Intervencija</w:t>
      </w:r>
      <w:proofErr w:type="gramEnd"/>
      <w:r>
        <w:t xml:space="preserve"> se bo izvajala do sredine leta 2029, ko se izteče skrajni rok za zaključek programov konzorcijev.</w:t>
      </w:r>
    </w:p>
    <w:p w14:paraId="672593AE" w14:textId="029BBB43" w:rsidR="00E1074E" w:rsidRDefault="00804153" w:rsidP="00804153">
      <w:pPr>
        <w:pStyle w:val="Vir"/>
      </w:pPr>
      <w:r>
        <w:t>Vir: Ministrstvo za kmetijstvo, gozdarstvo in prehrano</w:t>
      </w:r>
    </w:p>
    <w:p w14:paraId="74943147" w14:textId="4C69CCAC" w:rsidR="00C57E75" w:rsidRDefault="00C57E75" w:rsidP="00C57E75">
      <w:pPr>
        <w:pStyle w:val="Naslov2"/>
      </w:pPr>
      <w:r>
        <w:t xml:space="preserve">Vlada izdala novelo Uredbe o skupnih določbah za izvajanje </w:t>
      </w:r>
      <w:proofErr w:type="gramStart"/>
      <w:r>
        <w:t>intervencij</w:t>
      </w:r>
      <w:proofErr w:type="gramEnd"/>
      <w:r>
        <w:t xml:space="preserve"> razvoja podeželja, ki niso vezane na površino ali živali, iz strateškega načrta SKP 2023–2027 </w:t>
      </w:r>
    </w:p>
    <w:p w14:paraId="716F1BD1" w14:textId="77777777" w:rsidR="00C57E75" w:rsidRDefault="00C57E75" w:rsidP="00C57E75">
      <w:r>
        <w:lastRenderedPageBreak/>
        <w:t xml:space="preserve">Vlada je izdala novelo Uredbe o skupnih določbah za izvajanje </w:t>
      </w:r>
      <w:proofErr w:type="gramStart"/>
      <w:r>
        <w:t>intervencij</w:t>
      </w:r>
      <w:proofErr w:type="gramEnd"/>
      <w:r>
        <w:t xml:space="preserve"> razvoja podeželja, ki niso vezane na površino ali živali, iz strateškega načrta skupne kmetijske politike 2023–2027 in jo objavi v Uradnem listu Republike Slovenije.</w:t>
      </w:r>
    </w:p>
    <w:p w14:paraId="1881A904" w14:textId="77777777" w:rsidR="00C57E75" w:rsidRDefault="00C57E75" w:rsidP="00C57E75"/>
    <w:p w14:paraId="4E8B11FE" w14:textId="60222210" w:rsidR="00C57E75" w:rsidRDefault="00C57E75" w:rsidP="00C57E75">
      <w:r>
        <w:t xml:space="preserve">Novela uredbe se sprejema z namenom uskladitve s 4. spremembo Strateškega načrta skupne kmetijske politike 2023–2027 in novim Zakonom o kmetijstvu (ZKme-2). V uredbo se dodaja nova tabela za prevedbo ukrepov oziroma podukrepov iz programa, ki ureja razvoj podeželja Republike Slovenije za obdobje 2014–2020 (PRP 2014–2020), v intervencije in </w:t>
      </w:r>
      <w:proofErr w:type="spellStart"/>
      <w:r>
        <w:t>podintervencije</w:t>
      </w:r>
      <w:proofErr w:type="spellEnd"/>
      <w:r>
        <w:t xml:space="preserve"> iz Strateškega načrta skupne kmetijske politike 2023–2027 (</w:t>
      </w:r>
      <w:proofErr w:type="gramStart"/>
      <w:r>
        <w:t>SN</w:t>
      </w:r>
      <w:proofErr w:type="gramEnd"/>
      <w:r>
        <w:t xml:space="preserve"> SKP 2023–2027). Ostale spremembe uredbe so predvsem tehnične narave, njihov cilj je povečati jasnost in skladnost besedila uredbe, popraviti sklice in uskladiti izraze v uredbi oziroma odpraviti pomanjkljivosti, ugotovljene pri obravnavi vlog, vloženih na javne razpise in ob revizijskem pregledu.</w:t>
      </w:r>
    </w:p>
    <w:p w14:paraId="0B75EB0B" w14:textId="11993EBE" w:rsidR="00E1074E" w:rsidRDefault="00C57E75" w:rsidP="00C57E75">
      <w:pPr>
        <w:pStyle w:val="Vir"/>
      </w:pPr>
      <w:r>
        <w:t>Vir: Ministrstvo za kmetijstvo, gozdarstvo in prehrano</w:t>
      </w:r>
    </w:p>
    <w:p w14:paraId="7860D1A1" w14:textId="1A06EA53" w:rsidR="007C386D" w:rsidRDefault="007C386D" w:rsidP="007C386D">
      <w:pPr>
        <w:pStyle w:val="Naslov2"/>
      </w:pPr>
      <w:r>
        <w:t>Vlada sprejela nov</w:t>
      </w:r>
      <w:r w:rsidR="002804E5">
        <w:t xml:space="preserve">elo </w:t>
      </w:r>
      <w:r>
        <w:t>uredb</w:t>
      </w:r>
      <w:r w:rsidR="002804E5">
        <w:t>e</w:t>
      </w:r>
      <w:r>
        <w:t xml:space="preserve"> o zakloniščih</w:t>
      </w:r>
    </w:p>
    <w:p w14:paraId="65BB27CF" w14:textId="26D5F99C" w:rsidR="007C386D" w:rsidRDefault="007C386D" w:rsidP="007C386D">
      <w:r>
        <w:t>Vlada je danes sprejela sklep o izdaji Uredb</w:t>
      </w:r>
      <w:r w:rsidR="002804E5">
        <w:t>e</w:t>
      </w:r>
      <w:r>
        <w:t xml:space="preserve"> o spremembah in dopolnitvah Uredbe o graditvi in vzdrževanju zaklonišč. Uredba bo objavljena v Uradnem listu Republike Slovenije.</w:t>
      </w:r>
    </w:p>
    <w:p w14:paraId="57F30CF6" w14:textId="77777777" w:rsidR="007C386D" w:rsidRDefault="007C386D" w:rsidP="007C386D"/>
    <w:p w14:paraId="22450E43" w14:textId="77777777" w:rsidR="007C386D" w:rsidRDefault="007C386D" w:rsidP="007C386D">
      <w:r>
        <w:t>Skladno z 68. členom Zakona o varstvu pred naravnimi in drugimi nesrečami vlada določi območja in objekte, kjer se morajo graditi zaklonišča, ter pogoje za graditev in vzdrževanje zaklonišč.</w:t>
      </w:r>
    </w:p>
    <w:p w14:paraId="4E40F276" w14:textId="77777777" w:rsidR="007C386D" w:rsidRDefault="007C386D" w:rsidP="007C386D"/>
    <w:p w14:paraId="2CA275B4" w14:textId="77777777" w:rsidR="007C386D" w:rsidRDefault="007C386D" w:rsidP="007C386D">
      <w:r>
        <w:t xml:space="preserve">Spremembe Uredbe o graditvi in vzdrževanju zaklonišč določajo ukinitev obveznosti revizije projektne dokumentacije za pridobitev gradbenega dovoljenja ter ohranjajo sistem vodenja evidenc zaklonišč na ravni občine, pri čemer je dodatno določena obveznost lastnikov zaklonišč, da v predpisanem roku posredujejo podatke za vpis v evidenco. </w:t>
      </w:r>
    </w:p>
    <w:p w14:paraId="6F8A5640" w14:textId="77777777" w:rsidR="007C386D" w:rsidRDefault="007C386D" w:rsidP="007C386D"/>
    <w:p w14:paraId="291BC99E" w14:textId="77777777" w:rsidR="007C386D" w:rsidRDefault="007C386D" w:rsidP="007C386D">
      <w:r>
        <w:t xml:space="preserve">Občine morajo podatke iz evidence zaklonišč vsako leto posredovati Upravi za zaščito in reševanje. </w:t>
      </w:r>
    </w:p>
    <w:p w14:paraId="2A126953" w14:textId="77777777" w:rsidR="007C386D" w:rsidRDefault="007C386D" w:rsidP="007C386D"/>
    <w:p w14:paraId="1F5F4E1A" w14:textId="4F62556E" w:rsidR="007C386D" w:rsidRDefault="007C386D" w:rsidP="007C386D">
      <w:r>
        <w:t>Nov</w:t>
      </w:r>
      <w:r w:rsidR="002804E5">
        <w:t>ela</w:t>
      </w:r>
      <w:r>
        <w:t xml:space="preserve"> uredb</w:t>
      </w:r>
      <w:r w:rsidR="002804E5">
        <w:t>e</w:t>
      </w:r>
      <w:r>
        <w:t xml:space="preserve"> določa tudi pogoje za spremembo namembnosti zaklonišč. Zaklonišča, zgrajena pred letom 2006, se lahko ob izpolnjevanju določenih pogojev preoblikujejo v zaklonišča za zaklanjanje prebivalstva do 24 ur.</w:t>
      </w:r>
    </w:p>
    <w:p w14:paraId="2643F0B9" w14:textId="77777777" w:rsidR="007C386D" w:rsidRDefault="007C386D" w:rsidP="007C386D">
      <w:pPr>
        <w:pStyle w:val="Vir"/>
      </w:pPr>
      <w:r>
        <w:t>Vir: Ministrstvo za obrambo</w:t>
      </w:r>
    </w:p>
    <w:p w14:paraId="1E46C736" w14:textId="2B2B5CE7" w:rsidR="007E515C" w:rsidRDefault="007E515C" w:rsidP="007E515C">
      <w:pPr>
        <w:pStyle w:val="Naslov2"/>
      </w:pPr>
      <w:r>
        <w:t>Spremenjena Uredba o plačah in drugih prejemkih javnih uslužbencev za delo v tujini</w:t>
      </w:r>
    </w:p>
    <w:p w14:paraId="08E6D541" w14:textId="77777777" w:rsidR="007E515C" w:rsidRDefault="007E515C" w:rsidP="007E515C">
      <w:r>
        <w:t>Vlada Republike Slovenije je izdala Uredbo o spremembi Uredbe o plačah in drugih prejemkih javnih uslužbencev za delo v tujini in jo objavi v Uradnem listu Republike Slovenije.</w:t>
      </w:r>
    </w:p>
    <w:p w14:paraId="1A8FD58A" w14:textId="77777777" w:rsidR="007E515C" w:rsidRDefault="007E515C" w:rsidP="007E515C"/>
    <w:p w14:paraId="1AFFC815" w14:textId="77777777" w:rsidR="007E515C" w:rsidRDefault="007E515C" w:rsidP="007E515C">
      <w:r>
        <w:t>Uredba se spreminja zaradi spremembe indeksov življenjskih stroškov. Kot določa uredba, vlada na predlog ministra za zunanje zadeve uskladitev sprejme vsako leto 1. marca, 1. julija in 1. novembra. Indeksi življenjskih stroškov za posamezni kraj iz Priloge 2 uredbe temeljijo na indeksih življenjskih stroškov OZN in se določijo</w:t>
      </w:r>
      <w:proofErr w:type="gramStart"/>
      <w:r>
        <w:t xml:space="preserve"> upoštevajoč</w:t>
      </w:r>
      <w:proofErr w:type="gramEnd"/>
      <w:r>
        <w:t xml:space="preserve"> metodologijo določanja življenjskih indeksov, to je z aritmetično sredino zadnjih treh objavljenih indeksov življenjskih stroškov OZN. Novi indeksi iz Priloge 2 uredbe se prvič uporabijo pri obračunu plače za mesec marec 2026 (izplačilo v aprilu).</w:t>
      </w:r>
    </w:p>
    <w:p w14:paraId="0BC4B698" w14:textId="61AB82E7" w:rsidR="00E1074E" w:rsidRDefault="007E515C" w:rsidP="007E515C">
      <w:pPr>
        <w:pStyle w:val="Vir"/>
      </w:pPr>
      <w:r>
        <w:t>Vir: Ministrstvo za javno upravo</w:t>
      </w:r>
    </w:p>
    <w:p w14:paraId="65DC8D31" w14:textId="0E73C796" w:rsidR="00E66916" w:rsidRDefault="00E66916" w:rsidP="00E66916">
      <w:pPr>
        <w:pStyle w:val="Naslov2"/>
      </w:pPr>
      <w:r>
        <w:t xml:space="preserve">Vlada sprejela </w:t>
      </w:r>
      <w:r>
        <w:t>s</w:t>
      </w:r>
      <w:r>
        <w:t>klep o ustanovitvi Zavoda za gozdove Slovenije</w:t>
      </w:r>
    </w:p>
    <w:p w14:paraId="76D60FC4" w14:textId="2C5BB701" w:rsidR="00E66916" w:rsidRDefault="00E66916" w:rsidP="00E66916">
      <w:r>
        <w:lastRenderedPageBreak/>
        <w:t xml:space="preserve">Vlada je sprejela </w:t>
      </w:r>
      <w:r>
        <w:t>s</w:t>
      </w:r>
      <w:r>
        <w:t>klep o ustanovitvi Zavoda za gozdove Slovenije ter ga objavi v Uradnem listu Republike Slovenije.</w:t>
      </w:r>
    </w:p>
    <w:p w14:paraId="701F093B" w14:textId="77777777" w:rsidR="00E66916" w:rsidRDefault="00E66916" w:rsidP="00E66916"/>
    <w:p w14:paraId="0D27CEBD" w14:textId="5222AC55" w:rsidR="00E66916" w:rsidRDefault="00E66916" w:rsidP="00E66916">
      <w:r>
        <w:t>Sklep o ustanovitvi Zavoda za gozdove Slovenije ureja organizacijo, naloge in financiranje Zavoda za gozdove Slovenije. Zavod, ki zagotavlja izvajanje javne gozdarske službe, upravljanje z divjadjo ter izvaja dejavnosti s področja ohranjanja narave, deluje prek osrednje enote in 14 območnih enot po državi.</w:t>
      </w:r>
    </w:p>
    <w:p w14:paraId="2B00E21A" w14:textId="77777777" w:rsidR="00E66916" w:rsidRDefault="00E66916" w:rsidP="00E66916"/>
    <w:p w14:paraId="4B32D7F1" w14:textId="173A19EA" w:rsidR="00E66916" w:rsidRDefault="00E66916" w:rsidP="00E66916">
      <w:r>
        <w:t>Sredstva za izvajanje svoje dejavnosti Zavod pridobiva iz proračuna Republike Slovenije, s prihodki iz tržnih storitev, donacij in daril ter dodatnih storitev v okviru javne službe.</w:t>
      </w:r>
    </w:p>
    <w:p w14:paraId="73356CA8" w14:textId="77777777" w:rsidR="00E66916" w:rsidRDefault="00E66916" w:rsidP="00E66916"/>
    <w:p w14:paraId="789303A0" w14:textId="5BEECCD8" w:rsidR="00E66916" w:rsidRDefault="00E66916" w:rsidP="00E66916">
      <w:r>
        <w:t>Predlog sklepa ohranja temeljne rešitve obstoječega Sklepa o organizaciji in začetku dela Zavoda za gozdove Slovenije, hkrati pa upošteva posodobljene določbe Zakona o gozdovih in Zakona o ohranjanju narave, s čimer omogoča bolj usklajeno in učinkovito delovanje Zavoda v prihodnje.</w:t>
      </w:r>
    </w:p>
    <w:p w14:paraId="7DA42E93" w14:textId="3AFF117A" w:rsidR="00E1074E" w:rsidRDefault="00E66916" w:rsidP="00E66916">
      <w:pPr>
        <w:pStyle w:val="Vir"/>
      </w:pPr>
      <w:r>
        <w:t>Vir: Ministrstvo za kmetijstvo, gozdarstvo in prehrano</w:t>
      </w:r>
    </w:p>
    <w:p w14:paraId="3CF00CC3" w14:textId="05B62D83" w:rsidR="008F2BA8" w:rsidRDefault="008F2BA8" w:rsidP="008F2BA8">
      <w:pPr>
        <w:pStyle w:val="Naslov2"/>
      </w:pPr>
      <w:r>
        <w:t>Vlada sprejela Program ukrepov za izvajanje Strategije razvoja socialne ekonomije za obdobje 2026–2030</w:t>
      </w:r>
    </w:p>
    <w:p w14:paraId="3A014275" w14:textId="77777777" w:rsidR="008F2BA8" w:rsidRDefault="008F2BA8" w:rsidP="008F2BA8">
      <w:r>
        <w:t>Vlada je sprejela Program ukrepov za izvajanje Strategije razvoja socialne ekonomije za obdobje 2026–2030, ki predstavlja ključni izvedbeni dokument za uresničevanje ciljev Strategije razvoja socialne ekonomije za obdobje 2026–2035.</w:t>
      </w:r>
    </w:p>
    <w:p w14:paraId="5D5F56F2" w14:textId="77777777" w:rsidR="008F2BA8" w:rsidRDefault="008F2BA8" w:rsidP="008F2BA8"/>
    <w:p w14:paraId="2D9776F4" w14:textId="77777777" w:rsidR="008F2BA8" w:rsidRDefault="008F2BA8" w:rsidP="008F2BA8">
      <w:r>
        <w:t>Program ukrepov vključuje predvsem ukrepe za spodbujanje socialnega podjetništva, ukrepe za oblikovanje ugodnega podjetniškega okolja za socialna podjetja, ukrepe za spodbujanje zaposlovanja v socialnih podjetjih ter ukrepe za omogočanje dostopa do virov financiranja naložb za ustanavljanje in poslovanje socialnih podjetij.</w:t>
      </w:r>
    </w:p>
    <w:p w14:paraId="26BB3DD7" w14:textId="77777777" w:rsidR="008F2BA8" w:rsidRDefault="008F2BA8" w:rsidP="008F2BA8"/>
    <w:p w14:paraId="78403AB7" w14:textId="77777777" w:rsidR="008F2BA8" w:rsidRDefault="008F2BA8" w:rsidP="008F2BA8">
      <w:r>
        <w:t>Pripravo programa določa Zakon o socialnem podjetništvu (</w:t>
      </w:r>
      <w:proofErr w:type="spellStart"/>
      <w:r>
        <w:t>ZSocP</w:t>
      </w:r>
      <w:proofErr w:type="spellEnd"/>
      <w:r>
        <w:t>), ki določa</w:t>
      </w:r>
      <w:proofErr w:type="gramStart"/>
      <w:r>
        <w:t xml:space="preserve"> da</w:t>
      </w:r>
      <w:proofErr w:type="gramEnd"/>
      <w:r>
        <w:t xml:space="preserve"> ministrstvo, pristojno za gospodarstvo, v sodelovanju z drugimi ministrstvi in vladnimi službami pripravi program ukrepov za izvajanje strategije razvoja socialne ekonomije. Program nato sprejme Vlada Republike Slovenije po predhodnem mnenju Sveta za socialno </w:t>
      </w:r>
      <w:proofErr w:type="gramStart"/>
      <w:r>
        <w:t>ekonomijo</w:t>
      </w:r>
      <w:proofErr w:type="gramEnd"/>
      <w:r>
        <w:t>.</w:t>
      </w:r>
    </w:p>
    <w:p w14:paraId="531987F9" w14:textId="77777777" w:rsidR="008F2BA8" w:rsidRDefault="008F2BA8" w:rsidP="008F2BA8"/>
    <w:p w14:paraId="1582414A" w14:textId="77777777" w:rsidR="008F2BA8" w:rsidRDefault="008F2BA8" w:rsidP="008F2BA8">
      <w:r>
        <w:t xml:space="preserve">Vlada je strategijo sprejela z Odlokom o Strategiji razvoja socialne ekonomije za obdobje 2025–2035. Predlog programa ukrepov pa je potrdil tudi Svet za socialno </w:t>
      </w:r>
      <w:proofErr w:type="gramStart"/>
      <w:r>
        <w:t>ekonomijo</w:t>
      </w:r>
      <w:proofErr w:type="gramEnd"/>
      <w:r>
        <w:t xml:space="preserve"> na 6. dopisni seji, ki je potekala med 2. in 6. februarjem 2026.</w:t>
      </w:r>
    </w:p>
    <w:p w14:paraId="410F6197" w14:textId="77777777" w:rsidR="008F2BA8" w:rsidRDefault="008F2BA8" w:rsidP="008F2BA8"/>
    <w:p w14:paraId="061FB00E" w14:textId="77777777" w:rsidR="008F2BA8" w:rsidRDefault="008F2BA8" w:rsidP="008F2BA8">
      <w:r>
        <w:t xml:space="preserve">Program ukrepov upošteva strateške in operativne cilje strategije ter določa kazalnike za spremljanje razvoja socialne ekonomije in učinkov predvidenih ukrepov. Hkrati vključuje tudi ukrepe za spodbujanje razvoja socialne ekonomije posameznih resorjev, pristojnih za področja dejavnosti socialne ekonomije, ter ukrepe za krepitev podpornega okolja za njen razvoj. </w:t>
      </w:r>
    </w:p>
    <w:p w14:paraId="55251351" w14:textId="271A00C9" w:rsidR="00E1074E" w:rsidRDefault="008F2BA8" w:rsidP="008F2BA8">
      <w:pPr>
        <w:pStyle w:val="Vir"/>
      </w:pPr>
      <w:r>
        <w:t>Vir: Ministrstvo za gospodarstvo, turizem in šport</w:t>
      </w:r>
    </w:p>
    <w:p w14:paraId="130F3B52" w14:textId="76354796" w:rsidR="00DC4AD6" w:rsidRDefault="00DC4AD6" w:rsidP="00DC4AD6">
      <w:pPr>
        <w:pStyle w:val="Naslov2"/>
      </w:pPr>
      <w:r>
        <w:t>Program za razvoj čipov in polprevodniških tehnologij v Sloveniji do leta 2030</w:t>
      </w:r>
    </w:p>
    <w:p w14:paraId="630980B3" w14:textId="77777777" w:rsidR="00DC4AD6" w:rsidRDefault="00DC4AD6" w:rsidP="00DC4AD6">
      <w:r>
        <w:t>Vlada Republike Slovenije je na današnji dopisni seji sprejela Program razvoja čipov in polprevodniških tehnologij v Sloveniji do leta 2030.</w:t>
      </w:r>
    </w:p>
    <w:p w14:paraId="00137CA8" w14:textId="77777777" w:rsidR="00DC4AD6" w:rsidRDefault="00DC4AD6" w:rsidP="00DC4AD6"/>
    <w:p w14:paraId="7E9B503B" w14:textId="75B3716E" w:rsidR="00DC4AD6" w:rsidRDefault="00DC4AD6" w:rsidP="00DC4AD6">
      <w:r>
        <w:t xml:space="preserve">Program predstavlja strateški okvir za razvoj enega ključnih visokotehnoloških področij, ki je bistveno za digitalizacijo, zeleni prehod ter konkurenčnost slovenskega gospodarstva. Slovenija se bo pri tem </w:t>
      </w:r>
      <w:r>
        <w:lastRenderedPageBreak/>
        <w:t>osredotočila predvsem na razvoj nišnih in specializiranih rešitev z visoko dodano vrednostjo ter na krepitev znanja, raziskav in sodelovanja med akademsko sfero in gospodarstvom.</w:t>
      </w:r>
    </w:p>
    <w:p w14:paraId="09D62D1D" w14:textId="77777777" w:rsidR="00DC4AD6" w:rsidRDefault="00DC4AD6" w:rsidP="00DC4AD6"/>
    <w:p w14:paraId="2761D548" w14:textId="06A1D788" w:rsidR="00DC4AD6" w:rsidRDefault="00DC4AD6" w:rsidP="00DC4AD6">
      <w:r>
        <w:t>Za izvajanje in spremljanje programa je zadolženo Ministrstvo za digitalno preobrazbo, ki bo v roku 12 mesecev pripravilo tudi podrobnejši izvedbeni načrt ukrepov.</w:t>
      </w:r>
    </w:p>
    <w:p w14:paraId="65D691CB" w14:textId="77777777" w:rsidR="00DC4AD6" w:rsidRDefault="00DC4AD6" w:rsidP="00DC4AD6"/>
    <w:p w14:paraId="109F2213" w14:textId="788D7536" w:rsidR="00E1074E" w:rsidRDefault="00DC4AD6" w:rsidP="00DC4AD6">
      <w:r>
        <w:t>S sprejetjem programa Slovenija krepi svojo vlogo v evropskem polprevodniškem ekosistemu ter ustvarja pogoje za dolgoročni tehnološki razvoj, večjo odpornost dobavnih verig in višjo dodano vrednost gospodarstva.</w:t>
      </w:r>
    </w:p>
    <w:p w14:paraId="768F5447" w14:textId="2AC2728B" w:rsidR="00DC4AD6" w:rsidRDefault="00DC4AD6" w:rsidP="00DC4AD6">
      <w:pPr>
        <w:pStyle w:val="Vir"/>
      </w:pPr>
      <w:r w:rsidRPr="00DC4AD6">
        <w:t>Vir: Ministrstvo za digitalno preobrazbo</w:t>
      </w:r>
    </w:p>
    <w:p w14:paraId="7C4C371A" w14:textId="4C8FAE89" w:rsidR="00955A67" w:rsidRDefault="00955A67" w:rsidP="00955A67">
      <w:pPr>
        <w:pStyle w:val="Naslov2"/>
      </w:pPr>
      <w:r>
        <w:t>Vlada sprejela poslovni in finančni načrt Eko sklada za leto 2026</w:t>
      </w:r>
    </w:p>
    <w:p w14:paraId="590F22BC" w14:textId="77777777" w:rsidR="00955A67" w:rsidRDefault="00955A67" w:rsidP="00955A67">
      <w:r>
        <w:t xml:space="preserve">Vlada je sprejela Poslovni in finančni načrt Eko sklada za leto 2026. Hkrati je določila, da se 1,6 milijona evrov iz prispevka za energetsko učinkovitost </w:t>
      </w:r>
      <w:proofErr w:type="gramStart"/>
      <w:r>
        <w:t>nameni</w:t>
      </w:r>
      <w:proofErr w:type="gramEnd"/>
      <w:r>
        <w:t xml:space="preserve"> za izvajanje programov učinkovite rabe energije, ter da se 5,6 milijona evrov presežka iz preteklih let porabi za nepovratne finančne spodbude.</w:t>
      </w:r>
    </w:p>
    <w:p w14:paraId="34B475F1" w14:textId="77777777" w:rsidR="00955A67" w:rsidRDefault="00955A67" w:rsidP="00955A67"/>
    <w:p w14:paraId="0A1D6AC2" w14:textId="77777777" w:rsidR="00955A67" w:rsidRDefault="00955A67" w:rsidP="00955A67">
      <w:r>
        <w:t xml:space="preserve">Eko sklad bo v letu 2026 za kreditiranje </w:t>
      </w:r>
      <w:proofErr w:type="gramStart"/>
      <w:r>
        <w:t>okoljskih</w:t>
      </w:r>
      <w:proofErr w:type="gramEnd"/>
      <w:r>
        <w:t xml:space="preserve"> naložb zagotovil do 50 milijonov evrov posojil. Poleg tega bo na voljo 30 milijonov evrov nepovratnih spodbud za ukrepe energetske učinkovitosti ter dodatna sredstva za podporne programe, svetovanje in zmanjševanje energetske revščine.</w:t>
      </w:r>
    </w:p>
    <w:p w14:paraId="25953D8A" w14:textId="77777777" w:rsidR="00955A67" w:rsidRDefault="00955A67" w:rsidP="00955A67"/>
    <w:p w14:paraId="69669F49" w14:textId="77777777" w:rsidR="00955A67" w:rsidRDefault="00955A67" w:rsidP="00955A67">
      <w:r>
        <w:t xml:space="preserve">V okviru Podnebnega sklada bo Eko sklad razpisal 23 milijonov evrov za zamenjavo starih kurilnih naprav, 10 milijonov evrov za skoraj </w:t>
      </w:r>
      <w:proofErr w:type="spellStart"/>
      <w:proofErr w:type="gramStart"/>
      <w:r>
        <w:t>nič</w:t>
      </w:r>
      <w:proofErr w:type="gramEnd"/>
      <w:r>
        <w:t>energijske</w:t>
      </w:r>
      <w:proofErr w:type="spellEnd"/>
      <w:r>
        <w:t xml:space="preserve"> stavbe ter 1,1 milijona evrov za sofinanciranje nevladnih organizacij. Nadaljevalo se bo tudi financiranje že odprtih javnih pozivov.</w:t>
      </w:r>
    </w:p>
    <w:p w14:paraId="20F9B0A7" w14:textId="77777777" w:rsidR="00955A67" w:rsidRDefault="00955A67" w:rsidP="00955A67"/>
    <w:p w14:paraId="25FAB72F" w14:textId="77777777" w:rsidR="00955A67" w:rsidRDefault="00955A67" w:rsidP="00955A67">
      <w:r>
        <w:t xml:space="preserve">Eko sklad bo nadaljeval izvajanje programov za zmanjševanje energetske revščine, svetovanje občanom prek mreže ENSVET ter </w:t>
      </w:r>
      <w:proofErr w:type="gramStart"/>
      <w:r>
        <w:t>aktivnosti</w:t>
      </w:r>
      <w:proofErr w:type="gramEnd"/>
      <w:r>
        <w:t xml:space="preserve"> ozaveščanja in podpore projektom na področju podnebnih sprememb in trajnostnega razvoja.</w:t>
      </w:r>
    </w:p>
    <w:p w14:paraId="264A00C4" w14:textId="1E52489D" w:rsidR="00E1074E" w:rsidRDefault="00955A67" w:rsidP="00955A67">
      <w:pPr>
        <w:pStyle w:val="Vir"/>
      </w:pPr>
      <w:r>
        <w:t>Vir: Ministrstvo za okolje, podnebje in energijo</w:t>
      </w:r>
    </w:p>
    <w:p w14:paraId="62809464" w14:textId="57B7127A" w:rsidR="00293C7C" w:rsidRDefault="00293C7C" w:rsidP="00293C7C">
      <w:pPr>
        <w:pStyle w:val="Naslov2"/>
      </w:pPr>
      <w:r>
        <w:t>Vlada sprejela poslovni in finančni načrt Javnega štipendijskega, razvojnega, invalidskega in preživninskega sklada</w:t>
      </w:r>
    </w:p>
    <w:p w14:paraId="49065472" w14:textId="0AC92502" w:rsidR="00293C7C" w:rsidRDefault="00293C7C" w:rsidP="00293C7C">
      <w:r>
        <w:t>Vlada je sprejela Poslovni in finančni načrt Javnega štipendijskega, razvojnega, invalidskega in preživninskega sklada Republike Slovenije za leto 2026, do katerega je Nadzorni svet Javnega štipendijskega, razvojnega, invalidskega in preživninskega sklada Republike Slovenije na svoji 80. seji zavzel pozitivno stališče.</w:t>
      </w:r>
    </w:p>
    <w:p w14:paraId="12E267DE" w14:textId="77777777" w:rsidR="00293C7C" w:rsidRDefault="00293C7C" w:rsidP="00293C7C"/>
    <w:p w14:paraId="6E40BE41" w14:textId="77777777" w:rsidR="00293C7C" w:rsidRDefault="00293C7C" w:rsidP="00293C7C">
      <w:r>
        <w:t xml:space="preserve">Sklad bo v letu 2026 nadaljeval spodbujanje mednarodne mobilnosti z izvajanjem programov štipendiranja za izobraževanje Slovencev v tujini, študijske obiske in udeležbo na tekmovanjih v tujini. Nadaljeval bo tudi razpise za štipendiranje tujih državljanov v Sloveniji ter razpis v okviru programa Fulbright. Za izboljšanje obstoječih programov štipendiranja (Zoisove štipendije, štipendije za Slovence v zamejstvu in po svetu, deficitarne poklice, socialno varstvo in zdravstvo) bo sklad krepil sodelovanje z relevantnimi institucijami. </w:t>
      </w:r>
    </w:p>
    <w:p w14:paraId="6CDAF13F" w14:textId="77777777" w:rsidR="00293C7C" w:rsidRDefault="00293C7C" w:rsidP="00293C7C"/>
    <w:p w14:paraId="2EF48B02" w14:textId="77777777" w:rsidR="00293C7C" w:rsidRDefault="00293C7C" w:rsidP="00293C7C">
      <w:r>
        <w:t xml:space="preserve">Pri načrtovanju in izvajanju programov razvoja kadrov bo sklad sodeloval z Ministrstvom za delo, družino, socialne zadeve in enake možnosti ter Ministrstvom za vzgojo in izobraževanje. Programi bodo prispevali k razvoju spretnosti ter krepitvi kompetenc posameznikov skozi vseživljenjsko učenje. </w:t>
      </w:r>
    </w:p>
    <w:p w14:paraId="7C9E4657" w14:textId="77777777" w:rsidR="00293C7C" w:rsidRDefault="00293C7C" w:rsidP="00293C7C"/>
    <w:p w14:paraId="5CEDCF0D" w14:textId="77777777" w:rsidR="00293C7C" w:rsidRDefault="00293C7C" w:rsidP="00293C7C">
      <w:r>
        <w:lastRenderedPageBreak/>
        <w:t xml:space="preserve">Leta 2026 bo sklad začel izvajati projekt Usposabljanje za zaposlene v avtomobilski industriji – AVI, namenjen krepitvi kompetenc zaposlenih zaradi uvajanja novih tehnologij, digitalizacije, inovacij in zelene preobrazbe. Na področju pravic in obveznosti invalidov ter delodajalcev bo sklad še naprej zagotavljal učinkovito izvajanje pooblastil, s čimer bo prispeval k ohranjanju zaposlenosti invalidov ter spodbujal nova zaposlovanja. Z organizacijo dogodkov in predstavitvijo delovanja si bo prizadeval za večjo prepoznavnost kvotnega sistema in spodbud ter za okrepitev ozaveščenosti delodajalcev. </w:t>
      </w:r>
    </w:p>
    <w:p w14:paraId="1CD077EA" w14:textId="77777777" w:rsidR="00293C7C" w:rsidRDefault="00293C7C" w:rsidP="00293C7C"/>
    <w:p w14:paraId="12B769F2" w14:textId="2A2D0974" w:rsidR="00293C7C" w:rsidRDefault="00293C7C" w:rsidP="00293C7C">
      <w:r>
        <w:t>Na področju pravic delavcev v primeru insolventnosti delodajalcev bo sklad nadaljeval sodelovanje z Zavodom RS za zaposlovanje ter si prizadeval za hitro izplačilo pravic delavcem iz podjetij v stečaju. Pri zagotavljanju pravic otrok ob neplačevanju preživnin bo sklad krepil prepoznavnost svoje vloge pri uveljavljanju nadomestila preživnine in dolgoročno ozaveščal javnost, da je pravica do preživnine temeljna pravica otrok. Sklad bo svoje poslanstvo nadaljeval tudi kot osrednji posredovalni in sprejemni organ v postopkih mednarodne izterjave preživnin.</w:t>
      </w:r>
    </w:p>
    <w:p w14:paraId="21682888" w14:textId="77777777" w:rsidR="00293C7C" w:rsidRDefault="00293C7C" w:rsidP="00293C7C"/>
    <w:p w14:paraId="33E7A50D" w14:textId="77777777" w:rsidR="00293C7C" w:rsidRDefault="00293C7C" w:rsidP="00293C7C">
      <w:r>
        <w:t xml:space="preserve">Za leto 2026 so načrtovani skupni prihodki/prejemki v višini 101.316.003,17 evra, od tega 89.627.400,38 evra za programe sklada in 11.688.602,79 evra za delovanje sklada. V primerjavi z oceno realizacije za leto 2025 to predstavlja </w:t>
      </w:r>
      <w:proofErr w:type="gramStart"/>
      <w:r>
        <w:t>32 %</w:t>
      </w:r>
      <w:proofErr w:type="gramEnd"/>
      <w:r>
        <w:t xml:space="preserve"> rast prihodkov, pri čemer sklad načrtuje polno realizacijo programov. Načrtovani celotni odhodki/izdatki znašajo 100.770.403,17 evra, od tega 89.081.800,38 evra za programe sklada in 11.688.602,79 evra za delovanje. To pomeni </w:t>
      </w:r>
      <w:proofErr w:type="gramStart"/>
      <w:r>
        <w:t>36 %</w:t>
      </w:r>
      <w:proofErr w:type="gramEnd"/>
      <w:r>
        <w:t xml:space="preserve"> višje odhodke glede na oceno realizacije za leto 2025. </w:t>
      </w:r>
    </w:p>
    <w:p w14:paraId="58B3ADAD" w14:textId="77777777" w:rsidR="00293C7C" w:rsidRDefault="00293C7C" w:rsidP="00293C7C"/>
    <w:p w14:paraId="1A08021E" w14:textId="04951E82" w:rsidR="00293C7C" w:rsidRDefault="00293C7C" w:rsidP="00293C7C">
      <w:r>
        <w:t xml:space="preserve">Odhodki za programe v višini 89.081.800,38 evra so namenjeni: programom mednarodne mobilnosti (Ad </w:t>
      </w:r>
      <w:proofErr w:type="gramStart"/>
      <w:r>
        <w:t>futura</w:t>
      </w:r>
      <w:proofErr w:type="gramEnd"/>
      <w:r>
        <w:t xml:space="preserve">), programom štipendiranja po Zakonu o štipendiranju, Zakonu o socialnem varstvu in Zakona o nujnih ukrepih na področju zdravstva, razvoju kadrov v okviru Programa evropske kohezijske politike 2021–2027, jamstvenemu skladu za pravice delavcev ob insolventnosti delodajalcev, preživninskemu skladu za izplačila ob neplačevanju preživnin, invalidskemu skladu za spodbujanje in ohranjanje zaposlovanja invalidov, programu usposabljanja zaposlenih v avtomobilski industriji, izvajanju mednarodne izterjave preživnin. Odhodki za delovanje sklada v višini 11.688.602,79 evra zajemajo stroške dela, izdatke za blago in storitve ter </w:t>
      </w:r>
      <w:proofErr w:type="gramStart"/>
      <w:r>
        <w:t>investicijske</w:t>
      </w:r>
      <w:proofErr w:type="gramEnd"/>
      <w:r>
        <w:t xml:space="preserve"> odhodke. </w:t>
      </w:r>
    </w:p>
    <w:p w14:paraId="4046046E" w14:textId="77777777" w:rsidR="00293C7C" w:rsidRDefault="00293C7C" w:rsidP="00293C7C"/>
    <w:p w14:paraId="4C006B23" w14:textId="5924B566" w:rsidR="00E1074E" w:rsidRDefault="00293C7C" w:rsidP="00293C7C">
      <w:r>
        <w:t>Sklad za leto 2026 načrtuje presežek prihodkov nad odhodki v višini 545.600,00 evra, in sicer na dejavnosti, medtem ko je za delovanje predvideno izravnano poslovanje.</w:t>
      </w:r>
    </w:p>
    <w:p w14:paraId="566011B2" w14:textId="77777777" w:rsidR="00293C7C" w:rsidRDefault="00293C7C" w:rsidP="00293C7C">
      <w:pPr>
        <w:pStyle w:val="Vir"/>
      </w:pPr>
      <w:r>
        <w:t>Vir: Ministrstvo za delo, družino, socialne zadeve in enake možnosti</w:t>
      </w:r>
    </w:p>
    <w:p w14:paraId="1950E140" w14:textId="600DD1D2" w:rsidR="00D1727D" w:rsidRDefault="00D1727D" w:rsidP="00D1727D">
      <w:pPr>
        <w:pStyle w:val="Naslov2"/>
      </w:pPr>
      <w:r>
        <w:t xml:space="preserve">Izhodišča za pogajanja za sklenitev Kolektivne pogodbe za kmetijsko dejavnost </w:t>
      </w:r>
    </w:p>
    <w:p w14:paraId="41126F24" w14:textId="2F1C201A" w:rsidR="002E19C0" w:rsidRDefault="002E19C0" w:rsidP="002E19C0">
      <w:pPr>
        <w:spacing w:before="120" w:line="276" w:lineRule="auto"/>
        <w:jc w:val="both"/>
        <w:rPr>
          <w:iCs/>
          <w:szCs w:val="20"/>
        </w:rPr>
      </w:pPr>
      <w:r w:rsidRPr="009C15C8">
        <w:rPr>
          <w:iCs/>
          <w:szCs w:val="20"/>
        </w:rPr>
        <w:t xml:space="preserve">Vlada je sprejela </w:t>
      </w:r>
      <w:r>
        <w:rPr>
          <w:iCs/>
          <w:szCs w:val="20"/>
        </w:rPr>
        <w:t>i</w:t>
      </w:r>
      <w:r w:rsidRPr="009C15C8">
        <w:rPr>
          <w:iCs/>
          <w:szCs w:val="20"/>
        </w:rPr>
        <w:t>zhodišča za pogajanja za sklenitev Kolektivne pogodbe za kmetijsko dejavnost</w:t>
      </w:r>
      <w:r>
        <w:rPr>
          <w:iCs/>
          <w:szCs w:val="20"/>
        </w:rPr>
        <w:t xml:space="preserve"> – normativni del</w:t>
      </w:r>
      <w:r w:rsidRPr="009C15C8">
        <w:rPr>
          <w:iCs/>
          <w:szCs w:val="20"/>
        </w:rPr>
        <w:t>.</w:t>
      </w:r>
    </w:p>
    <w:p w14:paraId="7B3E9B94" w14:textId="77777777" w:rsidR="002E19C0" w:rsidRDefault="002E19C0" w:rsidP="002E19C0">
      <w:pPr>
        <w:spacing w:before="120" w:line="276" w:lineRule="auto"/>
        <w:jc w:val="both"/>
        <w:rPr>
          <w:rFonts w:eastAsia="Calibri" w:cs="Arial"/>
          <w:szCs w:val="20"/>
        </w:rPr>
      </w:pPr>
      <w:r w:rsidRPr="009C15C8">
        <w:rPr>
          <w:rFonts w:eastAsia="Calibri" w:cs="Arial"/>
          <w:szCs w:val="20"/>
        </w:rPr>
        <w:t xml:space="preserve">Ministrstvo za kmetijstvo, gozdarstvo in prehrano je dne 12. </w:t>
      </w:r>
      <w:r>
        <w:rPr>
          <w:rFonts w:eastAsia="Calibri" w:cs="Arial"/>
          <w:szCs w:val="20"/>
        </w:rPr>
        <w:t xml:space="preserve">januarja </w:t>
      </w:r>
      <w:r w:rsidRPr="009C15C8">
        <w:rPr>
          <w:rFonts w:eastAsia="Calibri" w:cs="Arial"/>
          <w:szCs w:val="20"/>
        </w:rPr>
        <w:t>2026 s strani Sindikata državnih organov Slovenije</w:t>
      </w:r>
      <w:r w:rsidRPr="009C15C8">
        <w:rPr>
          <w:rFonts w:eastAsia="Calibri" w:cs="Arial"/>
          <w:color w:val="FF0000"/>
          <w:szCs w:val="20"/>
        </w:rPr>
        <w:t xml:space="preserve"> </w:t>
      </w:r>
      <w:r w:rsidRPr="009C15C8">
        <w:rPr>
          <w:rFonts w:eastAsia="Calibri" w:cs="Arial"/>
          <w:szCs w:val="20"/>
        </w:rPr>
        <w:t xml:space="preserve">prejelo predlog </w:t>
      </w:r>
      <w:r>
        <w:rPr>
          <w:rFonts w:eastAsia="Calibri" w:cs="Arial"/>
          <w:szCs w:val="20"/>
        </w:rPr>
        <w:t xml:space="preserve">kolektivne pogodbe. </w:t>
      </w:r>
    </w:p>
    <w:p w14:paraId="3F7CF873" w14:textId="65084309" w:rsidR="00D1727D" w:rsidRPr="002E19C0" w:rsidRDefault="002E19C0" w:rsidP="002E19C0">
      <w:pPr>
        <w:spacing w:before="120" w:line="276" w:lineRule="auto"/>
        <w:jc w:val="both"/>
        <w:rPr>
          <w:b/>
          <w:szCs w:val="20"/>
        </w:rPr>
      </w:pPr>
      <w:r>
        <w:rPr>
          <w:rFonts w:eastAsia="Calibri" w:cs="Arial"/>
          <w:szCs w:val="20"/>
        </w:rPr>
        <w:t xml:space="preserve">Iz predloga izhaja, </w:t>
      </w:r>
      <w:r w:rsidRPr="009C15C8">
        <w:rPr>
          <w:rFonts w:eastAsia="Calibri" w:cs="Arial"/>
          <w:szCs w:val="20"/>
        </w:rPr>
        <w:t>da se želijo pogajati o</w:t>
      </w:r>
      <w:r>
        <w:rPr>
          <w:rFonts w:eastAsia="Calibri" w:cs="Arial"/>
          <w:szCs w:val="20"/>
        </w:rPr>
        <w:t xml:space="preserve"> </w:t>
      </w:r>
      <w:r w:rsidRPr="000336DE">
        <w:rPr>
          <w:rFonts w:eastAsia="Calibri" w:cs="Arial"/>
          <w:szCs w:val="20"/>
        </w:rPr>
        <w:t>sodelovanju sindikata in delodajalca</w:t>
      </w:r>
      <w:r>
        <w:rPr>
          <w:rFonts w:eastAsia="Calibri" w:cs="Arial"/>
          <w:szCs w:val="20"/>
        </w:rPr>
        <w:t xml:space="preserve">, </w:t>
      </w:r>
      <w:r w:rsidRPr="000015EC">
        <w:rPr>
          <w:rFonts w:eastAsia="Calibri" w:cs="Arial"/>
          <w:szCs w:val="20"/>
        </w:rPr>
        <w:t>kraju opravljanja dela</w:t>
      </w:r>
      <w:r>
        <w:rPr>
          <w:rFonts w:eastAsia="Calibri" w:cs="Arial"/>
          <w:szCs w:val="20"/>
        </w:rPr>
        <w:t xml:space="preserve">, </w:t>
      </w:r>
      <w:r w:rsidRPr="000015EC">
        <w:rPr>
          <w:rFonts w:eastAsia="Calibri" w:cs="Arial"/>
          <w:szCs w:val="20"/>
        </w:rPr>
        <w:t>delu izven opisa delovnega mesta</w:t>
      </w:r>
      <w:r>
        <w:rPr>
          <w:rFonts w:eastAsia="Calibri" w:cs="Arial"/>
          <w:szCs w:val="20"/>
        </w:rPr>
        <w:t xml:space="preserve">, </w:t>
      </w:r>
      <w:r w:rsidRPr="000015EC">
        <w:rPr>
          <w:rFonts w:eastAsia="Calibri" w:cs="Arial"/>
          <w:szCs w:val="20"/>
        </w:rPr>
        <w:t>plačilu kilometrine za uporabo lastnega avtomobila za opravljanje dela iz pogodbe o zaposlitvi</w:t>
      </w:r>
      <w:r>
        <w:rPr>
          <w:rFonts w:eastAsia="Calibri" w:cs="Arial"/>
          <w:szCs w:val="20"/>
        </w:rPr>
        <w:t xml:space="preserve">, </w:t>
      </w:r>
      <w:r w:rsidRPr="000015EC">
        <w:rPr>
          <w:rFonts w:eastAsia="Calibri" w:cs="Arial"/>
          <w:szCs w:val="20"/>
        </w:rPr>
        <w:t>varovanju starejših javnih uslužbencev</w:t>
      </w:r>
      <w:r>
        <w:rPr>
          <w:rFonts w:eastAsia="Calibri" w:cs="Arial"/>
          <w:szCs w:val="20"/>
        </w:rPr>
        <w:t xml:space="preserve">, </w:t>
      </w:r>
      <w:r w:rsidRPr="000015EC">
        <w:rPr>
          <w:rFonts w:eastAsia="Calibri" w:cs="Arial"/>
          <w:szCs w:val="20"/>
        </w:rPr>
        <w:t>odmorih in počitkih</w:t>
      </w:r>
      <w:r>
        <w:rPr>
          <w:rFonts w:eastAsia="Calibri" w:cs="Arial"/>
          <w:szCs w:val="20"/>
        </w:rPr>
        <w:t xml:space="preserve">, </w:t>
      </w:r>
      <w:r w:rsidRPr="000015EC">
        <w:rPr>
          <w:rFonts w:eastAsia="Calibri" w:cs="Arial"/>
          <w:szCs w:val="20"/>
        </w:rPr>
        <w:t xml:space="preserve">pravici do odklopa, </w:t>
      </w:r>
      <w:r>
        <w:rPr>
          <w:rFonts w:eastAsia="Calibri" w:cs="Arial"/>
          <w:szCs w:val="20"/>
        </w:rPr>
        <w:t>p</w:t>
      </w:r>
      <w:r w:rsidRPr="000015EC">
        <w:rPr>
          <w:rFonts w:eastAsia="Calibri" w:cs="Arial"/>
          <w:szCs w:val="20"/>
        </w:rPr>
        <w:t>ovračilu stroškov zaradi izobraževanja</w:t>
      </w:r>
      <w:r>
        <w:rPr>
          <w:rFonts w:eastAsia="Calibri" w:cs="Arial"/>
          <w:szCs w:val="20"/>
        </w:rPr>
        <w:t xml:space="preserve">, </w:t>
      </w:r>
      <w:r w:rsidRPr="000015EC">
        <w:rPr>
          <w:rFonts w:eastAsia="Calibri" w:cs="Arial"/>
          <w:szCs w:val="20"/>
        </w:rPr>
        <w:t xml:space="preserve">priznavanju opravljenih ur za </w:t>
      </w:r>
      <w:proofErr w:type="gramStart"/>
      <w:r w:rsidRPr="000015EC">
        <w:rPr>
          <w:rFonts w:eastAsia="Calibri" w:cs="Arial"/>
          <w:szCs w:val="20"/>
        </w:rPr>
        <w:t>službeno pot</w:t>
      </w:r>
      <w:proofErr w:type="gramEnd"/>
      <w:r>
        <w:rPr>
          <w:rFonts w:eastAsia="Calibri" w:cs="Arial"/>
          <w:szCs w:val="20"/>
        </w:rPr>
        <w:t xml:space="preserve">, </w:t>
      </w:r>
      <w:r w:rsidRPr="000015EC">
        <w:rPr>
          <w:rFonts w:eastAsia="Calibri" w:cs="Arial"/>
          <w:szCs w:val="20"/>
        </w:rPr>
        <w:t>vzdrževanju osebne varovalne opreme</w:t>
      </w:r>
      <w:r>
        <w:rPr>
          <w:rFonts w:eastAsia="Calibri" w:cs="Arial"/>
          <w:szCs w:val="20"/>
        </w:rPr>
        <w:t xml:space="preserve">, </w:t>
      </w:r>
      <w:r w:rsidRPr="000015EC">
        <w:rPr>
          <w:rFonts w:eastAsia="Calibri" w:cs="Arial"/>
          <w:szCs w:val="20"/>
        </w:rPr>
        <w:t>letnem dopustu</w:t>
      </w:r>
      <w:r>
        <w:rPr>
          <w:rFonts w:eastAsia="Calibri" w:cs="Arial"/>
          <w:szCs w:val="20"/>
        </w:rPr>
        <w:t xml:space="preserve"> in </w:t>
      </w:r>
      <w:r w:rsidRPr="000015EC">
        <w:rPr>
          <w:rFonts w:eastAsia="Calibri" w:cs="Arial"/>
          <w:szCs w:val="20"/>
        </w:rPr>
        <w:t>upravičenih odsotnostih z dela, ki se vštevajo v delovni čas</w:t>
      </w:r>
      <w:r>
        <w:rPr>
          <w:rFonts w:eastAsia="Calibri" w:cs="Arial"/>
          <w:szCs w:val="20"/>
        </w:rPr>
        <w:t xml:space="preserve">, </w:t>
      </w:r>
      <w:r w:rsidRPr="000015EC">
        <w:rPr>
          <w:rFonts w:eastAsia="Calibri" w:cs="Arial"/>
          <w:szCs w:val="20"/>
        </w:rPr>
        <w:t>višini odpravnine v primeru odpovedi iz poslovnih razlogov ali ob upokojitvi</w:t>
      </w:r>
      <w:r>
        <w:rPr>
          <w:rFonts w:eastAsia="Calibri" w:cs="Arial"/>
          <w:szCs w:val="20"/>
        </w:rPr>
        <w:t xml:space="preserve">, </w:t>
      </w:r>
      <w:r w:rsidRPr="000015EC">
        <w:rPr>
          <w:rFonts w:eastAsia="Calibri" w:cs="Arial"/>
          <w:szCs w:val="20"/>
        </w:rPr>
        <w:t>solidarnostni pomoči</w:t>
      </w:r>
      <w:r>
        <w:rPr>
          <w:rFonts w:eastAsia="Calibri" w:cs="Arial"/>
          <w:szCs w:val="20"/>
        </w:rPr>
        <w:t xml:space="preserve"> in </w:t>
      </w:r>
      <w:r w:rsidRPr="000015EC">
        <w:rPr>
          <w:rFonts w:eastAsia="Calibri" w:cs="Arial"/>
          <w:szCs w:val="20"/>
        </w:rPr>
        <w:t>zagotavljanju pogojev za delo sindikata.</w:t>
      </w:r>
    </w:p>
    <w:p w14:paraId="3854181D" w14:textId="77777777" w:rsidR="00D1727D" w:rsidRDefault="00D1727D" w:rsidP="00D1727D">
      <w:pPr>
        <w:pStyle w:val="Vir"/>
      </w:pPr>
      <w:r>
        <w:t>Vir: Ministrstvo za kmetijstvo, gozdarstvo in prehrano</w:t>
      </w:r>
    </w:p>
    <w:p w14:paraId="293A07C5" w14:textId="16F1C22B" w:rsidR="00BB47F9" w:rsidRDefault="00BB47F9" w:rsidP="00BB47F9">
      <w:pPr>
        <w:pStyle w:val="Naslov2"/>
      </w:pPr>
      <w:r>
        <w:lastRenderedPageBreak/>
        <w:t>Vlada imenovala pogajalsko skupino in sprejela Izhodišča za sklenitev stavkovnega sporazuma s Sindikatom poklicnega gasilstva Slovenije</w:t>
      </w:r>
    </w:p>
    <w:p w14:paraId="2F559003" w14:textId="77777777" w:rsidR="00BB47F9" w:rsidRDefault="00BB47F9" w:rsidP="00BB47F9">
      <w:r>
        <w:t>Vlada Republike Slovenije se je seznanila s Sklepom o začetku stavke Sindikata poklicnega gasilstva Slovenije z dne 5. marca 2026 in sprejela Izhodišča za sklenitev stavkovnega sporazuma s Sindikatom poklicnega gasilstva Slovenije.</w:t>
      </w:r>
    </w:p>
    <w:p w14:paraId="00827E7A" w14:textId="77777777" w:rsidR="00BB47F9" w:rsidRDefault="00BB47F9" w:rsidP="00BB47F9"/>
    <w:p w14:paraId="293AACB5" w14:textId="77777777" w:rsidR="00BB47F9" w:rsidRDefault="00BB47F9" w:rsidP="00BB47F9">
      <w:r>
        <w:t>Vlada je za pogajanja za sklenitev stavkovnega sporazuma s Sindikatom poklicnega gasilstva Slovenije imenovala vladno pogajalsko skupino v naslednji sestavi:</w:t>
      </w:r>
    </w:p>
    <w:p w14:paraId="4B005530" w14:textId="4E70EC96" w:rsidR="00BB47F9" w:rsidRDefault="00BB47F9" w:rsidP="00BB47F9">
      <w:pPr>
        <w:pStyle w:val="Odstavekseznama"/>
        <w:numPr>
          <w:ilvl w:val="0"/>
          <w:numId w:val="35"/>
        </w:numPr>
      </w:pPr>
      <w:r>
        <w:t>mag. Borut Sajovic, minister za obrambo – vodja</w:t>
      </w:r>
    </w:p>
    <w:p w14:paraId="66D0ED53" w14:textId="0A881AC5" w:rsidR="00BB47F9" w:rsidRDefault="00BB47F9" w:rsidP="00BB47F9">
      <w:pPr>
        <w:pStyle w:val="Odstavekseznama"/>
        <w:numPr>
          <w:ilvl w:val="0"/>
          <w:numId w:val="35"/>
        </w:numPr>
      </w:pPr>
      <w:r>
        <w:t>mag. Marko Lovše, državni sekretar, Ministrstvo za obrambo – namestnik vodje</w:t>
      </w:r>
    </w:p>
    <w:p w14:paraId="782D6FA7" w14:textId="4545DF59" w:rsidR="00BB47F9" w:rsidRDefault="00BB47F9" w:rsidP="00BB47F9">
      <w:pPr>
        <w:pStyle w:val="Odstavekseznama"/>
        <w:numPr>
          <w:ilvl w:val="0"/>
          <w:numId w:val="35"/>
        </w:numPr>
      </w:pPr>
      <w:r>
        <w:t>Borko Obradović, Ministrstvo za obrambo – član</w:t>
      </w:r>
    </w:p>
    <w:p w14:paraId="02214618" w14:textId="1518D1E5" w:rsidR="00BB47F9" w:rsidRDefault="00BB47F9" w:rsidP="00BB47F9">
      <w:pPr>
        <w:pStyle w:val="Odstavekseznama"/>
        <w:numPr>
          <w:ilvl w:val="0"/>
          <w:numId w:val="35"/>
        </w:numPr>
      </w:pPr>
      <w:r>
        <w:t>Peter Pogačar, Ministrstvo za javno upravo – član</w:t>
      </w:r>
    </w:p>
    <w:p w14:paraId="518AB3E6" w14:textId="00BCFA8F" w:rsidR="00BB47F9" w:rsidRDefault="00BB47F9" w:rsidP="00BB47F9">
      <w:pPr>
        <w:pStyle w:val="Odstavekseznama"/>
        <w:numPr>
          <w:ilvl w:val="0"/>
          <w:numId w:val="35"/>
        </w:numPr>
      </w:pPr>
      <w:r>
        <w:t>Irena Momić, Ministrstvo za finance – članica</w:t>
      </w:r>
    </w:p>
    <w:p w14:paraId="51246CB3" w14:textId="3EA7D49C" w:rsidR="00BB47F9" w:rsidRDefault="00BB47F9" w:rsidP="00BB47F9">
      <w:pPr>
        <w:pStyle w:val="Odstavekseznama"/>
        <w:numPr>
          <w:ilvl w:val="0"/>
          <w:numId w:val="35"/>
        </w:numPr>
      </w:pPr>
      <w:r>
        <w:t>Tomaž Kučič, Združenje mestnih občin Slovenije – član</w:t>
      </w:r>
    </w:p>
    <w:p w14:paraId="7D6B0051" w14:textId="62354257" w:rsidR="00BB47F9" w:rsidRDefault="00BB47F9" w:rsidP="00BB47F9">
      <w:pPr>
        <w:pStyle w:val="Odstavekseznama"/>
        <w:numPr>
          <w:ilvl w:val="0"/>
          <w:numId w:val="35"/>
        </w:numPr>
      </w:pPr>
      <w:r>
        <w:t>Miha Mohor, Skupnost občin Slovenije – član</w:t>
      </w:r>
    </w:p>
    <w:p w14:paraId="0CF815D8" w14:textId="27C7A758" w:rsidR="00BB47F9" w:rsidRDefault="00BB47F9" w:rsidP="00BB47F9">
      <w:pPr>
        <w:pStyle w:val="Odstavekseznama"/>
        <w:numPr>
          <w:ilvl w:val="0"/>
          <w:numId w:val="35"/>
        </w:numPr>
      </w:pPr>
      <w:r>
        <w:t>Barbara Merše, Ministrstvo za obrambo – članica</w:t>
      </w:r>
    </w:p>
    <w:p w14:paraId="246AC108" w14:textId="388D69D3" w:rsidR="00BB47F9" w:rsidRDefault="00BB47F9" w:rsidP="00BB47F9">
      <w:pPr>
        <w:pStyle w:val="Odstavekseznama"/>
        <w:numPr>
          <w:ilvl w:val="0"/>
          <w:numId w:val="35"/>
        </w:numPr>
      </w:pPr>
      <w:r>
        <w:t>Mojca Kropivšek, Ministrstvo za obrambo – članica</w:t>
      </w:r>
    </w:p>
    <w:p w14:paraId="2E7C2746" w14:textId="77777777" w:rsidR="00BB47F9" w:rsidRDefault="00BB47F9" w:rsidP="00BB47F9"/>
    <w:p w14:paraId="6BFB7A53" w14:textId="77777777" w:rsidR="00BB47F9" w:rsidRDefault="00BB47F9" w:rsidP="00BB47F9">
      <w:r>
        <w:t>Vlada Republike Slovenije meni, da ni razlogov za stavko. Pogajanja s Sindikatom poklicnega gasilstva Slovenije za sklenitev normativnega dela Kolektivne pogodbe za dejavnost poklicnega gasilstva še potekajo, zato vlada predlaga, da sindikat svoje interese uveljavlja v okviru nadaljevanja pogajanj.</w:t>
      </w:r>
    </w:p>
    <w:p w14:paraId="71285AB9" w14:textId="2990B073" w:rsidR="009E66FD" w:rsidRDefault="00BB47F9" w:rsidP="00BB47F9">
      <w:pPr>
        <w:pStyle w:val="Vir"/>
      </w:pPr>
      <w:r>
        <w:t>Vir: Ministrstvo za obrambo</w:t>
      </w:r>
    </w:p>
    <w:p w14:paraId="4C75EB3D" w14:textId="4B10249F" w:rsidR="002A691E" w:rsidRDefault="002A691E" w:rsidP="002A691E">
      <w:pPr>
        <w:pStyle w:val="Naslov2"/>
      </w:pPr>
      <w:r>
        <w:t>Vlada o pravicah porabe proračunskih sredstev</w:t>
      </w:r>
    </w:p>
    <w:p w14:paraId="62CE6A42" w14:textId="77777777" w:rsidR="002A691E" w:rsidRDefault="002A691E" w:rsidP="002A691E">
      <w:r>
        <w:t>Vlada je na dopisni seji odločala o kvotah pravic proračunske porabe po skupinah neposrednih uporabnikov proračuna za obdobje od aprila do junija 2026, o prerazporeditvah pravic porabe in zagotovitvi pravic porabe iz sklada za proračunske rezerve.</w:t>
      </w:r>
    </w:p>
    <w:p w14:paraId="4BEB03B4" w14:textId="77777777" w:rsidR="002A691E" w:rsidRDefault="002A691E" w:rsidP="002A691E"/>
    <w:p w14:paraId="23CF63C9" w14:textId="4456AB00" w:rsidR="002A691E" w:rsidRDefault="002A691E" w:rsidP="002A691E">
      <w:r>
        <w:t xml:space="preserve">Vlada je tako določila kvote pravic proračunske porabe za obdobje od aprila do junija 2026. Predlagana kvota za drugo trimesečje 2026 znaša 4.758 milijonov evrov, kar je 26,9 </w:t>
      </w:r>
      <w:proofErr w:type="gramStart"/>
      <w:r>
        <w:t>odstotkov</w:t>
      </w:r>
      <w:proofErr w:type="gramEnd"/>
      <w:r>
        <w:t xml:space="preserve"> vseh pravic porabe, kot izhajajo iz Sprememb proračuna RS za leto 2026.</w:t>
      </w:r>
    </w:p>
    <w:p w14:paraId="3C53A2D4" w14:textId="77777777" w:rsidR="002A691E" w:rsidRDefault="002A691E" w:rsidP="002A691E"/>
    <w:p w14:paraId="14C1F3BC" w14:textId="77777777" w:rsidR="002A691E" w:rsidRDefault="002A691E" w:rsidP="002A691E">
      <w:r>
        <w:t xml:space="preserve">Poleg tega so bile na vladi sprejete prerazporeditve pravic porabi, in sicer Ministrstvo za naravne vire in prostor prerazporeja pravice porabe v višini 90 tisoč evrov v okviru svojega finančnega načrta, z namenom zagotavljanja zadostnih sredstev za sanacijo plazu </w:t>
      </w:r>
      <w:proofErr w:type="spellStart"/>
      <w:r>
        <w:t>Stovže</w:t>
      </w:r>
      <w:proofErr w:type="spellEnd"/>
      <w:r>
        <w:t xml:space="preserve"> nad Logom pod Mangartom. </w:t>
      </w:r>
    </w:p>
    <w:p w14:paraId="5267DBA3" w14:textId="77777777" w:rsidR="002A691E" w:rsidRDefault="002A691E" w:rsidP="002A691E"/>
    <w:p w14:paraId="47299411" w14:textId="77777777" w:rsidR="002A691E" w:rsidRDefault="002A691E" w:rsidP="002A691E">
      <w:r>
        <w:t xml:space="preserve">Ministrstvo za delo, družino, socialne zadeve in enake možnosti (MDDSZ) prerazporeja pravice porabe v okviru svojega finančnega načrta v višini dobrih 74 tisoč evrov. Sredstva se prerazporedijo na novo proračunsko postavko Vračila na sklad NOO - delna ne izvedba ukrepa, ker je bilo na podlagi izvedenih administrativnih preverjanj na Urad evropskega delegiranega tožilca podana prijava za štiri projekte, za katere je sprožen preiskovalni postopek. Za omenjene projekte so že bila za izvajanje projektov prejeta finančna sredstva v navedeni višini in na podlagi Urada za okrevanje in odpornost je bil mejnik načrta za okrevanje in odpornost (NOO) znižan, s čimer so bili ti projekti izločeni iz mejnika. MDDSZ je dolžan že izplačana sredstva vrniti iz integralne proračunske postavke. </w:t>
      </w:r>
    </w:p>
    <w:p w14:paraId="35933A0F" w14:textId="77777777" w:rsidR="002A691E" w:rsidRDefault="002A691E" w:rsidP="002A691E"/>
    <w:p w14:paraId="6633C885" w14:textId="21222286" w:rsidR="002A691E" w:rsidRDefault="002A691E" w:rsidP="002A691E">
      <w:r>
        <w:t xml:space="preserve">Ministrstvo za digitalno preobrazbo prerazporeja pravice porabe v okviru svojega finančnega načrta v višini 2,7 milijona evrov, za namen upravljanja informacijsko komunikacijskih sistemov državne uprave. Ministrstvo za vzgojo in izobraževanje pa prerazporeja pravice porabe v okviru svojega finančnega načrta v višini približno 15,5 tisoč evrov, in sicer za zagotovitev slovenske udeležbe pri </w:t>
      </w:r>
      <w:r>
        <w:lastRenderedPageBreak/>
        <w:t xml:space="preserve">kritju stroškov članarine za projekt TALIS 2025 ter za zagotovitev slovenske udeležbe pri kritju stroškov podpornih </w:t>
      </w:r>
      <w:proofErr w:type="gramStart"/>
      <w:r>
        <w:t>aktivnosti</w:t>
      </w:r>
      <w:proofErr w:type="gramEnd"/>
      <w:r>
        <w:t xml:space="preserve"> na področju izobraževanja in športa.</w:t>
      </w:r>
    </w:p>
    <w:p w14:paraId="3427D967" w14:textId="77777777" w:rsidR="002A691E" w:rsidRDefault="002A691E" w:rsidP="002A691E"/>
    <w:p w14:paraId="6BA0807D" w14:textId="6C2720F2" w:rsidR="002A691E" w:rsidRDefault="002A691E" w:rsidP="002A691E">
      <w:r>
        <w:t>Ministrstvu za naravne vire in prostor pa se zagotovijo pravice porabe v višini 6,3 milijona evrov iz sredstev sklada proračunske rezerve za izvedbo Programa odprave posledic neposredne škode na stvareh zaradi neurja s poplavami in zemeljskimi plazovi 16. in 17. novembra 2025,</w:t>
      </w:r>
      <w:proofErr w:type="gramStart"/>
      <w:r>
        <w:t xml:space="preserve"> ,</w:t>
      </w:r>
      <w:proofErr w:type="gramEnd"/>
      <w:r>
        <w:t xml:space="preserve"> ki so prizadela občine v Gorenjski in Severno primorski regiji. </w:t>
      </w:r>
    </w:p>
    <w:p w14:paraId="076E2404" w14:textId="77777777" w:rsidR="002A691E" w:rsidRDefault="002A691E" w:rsidP="002A691E">
      <w:pPr>
        <w:pStyle w:val="Vir"/>
      </w:pPr>
      <w:r>
        <w:t>Vir: Ministrstvo za finance</w:t>
      </w:r>
    </w:p>
    <w:p w14:paraId="25610FFE" w14:textId="315DBDB1" w:rsidR="00442E20" w:rsidRDefault="00442E20" w:rsidP="00442E20">
      <w:pPr>
        <w:pStyle w:val="Naslov2"/>
      </w:pPr>
      <w:r>
        <w:t xml:space="preserve">V Načrt razvojnih programov uvrščena umestitev satelitskega urgentnega </w:t>
      </w:r>
      <w:proofErr w:type="gramStart"/>
      <w:r>
        <w:t>centra</w:t>
      </w:r>
      <w:proofErr w:type="gramEnd"/>
      <w:r>
        <w:t xml:space="preserve"> v ZD Grosuplje</w:t>
      </w:r>
    </w:p>
    <w:p w14:paraId="159D7940" w14:textId="514C9012" w:rsidR="00442E20" w:rsidRDefault="00442E20" w:rsidP="00442E20">
      <w:r>
        <w:t xml:space="preserve">V Načrt razvojnih programov za obdobje 2026–2029 je vlada uvrstila umestitev satelitskega urgentnega </w:t>
      </w:r>
      <w:proofErr w:type="gramStart"/>
      <w:r>
        <w:t>centra</w:t>
      </w:r>
      <w:proofErr w:type="gramEnd"/>
      <w:r>
        <w:t xml:space="preserve"> (SUC) v obstoječe prostore za nujno medicinsko pomoč (NMP) Zdravstvenega doma (ZD) Grosuplje. Rekonstrukcija prostorov ZD Grosuplje za umestitev programa SUC je predvidena v delu pritličja severnega objekta, kjer so </w:t>
      </w:r>
      <w:proofErr w:type="gramStart"/>
      <w:r>
        <w:t>sedaj</w:t>
      </w:r>
      <w:proofErr w:type="gramEnd"/>
      <w:r>
        <w:t xml:space="preserve"> prostori nujne medicinske pomoči, garaža za reševalna vozila in skladišče medicinskih odpadkov.</w:t>
      </w:r>
    </w:p>
    <w:p w14:paraId="0B0A3A80" w14:textId="77777777" w:rsidR="00442E20" w:rsidRDefault="00442E20" w:rsidP="00442E20"/>
    <w:p w14:paraId="55414485" w14:textId="013FE393" w:rsidR="00442E20" w:rsidRDefault="00442E20" w:rsidP="00442E20">
      <w:r>
        <w:t xml:space="preserve">Namen </w:t>
      </w:r>
      <w:proofErr w:type="gramStart"/>
      <w:r>
        <w:t>investicije</w:t>
      </w:r>
      <w:proofErr w:type="gramEnd"/>
      <w:r>
        <w:t xml:space="preserve"> je vzpostavitev ustrezne prostorske in infrastrukturne podpore za izvajanje nujne medicinske pomoči ter upravnih funkcij ZD Grosuplje, s čimer se bo izboljšala kakovost zdravstvenih storitev, omogočili ustrezni delovni pogoji, zagotovila skladnost z zakonodajo in prispevalo k večji kakovosti bivanja v lokalnem okolju.</w:t>
      </w:r>
    </w:p>
    <w:p w14:paraId="2D297077" w14:textId="77777777" w:rsidR="00442E20" w:rsidRDefault="00442E20" w:rsidP="00442E20"/>
    <w:p w14:paraId="43EE8BF7" w14:textId="2272E78A" w:rsidR="00442E20" w:rsidRDefault="00442E20" w:rsidP="00442E20">
      <w:r>
        <w:t xml:space="preserve">Ocenjena skupna vrednost </w:t>
      </w:r>
      <w:proofErr w:type="gramStart"/>
      <w:r>
        <w:t>investicije</w:t>
      </w:r>
      <w:proofErr w:type="gramEnd"/>
      <w:r>
        <w:t xml:space="preserve"> je 1.731.836,36 evra z DDV. Ministrstvo za zdravje bo sofinanciralo do 1.563.247 evrov, preostali znesek pa bo zagotovila občina Grosuplje.</w:t>
      </w:r>
    </w:p>
    <w:p w14:paraId="317C60EB" w14:textId="77777777" w:rsidR="00442E20" w:rsidRDefault="00442E20" w:rsidP="00442E20">
      <w:r>
        <w:t>Vzpostavitev SUC je načrtovana do konca leta 2027.</w:t>
      </w:r>
    </w:p>
    <w:p w14:paraId="2358B6B1" w14:textId="0B9ED737" w:rsidR="00E1074E" w:rsidRDefault="00442E20" w:rsidP="00442E20">
      <w:pPr>
        <w:pStyle w:val="Vir"/>
      </w:pPr>
      <w:r>
        <w:t>Vir: Ministrstvo za zdravje</w:t>
      </w:r>
    </w:p>
    <w:p w14:paraId="36CC934A" w14:textId="76267173" w:rsidR="00667363" w:rsidRDefault="00667363" w:rsidP="00667363">
      <w:pPr>
        <w:pStyle w:val="Naslov2"/>
      </w:pPr>
      <w:proofErr w:type="gramStart"/>
      <w:r>
        <w:t>Sprememba Načrta</w:t>
      </w:r>
      <w:proofErr w:type="gramEnd"/>
      <w:r>
        <w:t xml:space="preserve"> razvojnih programov za projekt Informatizacija Ministrstva za pravosodje 2026–2029</w:t>
      </w:r>
    </w:p>
    <w:p w14:paraId="3B17653C" w14:textId="77777777" w:rsidR="00667363" w:rsidRDefault="00667363" w:rsidP="00667363">
      <w:r>
        <w:t xml:space="preserve">Vlada Republike Slovenije je na dopisni seji sprejela </w:t>
      </w:r>
      <w:proofErr w:type="gramStart"/>
      <w:r>
        <w:t>spremembo Načrta</w:t>
      </w:r>
      <w:proofErr w:type="gramEnd"/>
      <w:r>
        <w:t xml:space="preserve"> razvojnih programov za projekt Informatizacija Ministrstva za pravosodje 2026–2029.</w:t>
      </w:r>
    </w:p>
    <w:p w14:paraId="0B937F93" w14:textId="77777777" w:rsidR="00667363" w:rsidRDefault="00667363" w:rsidP="00667363"/>
    <w:p w14:paraId="3491D689" w14:textId="77777777" w:rsidR="00667363" w:rsidRDefault="00667363" w:rsidP="00667363">
      <w:r>
        <w:t xml:space="preserve">Vrednost projekta se povečuje zaradi nakupa AVK opreme za razpravno dvorano v Zavodu za prestajanje kazni zapora Dobrunje ter nadgradnje informacijskega sistema </w:t>
      </w:r>
      <w:proofErr w:type="spellStart"/>
      <w:r>
        <w:t>eCIP</w:t>
      </w:r>
      <w:proofErr w:type="spellEnd"/>
      <w:r>
        <w:t xml:space="preserve">, ki ga nadgrajuje </w:t>
      </w:r>
      <w:proofErr w:type="gramStart"/>
      <w:r>
        <w:t>Center</w:t>
      </w:r>
      <w:proofErr w:type="gramEnd"/>
      <w:r>
        <w:t xml:space="preserve"> za izobraževanje v pravosodju.</w:t>
      </w:r>
    </w:p>
    <w:p w14:paraId="59E01F15" w14:textId="77777777" w:rsidR="00667363" w:rsidRDefault="00667363" w:rsidP="00667363"/>
    <w:p w14:paraId="06155641" w14:textId="77777777" w:rsidR="00667363" w:rsidRDefault="00667363" w:rsidP="00667363">
      <w:r>
        <w:t xml:space="preserve">Namen projekta je zagotavljati vzdrževan informacijski sistem ministrstva s prilagoditvami spremembam zakonodaje in informacijskim gradnikom državne informatike. Cilj projekta je ohranjati visoko razpoložljivost informacijskega sistema Ministrstva za pravosodje, katerega </w:t>
      </w:r>
      <w:proofErr w:type="gramStart"/>
      <w:r>
        <w:t>koristniki</w:t>
      </w:r>
      <w:proofErr w:type="gramEnd"/>
      <w:r>
        <w:t xml:space="preserve"> so tudi drugi organi javne uprave in državljani.</w:t>
      </w:r>
    </w:p>
    <w:p w14:paraId="7B9AA51F" w14:textId="77777777" w:rsidR="00667363" w:rsidRDefault="00667363" w:rsidP="00667363"/>
    <w:p w14:paraId="76BD883A" w14:textId="77777777" w:rsidR="00667363" w:rsidRDefault="00667363" w:rsidP="00667363">
      <w:r>
        <w:t xml:space="preserve">Novelacija </w:t>
      </w:r>
      <w:proofErr w:type="gramStart"/>
      <w:r>
        <w:t>investicijskega</w:t>
      </w:r>
      <w:proofErr w:type="gramEnd"/>
      <w:r>
        <w:t xml:space="preserve"> programa se nanaša na obdobje od 1. januarja 2026 do zaključka financiranja 31. decembra 2029.</w:t>
      </w:r>
    </w:p>
    <w:p w14:paraId="1F963328" w14:textId="601FFD8C" w:rsidR="009E66FD" w:rsidRPr="009E66FD" w:rsidRDefault="00667363" w:rsidP="00667363">
      <w:pPr>
        <w:pStyle w:val="Vir"/>
      </w:pPr>
      <w:r>
        <w:t>Vir: Ministrstvo za pravosodje</w:t>
      </w:r>
    </w:p>
    <w:p w14:paraId="6EE6BB38" w14:textId="706A54AF" w:rsidR="00B81C18" w:rsidRDefault="00B81C18" w:rsidP="00B81C18">
      <w:pPr>
        <w:pStyle w:val="Naslov2"/>
      </w:pPr>
      <w:r>
        <w:t xml:space="preserve">Odgovor Republike Slovenije v predsodnem postopku na uradni opomin Evropske komisije zaradi </w:t>
      </w:r>
      <w:proofErr w:type="spellStart"/>
      <w:r>
        <w:t>nenotifikacije</w:t>
      </w:r>
      <w:proofErr w:type="spellEnd"/>
      <w:r>
        <w:t xml:space="preserve"> predpisov za prenos </w:t>
      </w:r>
      <w:proofErr w:type="gramStart"/>
      <w:r>
        <w:t>Direktive</w:t>
      </w:r>
      <w:proofErr w:type="gramEnd"/>
      <w:r>
        <w:t xml:space="preserve"> (EU) 2024/1438</w:t>
      </w:r>
    </w:p>
    <w:p w14:paraId="782A1040" w14:textId="77777777" w:rsidR="00B81C18" w:rsidRDefault="00B81C18" w:rsidP="00B81C18">
      <w:r>
        <w:lastRenderedPageBreak/>
        <w:t xml:space="preserve">Vlada je sprejela odgovor Republike Slovenije v predsodnem postopku na uradni opomin Evropske komisije zaradi </w:t>
      </w:r>
      <w:proofErr w:type="spellStart"/>
      <w:r>
        <w:t>nenotifikacije</w:t>
      </w:r>
      <w:proofErr w:type="spellEnd"/>
      <w:r>
        <w:t xml:space="preserve"> predpisov za prenos </w:t>
      </w:r>
      <w:proofErr w:type="gramStart"/>
      <w:r>
        <w:t>Direktive</w:t>
      </w:r>
      <w:proofErr w:type="gramEnd"/>
      <w:r>
        <w:t xml:space="preserve"> 2024/1438/EU z dne 14. maja 2024 o spremembi direktiv o medu, o sadnih sokovih in nekaterih podobnih proizvodih, namenjenih za prehrano ljudi, o sadnih džemih, želejih, marmeladah in sladkani kostanjevi kaši, namenjeni za prehrano ljudi, ter o nekaterih vrstah delno ali v celoti dehidriranega konzerviranega mleka za prehrano ljudi v pravni red Republike Slovenije.</w:t>
      </w:r>
    </w:p>
    <w:p w14:paraId="00BE64C2" w14:textId="77777777" w:rsidR="00B81C18" w:rsidRDefault="00B81C18" w:rsidP="00B81C18"/>
    <w:p w14:paraId="232C238C" w14:textId="77777777" w:rsidR="00B81C18" w:rsidRDefault="00B81C18" w:rsidP="00B81C18">
      <w:r>
        <w:t xml:space="preserve">Republika Slovenija je 30. januarja 2026 prejela uradni opomin Evropske komisije zaradi </w:t>
      </w:r>
      <w:proofErr w:type="spellStart"/>
      <w:r>
        <w:t>nenotifikacije</w:t>
      </w:r>
      <w:proofErr w:type="spellEnd"/>
      <w:r>
        <w:t xml:space="preserve"> predpisov za prenos </w:t>
      </w:r>
      <w:proofErr w:type="gramStart"/>
      <w:r>
        <w:t>Direktive</w:t>
      </w:r>
      <w:proofErr w:type="gramEnd"/>
      <w:r>
        <w:t xml:space="preserve"> (EU) 2024/1438. Vlada pojasnjuje, da bo Republika Slovenija določbe te </w:t>
      </w:r>
      <w:proofErr w:type="gramStart"/>
      <w:r>
        <w:t>direktive</w:t>
      </w:r>
      <w:proofErr w:type="gramEnd"/>
      <w:r>
        <w:t xml:space="preserve"> v svoj pravni red v celoti prenesla s štirimi nacionalnimi predpisi, ki določajo kakovost in označevanje živil. To so Pravilnik o kakovosti in označevanju medu, Pravilnik o kakovosti in označevanju sadnih sokov in nekaterih podobnih proizvodov, namenjenih za prehrano ljudi, Pravilnik o kakovosti in označevanju sadnih džemov, želejev, marmelad in sladkane kostanjeve kaše in Pravilnik o kakovosti in označevanju dehidriranega konzerviranega mleka. Vsi štirje predpisi so bili od 9. do 24. februarja 2026 v javni obravnavi in so trenutno v medresorskem usklajevanju. Predpisi bodo sprejeti in objavljeni v Uradnem listu Republike Slovenije marca 2026. Po njihovi objavi bo Vlada Evropski komisiji ustrezno priglasila besedila ustreznih določb nacionalne zakonodaje. S sprejetjem teh nacionalnih predpisov bo Republika Slovenija v celoti izpolnila obveznosti, ki izhajajo iz 5. člena </w:t>
      </w:r>
      <w:proofErr w:type="gramStart"/>
      <w:r>
        <w:t>Direktive</w:t>
      </w:r>
      <w:proofErr w:type="gramEnd"/>
      <w:r>
        <w:t xml:space="preserve"> 2024/1438/EU.</w:t>
      </w:r>
    </w:p>
    <w:p w14:paraId="5491B734" w14:textId="6F5C66C2" w:rsidR="00E1074E" w:rsidRDefault="00B81C18" w:rsidP="00B81C18">
      <w:pPr>
        <w:pStyle w:val="Vir"/>
      </w:pPr>
      <w:r>
        <w:t>Vir: Ministrstvo za kmetijstvo, gozdarstvo in prehrano</w:t>
      </w:r>
    </w:p>
    <w:p w14:paraId="641CFA46" w14:textId="763E0DD7" w:rsidR="000C0A0C" w:rsidRDefault="000C0A0C" w:rsidP="000C0A0C">
      <w:pPr>
        <w:pStyle w:val="Naslov2"/>
      </w:pPr>
      <w:r>
        <w:t>Republika Slovenija bo pripravila spremembe zakonodaje o kolektivnem upravljanju avtorskih pravic</w:t>
      </w:r>
    </w:p>
    <w:p w14:paraId="6F2A0999" w14:textId="77777777" w:rsidR="000C0A0C" w:rsidRDefault="000C0A0C" w:rsidP="000C0A0C">
      <w:r>
        <w:t xml:space="preserve">Evropska komisija je 30. januarja 2026 Republiki Sloveniji poslala uradni opomin zaradi domnevne neskladnosti slovenske zakonodaje s pravom Evropske unije na področju kolektivnega upravljanja avtorske in sorodnih pravic. Komisija navaja, da nekatere določbe Zakona o kolektivnem upravljanju avtorske in sorodnih pravic (ZKUASP) niso v celoti skladne s prvim odstavkom 3. člena </w:t>
      </w:r>
      <w:proofErr w:type="gramStart"/>
      <w:r>
        <w:t>Direktive</w:t>
      </w:r>
      <w:proofErr w:type="gramEnd"/>
      <w:r>
        <w:t xml:space="preserve"> 2001/29/ES ter 5. členom Direktive 2014/26/EU, zlasti v povezavi z določbami 9. in 10. člena ter tretjega odstavka 18. člena ZKUASP. </w:t>
      </w:r>
    </w:p>
    <w:p w14:paraId="3ABF218D" w14:textId="77777777" w:rsidR="000C0A0C" w:rsidRDefault="000C0A0C" w:rsidP="000C0A0C"/>
    <w:p w14:paraId="5176F883" w14:textId="77777777" w:rsidR="000C0A0C" w:rsidRDefault="000C0A0C" w:rsidP="000C0A0C">
      <w:r>
        <w:t xml:space="preserve">Republika Slovenija pojasnjuje, da je namen obveznega kolektivnega upravljanja avtorske in sorodnih pravic zagotoviti učinkovito varstvo pravic avtorjev v primerih množične uporabe del, kjer posamezni imetniki pravic praviloma nimajo možnosti učinkovitega individualnega upravljanja svojih pravic. Tak sistem omogoča tudi uporabnikom enostavnejše urejanje obveznosti do imetnikov pravic, saj lahko potrebne pravice za uporabo del pridobijo </w:t>
      </w:r>
      <w:proofErr w:type="gramStart"/>
      <w:r>
        <w:t>na enem mestu</w:t>
      </w:r>
      <w:proofErr w:type="gramEnd"/>
      <w:r>
        <w:t>.</w:t>
      </w:r>
    </w:p>
    <w:p w14:paraId="5C288EB5" w14:textId="77777777" w:rsidR="000C0A0C" w:rsidRDefault="000C0A0C" w:rsidP="000C0A0C"/>
    <w:p w14:paraId="1AF79CC8" w14:textId="77777777" w:rsidR="000C0A0C" w:rsidRDefault="000C0A0C" w:rsidP="000C0A0C">
      <w:r>
        <w:t xml:space="preserve">Ureditev obveznega kolektivnega upravljanja pravic za </w:t>
      </w:r>
      <w:proofErr w:type="gramStart"/>
      <w:r>
        <w:t>priobčitev</w:t>
      </w:r>
      <w:proofErr w:type="gramEnd"/>
      <w:r>
        <w:t xml:space="preserve"> javnosti </w:t>
      </w:r>
      <w:proofErr w:type="spellStart"/>
      <w:r>
        <w:t>neodrskih</w:t>
      </w:r>
      <w:proofErr w:type="spellEnd"/>
      <w:r>
        <w:t xml:space="preserve"> glasbenih in pisanih del ima v Republiki Sloveniji dolgo tradicijo in je bila vzpostavljena že z osnovnim Zakonom o </w:t>
      </w:r>
      <w:proofErr w:type="gramStart"/>
      <w:r>
        <w:t>avtorski</w:t>
      </w:r>
      <w:proofErr w:type="gramEnd"/>
      <w:r>
        <w:t xml:space="preserve"> in sorodnih pravicah iz leta 1995, kasneje pa ohranjena tudi v nadaljnjih zakonodajnih spremembah.</w:t>
      </w:r>
    </w:p>
    <w:p w14:paraId="28467522" w14:textId="77777777" w:rsidR="000C0A0C" w:rsidRDefault="000C0A0C" w:rsidP="000C0A0C"/>
    <w:p w14:paraId="32084FFA" w14:textId="77777777" w:rsidR="000C0A0C" w:rsidRDefault="000C0A0C" w:rsidP="000C0A0C">
      <w:r>
        <w:t xml:space="preserve">Res pa trenutna ureditev po ZKUASP v določenih primerih avtorjem ne omogoča, da bi izključne pravice pri </w:t>
      </w:r>
      <w:proofErr w:type="gramStart"/>
      <w:r>
        <w:t>priobčitvi</w:t>
      </w:r>
      <w:proofErr w:type="gramEnd"/>
      <w:r>
        <w:t xml:space="preserve"> javnosti upravljali individualno ali jih zaupali v upravljanje subjektu, ki ni kolektivna organizacija. Prav tako je izbira kolektivne organizacije v primerih obveznega kolektivnega upravljanja pravic omejena na eno kolektivno organizacijo.</w:t>
      </w:r>
    </w:p>
    <w:p w14:paraId="03F0ED43" w14:textId="77777777" w:rsidR="000C0A0C" w:rsidRDefault="000C0A0C" w:rsidP="000C0A0C"/>
    <w:p w14:paraId="4CCAC2BC" w14:textId="77777777" w:rsidR="000C0A0C" w:rsidRDefault="000C0A0C" w:rsidP="000C0A0C">
      <w:r>
        <w:t>Ministrstvo za gospodarstvo, turizem in šport bo zato pripravilo predlog sprememb ZKUASP, s katerimi bo ureditev ustrezno prilagojena in usklajena s pravom Evropske unije. Republika Slovenija načrtuje, da bo neskladnosti z evropskim pravom odpravila do konca leta 2026. Pri pripravi sprememb pa bo upoštevana tudi raziskava Učinkovitost sistema kolektivnega upravljanja avtorske in sorodnih pravic v Republiki Sloveniji.</w:t>
      </w:r>
    </w:p>
    <w:p w14:paraId="08A336A8" w14:textId="3455BF58" w:rsidR="00E1074E" w:rsidRDefault="000C0A0C" w:rsidP="000C0A0C">
      <w:pPr>
        <w:pStyle w:val="Vir"/>
      </w:pPr>
      <w:r>
        <w:lastRenderedPageBreak/>
        <w:t>Vir: Ministrstvo za gospodarstvo, turizem in šport</w:t>
      </w:r>
    </w:p>
    <w:p w14:paraId="43E67B91" w14:textId="5C43479A" w:rsidR="00133242" w:rsidRDefault="00133242" w:rsidP="00133242">
      <w:pPr>
        <w:pStyle w:val="Naslov2"/>
      </w:pPr>
      <w:r>
        <w:t>Slovenija pozdravlja predlog Uredbe o spremembi Uredbe (EU) 2024/1252 o vzpostavitvi zanesljive in trajnostne oskrbe s kritičnimi surovinami</w:t>
      </w:r>
    </w:p>
    <w:p w14:paraId="568D8F34" w14:textId="77777777" w:rsidR="00133242" w:rsidRDefault="00133242" w:rsidP="00133242">
      <w:r>
        <w:t>Vlada je sprejela predlog stališča do predloga uredbe Evropskega parlamenta in Sveta o spremembi Uredbe (EU) 2024/1252, ki se nanaša na vzpostavitev zanesljive in trajnostne oskrbe s kritičnimi surovinami.</w:t>
      </w:r>
    </w:p>
    <w:p w14:paraId="0FBB9064" w14:textId="77777777" w:rsidR="00133242" w:rsidRDefault="00133242" w:rsidP="00133242"/>
    <w:p w14:paraId="299EFF48" w14:textId="77777777" w:rsidR="00133242" w:rsidRDefault="00133242" w:rsidP="00133242">
      <w:r>
        <w:t>Republika Slovenija podpira predlagane spremembe uredbe in ocenjuje, da bodo ciljno usmerjene spremembe prispevale k preprečevanju razdrobljenosti enotnega trga, ki lahko nastane zaradi različnih načinov opredeljevanja velikih podjetij v državah članicah. Pri tem poudarja pomen usklajenega pristopa k identifikaciji teh podjetij ter sodelovanja med državami članicami in Evropsko komisijo. Hkrati opozarja, da ukrepi ne smejo posegati v podjetniško svobodo velikih podjetij, ki delujejo v globalnih vrednostnih verigah strateških surovin.</w:t>
      </w:r>
    </w:p>
    <w:p w14:paraId="53B4346A" w14:textId="77777777" w:rsidR="00133242" w:rsidRDefault="00133242" w:rsidP="00133242"/>
    <w:p w14:paraId="434B9662" w14:textId="77777777" w:rsidR="00133242" w:rsidRDefault="00133242" w:rsidP="00133242">
      <w:r>
        <w:t xml:space="preserve">Slovenija pozdravlja tudi ukrepe za celovitejši pristop k spodbujanju recikliranja izdelkov, ki vsebujejo trajne magnete, saj ti lahko pomembno prispevajo k večji krožnosti surovin v Evropski uniji. Ob tem </w:t>
      </w:r>
      <w:proofErr w:type="gramStart"/>
      <w:r>
        <w:t>izraža</w:t>
      </w:r>
      <w:proofErr w:type="gramEnd"/>
      <w:r>
        <w:t xml:space="preserve"> dvom, da bo povečanje recikliranja mogoče doseči zgolj s širjenjem obsega označevanja in določitvijo deležev recikliranih materialov, brez dodatnih obveznosti za sektor ravnanja z odpadki in </w:t>
      </w:r>
      <w:proofErr w:type="spellStart"/>
      <w:r>
        <w:t>reciklerje</w:t>
      </w:r>
      <w:proofErr w:type="spellEnd"/>
      <w:r>
        <w:t>.</w:t>
      </w:r>
    </w:p>
    <w:p w14:paraId="45D4F934" w14:textId="77777777" w:rsidR="00133242" w:rsidRDefault="00133242" w:rsidP="00133242"/>
    <w:p w14:paraId="1669244C" w14:textId="77777777" w:rsidR="00133242" w:rsidRDefault="00133242" w:rsidP="00133242">
      <w:r>
        <w:t>Predlagani ukrepi bodo pomembno prispevali tudi k čisti in digitalni preobrazbi, saj bodo zagotovili boljšo dostopnost ključnih surovin za industrijo. Boljša sledljivost materialov bo omogočila več recikliranja in ponovne uporabe, kar dolgoročno pomeni bolj zanesljivo in trajnostno oskrbo EU s kritičnimi surovinami.</w:t>
      </w:r>
    </w:p>
    <w:p w14:paraId="18E98A77" w14:textId="1CA62249" w:rsidR="00133242" w:rsidRDefault="00133242" w:rsidP="00133242">
      <w:pPr>
        <w:pStyle w:val="Vir"/>
      </w:pPr>
      <w:r>
        <w:t>Vir: Ministrstvo za gospodarstvo, turizem in šport</w:t>
      </w:r>
    </w:p>
    <w:p w14:paraId="28DE0AA0" w14:textId="201B2FBB" w:rsidR="00E1074E" w:rsidRDefault="00B33791" w:rsidP="00B33791">
      <w:pPr>
        <w:pStyle w:val="Naslov2"/>
      </w:pPr>
      <w:r>
        <w:t>S</w:t>
      </w:r>
      <w:r w:rsidR="00E1074E">
        <w:t>tališč</w:t>
      </w:r>
      <w:r>
        <w:t>e</w:t>
      </w:r>
      <w:r w:rsidR="00E1074E">
        <w:t xml:space="preserve"> Republike Slovenije do </w:t>
      </w:r>
      <w:r>
        <w:t>p</w:t>
      </w:r>
      <w:r w:rsidR="00E1074E">
        <w:t xml:space="preserve">redloga uredbe Evropskega parlamenta in Sveta o spremembi Uredbe (EU) </w:t>
      </w:r>
      <w:proofErr w:type="gramStart"/>
      <w:r w:rsidR="00E1074E">
        <w:t>2024/1252</w:t>
      </w:r>
      <w:proofErr w:type="gramEnd"/>
    </w:p>
    <w:p w14:paraId="0949BBBE" w14:textId="484A675D" w:rsidR="00144F6D" w:rsidRDefault="00144F6D" w:rsidP="00144F6D">
      <w:r>
        <w:t>Vlada Republike Slovenije je na dopisni seji sprejela stališče Republike Slovenije k predlogu uredbe Evropskega parlamenta in Sveta o podaljšanju obdobja uporabe Uredbe (EU) 2021/1232.</w:t>
      </w:r>
      <w:r w:rsidR="00B33791">
        <w:t xml:space="preserve"> </w:t>
      </w:r>
      <w:r>
        <w:t xml:space="preserve">Uredba določa začasna pravila, ki ponudnikom določenih medosebnih komunikacijskih storitev omogočajo uporabo tehnologij za odkrivanje spolne zlorabe otrok na spletu ter za prijavo in odstranitev takšnih vsebin. </w:t>
      </w:r>
    </w:p>
    <w:p w14:paraId="4DC6A302" w14:textId="77777777" w:rsidR="00144F6D" w:rsidRDefault="00144F6D" w:rsidP="00144F6D"/>
    <w:p w14:paraId="2959B837" w14:textId="75DA2B93" w:rsidR="00144F6D" w:rsidRDefault="00144F6D" w:rsidP="00144F6D">
      <w:r>
        <w:t>Podaljšanje veljavnosti obstoječe ureditve je nujno, da se prepreči nastanek pravne praznine. Slovenija zato podpira podaljšanje uporabe uredbe do 3. aprila 2028, pri čemer poudarja, da morajo biti začasni ukrepi še naprej omejeni na nujno in sorazmerno.</w:t>
      </w:r>
    </w:p>
    <w:p w14:paraId="554D5C5B" w14:textId="77777777" w:rsidR="00144F6D" w:rsidRDefault="00144F6D" w:rsidP="00144F6D">
      <w:pPr>
        <w:pStyle w:val="Vir"/>
      </w:pPr>
      <w:r>
        <w:t>Vir: Ministrstvo za digitalno preobrazbo</w:t>
      </w:r>
    </w:p>
    <w:p w14:paraId="37559A8B" w14:textId="040B09D2" w:rsidR="00CC498B" w:rsidRDefault="00CC498B" w:rsidP="00CC498B">
      <w:pPr>
        <w:pStyle w:val="Naslov2"/>
      </w:pPr>
      <w:r>
        <w:t xml:space="preserve">Uredba o ratifikaciji Splošnega sporazuma o sodelovanju med vladama Slovenije in </w:t>
      </w:r>
      <w:proofErr w:type="spellStart"/>
      <w:r>
        <w:t>Saudove</w:t>
      </w:r>
      <w:proofErr w:type="spellEnd"/>
      <w:r>
        <w:t xml:space="preserve"> Arabije</w:t>
      </w:r>
    </w:p>
    <w:p w14:paraId="00D577A2" w14:textId="77777777" w:rsidR="00CC498B" w:rsidRDefault="00CC498B" w:rsidP="00CC498B">
      <w:r>
        <w:t xml:space="preserve">Vlada Republike Slovenije je izdala Uredbo o ratifikaciji Splošnega sporazuma o sodelovanju med Vlado Republike Slovenije in Vlado Kraljevine </w:t>
      </w:r>
      <w:proofErr w:type="spellStart"/>
      <w:r>
        <w:t>Saudove</w:t>
      </w:r>
      <w:proofErr w:type="spellEnd"/>
      <w:r>
        <w:t xml:space="preserve"> Arabije, podpisanega v Ljubljani 6. februarja 2026.</w:t>
      </w:r>
    </w:p>
    <w:p w14:paraId="185B3EB2" w14:textId="77777777" w:rsidR="00CC498B" w:rsidRDefault="00CC498B" w:rsidP="00CC498B"/>
    <w:p w14:paraId="7F80F905" w14:textId="6BF032E8" w:rsidR="00CC498B" w:rsidRDefault="00CC498B" w:rsidP="00CC498B">
      <w:r>
        <w:t xml:space="preserve">Sklenitev splošnega sporazuma o sodelovanju s Kraljevino </w:t>
      </w:r>
      <w:proofErr w:type="spellStart"/>
      <w:r>
        <w:t>Saudovo</w:t>
      </w:r>
      <w:proofErr w:type="spellEnd"/>
      <w:r>
        <w:t xml:space="preserve"> Arabijo omogoča ugodnejše pogoje za medsebojno sodelovanje podjetij in institucij obeh držav. Sporazum predstavlja tudi pravno-</w:t>
      </w:r>
      <w:r>
        <w:lastRenderedPageBreak/>
        <w:t>formalni okvir dvostranskega sodelovanja predvsem na gospodarskem kot tudi na področjih energije, kulture, prometa, turizma, športa, mladih, izobraževanja, znanstveno-tehničnega sodelovanja in upravljanja z vodami.</w:t>
      </w:r>
    </w:p>
    <w:p w14:paraId="11DE2FAA" w14:textId="77777777" w:rsidR="00CC498B" w:rsidRDefault="00CC498B" w:rsidP="00CC498B"/>
    <w:p w14:paraId="13D74BC7" w14:textId="77777777" w:rsidR="00CC498B" w:rsidRDefault="00CC498B" w:rsidP="00CC498B">
      <w:r>
        <w:t xml:space="preserve">Kraljevina </w:t>
      </w:r>
      <w:proofErr w:type="spellStart"/>
      <w:r>
        <w:t>Saudova</w:t>
      </w:r>
      <w:proofErr w:type="spellEnd"/>
      <w:r>
        <w:t xml:space="preserve"> Arabija je najpomembnejša zunanjetrgovinska partnerica Republike Slovenije med državami Perzijskega zaliva. Hkrati predstavlja največji trg za Slovenijo na Bližnjem vzhodu in je po obsegu bruto družbenega proizvoda 16. najmočnejše gospodarstvo na svetu. </w:t>
      </w:r>
    </w:p>
    <w:p w14:paraId="0CA1E5C7" w14:textId="4361FB25" w:rsidR="00E1074E" w:rsidRDefault="00CC498B" w:rsidP="00CC498B">
      <w:pPr>
        <w:pStyle w:val="Vir"/>
      </w:pPr>
      <w:r>
        <w:t>Vir: Ministrstvo za zunanje in evropske zadeve Republike Slovenije</w:t>
      </w:r>
    </w:p>
    <w:p w14:paraId="6757EEEC" w14:textId="5AB574B8" w:rsidR="000015FE" w:rsidRDefault="000015FE" w:rsidP="000015FE">
      <w:pPr>
        <w:pStyle w:val="Naslov2"/>
      </w:pPr>
      <w:r>
        <w:t>Potrditev Memoranduma o soglasju med ministrstvi za obrambo Italije, Slovenije in Španije o Družini ročnih raketnih sistemov za evropske vojske</w:t>
      </w:r>
    </w:p>
    <w:p w14:paraId="46B5B95F" w14:textId="77777777" w:rsidR="000015FE" w:rsidRDefault="000015FE" w:rsidP="000015FE">
      <w:r>
        <w:t>Vlada Republike Slovenije je potrdila Memorandum o soglasju med Ministrstvom za obrambo Italijanske Republike, Ministrstvom za obrambo Republike Slovenije in Ministrstvom za obrambo Kraljevine Španije o Družini ročnih raketnih sistemov za evropske vojske, sklenjen 12. maja 2025.</w:t>
      </w:r>
    </w:p>
    <w:p w14:paraId="44955D69" w14:textId="77777777" w:rsidR="000015FE" w:rsidRDefault="000015FE" w:rsidP="000015FE"/>
    <w:p w14:paraId="312D4E33" w14:textId="77777777" w:rsidR="000015FE" w:rsidRDefault="000015FE" w:rsidP="000015FE">
      <w:r>
        <w:t xml:space="preserve">S sodelovanjem pri projektu bi lahko naš obrambni sistem pridobil napredne tehnološke rešitve, ki </w:t>
      </w:r>
      <w:proofErr w:type="gramStart"/>
      <w:r>
        <w:t>tekom razvoja</w:t>
      </w:r>
      <w:proofErr w:type="gramEnd"/>
      <w:r>
        <w:t xml:space="preserve"> upoštevajo zahteve sodelujočih ministrstev za obrambo. Sodelovanje predstavlja tudi pomembno priložnost za nadgradnjo in </w:t>
      </w:r>
      <w:proofErr w:type="gramStart"/>
      <w:r>
        <w:t>modernizacijo</w:t>
      </w:r>
      <w:proofErr w:type="gramEnd"/>
      <w:r>
        <w:t xml:space="preserve"> Slovenske vojske in zaradi vloge slovenske industrije pripomore k avtonomiji dobavnih verig obrambnih tehnologij.</w:t>
      </w:r>
    </w:p>
    <w:p w14:paraId="40A0F78D" w14:textId="3DFB853A" w:rsidR="00E1074E" w:rsidRDefault="000015FE" w:rsidP="000015FE">
      <w:pPr>
        <w:pStyle w:val="Vir"/>
      </w:pPr>
      <w:r>
        <w:t>Vir: Ministrstvo za zunanje in evropske zadeve Republike Slovenije</w:t>
      </w:r>
    </w:p>
    <w:p w14:paraId="2CF30DFF" w14:textId="410AB648" w:rsidR="000015FE" w:rsidRDefault="000015FE" w:rsidP="000015FE">
      <w:pPr>
        <w:pStyle w:val="Naslov2"/>
      </w:pPr>
      <w:r>
        <w:t>Potrditev Memoranduma o soglasju o večnacionalnem sodelovanju pri pobudah za večnacionalno skladiščenje streliva in sprememb memoranduma</w:t>
      </w:r>
    </w:p>
    <w:p w14:paraId="7DE4D139" w14:textId="77777777" w:rsidR="000015FE" w:rsidRDefault="000015FE" w:rsidP="000015FE">
      <w:r>
        <w:t xml:space="preserve">Vlada Republike Slovenije je potrdila Memorandum o soglasju o večnacionalnem sodelovanju pri pobudah za večnacionalno skladiščenje streliva, sklenjen 16. julija 2021 in sprememb memoranduma št. 1, sklenjene 28. aprila 2022, št. 2, </w:t>
      </w:r>
      <w:proofErr w:type="gramStart"/>
      <w:r>
        <w:t>sklenjene</w:t>
      </w:r>
      <w:proofErr w:type="gramEnd"/>
      <w:r>
        <w:t xml:space="preserve"> 16. novembra 2022, št. 3, sklenjene 27. februarja 2023 in št. 4, sklenjene 13. julija 2023.</w:t>
      </w:r>
    </w:p>
    <w:p w14:paraId="4E3B7D14" w14:textId="77777777" w:rsidR="000015FE" w:rsidRDefault="000015FE" w:rsidP="000015FE"/>
    <w:p w14:paraId="5B3A4E64" w14:textId="77777777" w:rsidR="000015FE" w:rsidRDefault="000015FE" w:rsidP="000015FE">
      <w:r>
        <w:t xml:space="preserve">Za potrebe lažjega izvajanja v okviru Nata oblikovane pobude večnacionalnega skladiščenja streliva (angl. </w:t>
      </w:r>
      <w:proofErr w:type="spellStart"/>
      <w:r>
        <w:t>Multinational</w:t>
      </w:r>
      <w:proofErr w:type="spellEnd"/>
      <w:r>
        <w:t xml:space="preserve"> </w:t>
      </w:r>
      <w:proofErr w:type="spellStart"/>
      <w:r>
        <w:t>Ammunition</w:t>
      </w:r>
      <w:proofErr w:type="spellEnd"/>
      <w:r>
        <w:t xml:space="preserve"> </w:t>
      </w:r>
      <w:proofErr w:type="spellStart"/>
      <w:r>
        <w:t>Warehousing</w:t>
      </w:r>
      <w:proofErr w:type="spellEnd"/>
      <w:r>
        <w:t xml:space="preserve"> </w:t>
      </w:r>
      <w:proofErr w:type="spellStart"/>
      <w:r>
        <w:t>Initiative</w:t>
      </w:r>
      <w:proofErr w:type="spellEnd"/>
      <w:r>
        <w:t xml:space="preserve"> – MAWI) je bil </w:t>
      </w:r>
      <w:proofErr w:type="gramStart"/>
      <w:r>
        <w:t>16. 7. 2021</w:t>
      </w:r>
      <w:proofErr w:type="gramEnd"/>
      <w:r>
        <w:t xml:space="preserve"> sklenjen memorandum o soglasju med ministrstvi za obrambo sodelujočih držav o večnacionalnem sodelovanju pri pobudah za večnacionalno skladiščenje streliva.</w:t>
      </w:r>
    </w:p>
    <w:p w14:paraId="66DE4245" w14:textId="77777777" w:rsidR="000015FE" w:rsidRDefault="000015FE" w:rsidP="000015FE"/>
    <w:p w14:paraId="77A13924" w14:textId="77777777" w:rsidR="000015FE" w:rsidRDefault="000015FE" w:rsidP="000015FE">
      <w:r>
        <w:t>Omenjene spremembe se nanašajo na pristope Slovenije, Natove Agencije za podporo in nabavo, Madžarske, Romunije, Kanade, Češke, Finske, Latvije, Litve, Poljske, Švedske, Združenega kraljestva Velike Britanije in Severne Irske, Bolgarije, Danske, Nemčije in Luksemburga k memorandumu.</w:t>
      </w:r>
    </w:p>
    <w:p w14:paraId="23671C42" w14:textId="77777777" w:rsidR="000015FE" w:rsidRDefault="000015FE" w:rsidP="000015FE">
      <w:pPr>
        <w:pStyle w:val="Vir"/>
      </w:pPr>
      <w:r>
        <w:t>Vir: Ministrstvo za zunanje in evropske zadeve Republike Slovenije</w:t>
      </w:r>
    </w:p>
    <w:p w14:paraId="28634D7E" w14:textId="4D8048E6" w:rsidR="000015FE" w:rsidRDefault="000015FE" w:rsidP="000015FE">
      <w:pPr>
        <w:pStyle w:val="Naslov2"/>
      </w:pPr>
      <w:r>
        <w:t>Potrditev Memoranduma o soglasju o sodelovanju v projektu hitrega odzivanja na kibernetske grožnje</w:t>
      </w:r>
    </w:p>
    <w:p w14:paraId="22F04BB6" w14:textId="77777777" w:rsidR="000015FE" w:rsidRDefault="000015FE" w:rsidP="000015FE">
      <w:r>
        <w:t>Vlada Republike Slovenije je potrdila Memorandum o soglasju med ministrstvi za obrambo o sodelovanju v projektu »Enote za hitro odzivanje na kibernetske grožnje (CRRT) in medsebojna pomoč na področju kibernetske varnosti«, sklenjen 12. maja 2020.</w:t>
      </w:r>
    </w:p>
    <w:p w14:paraId="779549D3" w14:textId="77777777" w:rsidR="000015FE" w:rsidRDefault="000015FE" w:rsidP="000015FE"/>
    <w:p w14:paraId="353E1326" w14:textId="77777777" w:rsidR="000015FE" w:rsidRDefault="000015FE" w:rsidP="000015FE">
      <w:r>
        <w:t xml:space="preserve">Memorandum vzpostavlja načela sodelovanja v okviru projekta in določa predpogoje za </w:t>
      </w:r>
      <w:proofErr w:type="gramStart"/>
      <w:r>
        <w:t>aktivnosti</w:t>
      </w:r>
      <w:proofErr w:type="gramEnd"/>
      <w:r>
        <w:t>, financiranje, kadrovsko sestavo projekta ter njegovo administrativno in logistično podporo.</w:t>
      </w:r>
    </w:p>
    <w:p w14:paraId="29715712" w14:textId="77777777" w:rsidR="000015FE" w:rsidRDefault="000015FE" w:rsidP="000015FE"/>
    <w:p w14:paraId="7C262534" w14:textId="77777777" w:rsidR="000015FE" w:rsidRDefault="000015FE" w:rsidP="000015FE">
      <w:r>
        <w:lastRenderedPageBreak/>
        <w:t xml:space="preserve">Republika Slovenija je k memorandumu pristopila z noto o pristopu, podpisano </w:t>
      </w:r>
      <w:proofErr w:type="gramStart"/>
      <w:r>
        <w:t>8. 3. 2023</w:t>
      </w:r>
      <w:proofErr w:type="gramEnd"/>
      <w:r>
        <w:t xml:space="preserve">.  </w:t>
      </w:r>
    </w:p>
    <w:p w14:paraId="3300927C" w14:textId="77777777" w:rsidR="000015FE" w:rsidRDefault="000015FE" w:rsidP="000015FE">
      <w:pPr>
        <w:pStyle w:val="Vir"/>
      </w:pPr>
      <w:r>
        <w:t>Vir: Ministrstvo za zunanje in evropske zadeve Republike Slovenije</w:t>
      </w:r>
    </w:p>
    <w:p w14:paraId="6CDBA5AD" w14:textId="0409E22C" w:rsidR="000015FE" w:rsidRDefault="000015FE" w:rsidP="000015FE">
      <w:pPr>
        <w:pStyle w:val="Naslov2"/>
      </w:pPr>
      <w:r>
        <w:t>Potrditev Tehničnega dogovora o Natovi večnacionalni brigadi v Latviji pod vodstvom Kanade</w:t>
      </w:r>
    </w:p>
    <w:p w14:paraId="771D1EB7" w14:textId="77777777" w:rsidR="000015FE" w:rsidRDefault="000015FE" w:rsidP="000015FE">
      <w:r>
        <w:t>Vlada Republike Slovenije je potrdila Tehnični dogovor med Ministrstvom za obrambo Republike Latvije in Ministrstvom za nacionalno obrambo Kanade ter Kanadskimi oboroženimi silami o Natovi večnacionalni brigadi v Latviji pod vodstvom Kanade in zagotavljanju podpore države gostiteljice ter drugih obveznostih, sklenjen 25. junija 2025, h kateremu je Republika Slovenija pristopila z noto o pristopu z dne 19. decembra 2025.</w:t>
      </w:r>
    </w:p>
    <w:p w14:paraId="33304220" w14:textId="77777777" w:rsidR="000015FE" w:rsidRDefault="000015FE" w:rsidP="000015FE"/>
    <w:p w14:paraId="5D6591FA" w14:textId="77777777" w:rsidR="000015FE" w:rsidRDefault="000015FE" w:rsidP="000015FE">
      <w:r>
        <w:t xml:space="preserve">Na podlagi sklepov Vlade Republike Slovenije (št. 87100-18/2016/4 z dne </w:t>
      </w:r>
      <w:proofErr w:type="gramStart"/>
      <w:r>
        <w:t>19. 1. 2017</w:t>
      </w:r>
      <w:proofErr w:type="gramEnd"/>
      <w:r>
        <w:t>, št. 87100-18/2016/9 z dne 9. 2. 2017 in št. 87100-7/2024/4 z dne 24. 7. 2024) Slovenska vojska v okviru Natovih prednjih kopenskih sil (angl. »</w:t>
      </w:r>
      <w:proofErr w:type="spellStart"/>
      <w:r>
        <w:t>Forward</w:t>
      </w:r>
      <w:proofErr w:type="spellEnd"/>
      <w:r>
        <w:t xml:space="preserve"> Land </w:t>
      </w:r>
      <w:proofErr w:type="spellStart"/>
      <w:r>
        <w:t>Forces</w:t>
      </w:r>
      <w:proofErr w:type="spellEnd"/>
      <w:r>
        <w:t>« – FLF) sodeluje v večnacionalni bojni skupini v Latviji.</w:t>
      </w:r>
    </w:p>
    <w:p w14:paraId="1C9E012F" w14:textId="77777777" w:rsidR="000015FE" w:rsidRDefault="000015FE" w:rsidP="000015FE"/>
    <w:p w14:paraId="74A027FC" w14:textId="77777777" w:rsidR="000015FE" w:rsidRDefault="000015FE" w:rsidP="000015FE">
      <w:r>
        <w:t xml:space="preserve">Latvija in Kanada sta </w:t>
      </w:r>
      <w:proofErr w:type="gramStart"/>
      <w:r>
        <w:t>25. 6. 2025</w:t>
      </w:r>
      <w:proofErr w:type="gramEnd"/>
      <w:r>
        <w:t xml:space="preserve"> v Rigi podpisali zgoraj omenjen tehničen dogovor, ki nadomešča tehnični dogovor iz leta 2017 in ureja medsebojne obveznosti obeh držav. K njemu morajo s podpisom note o pristopu pristopiti tudi preostale države, med njimi tudi Slovenija, ki sodelujejo v bojni skupini.</w:t>
      </w:r>
    </w:p>
    <w:p w14:paraId="3F2AEC6D" w14:textId="77777777" w:rsidR="000015FE" w:rsidRDefault="000015FE" w:rsidP="000015FE"/>
    <w:p w14:paraId="6CBCF16E" w14:textId="77777777" w:rsidR="000015FE" w:rsidRDefault="000015FE" w:rsidP="000015FE">
      <w:r>
        <w:t xml:space="preserve">Republika Slovenija je noto o pristopu podpisala </w:t>
      </w:r>
      <w:proofErr w:type="gramStart"/>
      <w:r>
        <w:t>19. 12. 2025</w:t>
      </w:r>
      <w:proofErr w:type="gramEnd"/>
      <w:r>
        <w:t>.</w:t>
      </w:r>
    </w:p>
    <w:p w14:paraId="7E8C2F36" w14:textId="77777777" w:rsidR="000015FE" w:rsidRDefault="000015FE" w:rsidP="000015FE">
      <w:pPr>
        <w:pStyle w:val="Vir"/>
      </w:pPr>
      <w:r>
        <w:t>Vir: Ministrstvo za zunanje in evropske zadeve Republike Slovenije</w:t>
      </w:r>
    </w:p>
    <w:p w14:paraId="7260600D" w14:textId="7ABDF3D7" w:rsidR="000015FE" w:rsidRPr="000015FE" w:rsidRDefault="000015FE" w:rsidP="000015FE">
      <w:pPr>
        <w:pStyle w:val="Naslov2"/>
        <w:rPr>
          <w:rStyle w:val="Naslov2Znak"/>
          <w:b/>
          <w:bCs/>
        </w:rPr>
      </w:pPr>
      <w:r w:rsidRPr="000015FE">
        <w:t xml:space="preserve">Potrditev Sporazuma med Slovenijo in Črno goro o donaciji programske opreme carinskega </w:t>
      </w:r>
      <w:r w:rsidRPr="000015FE">
        <w:rPr>
          <w:rStyle w:val="Naslov2Znak"/>
          <w:b/>
          <w:bCs/>
        </w:rPr>
        <w:t>informacijskega sistema</w:t>
      </w:r>
    </w:p>
    <w:p w14:paraId="384FCB4C" w14:textId="77777777" w:rsidR="000015FE" w:rsidRDefault="000015FE" w:rsidP="000015FE">
      <w:r>
        <w:t>Vlada Republike Slovenije je potrdila Sporazum med Finančno upravo Republike Slovenije in Carinsko upravo Črne gore o donaciji programske opreme carinskega informacijskega sistema, podpisan v Ljubljani 23. februarja 2026.</w:t>
      </w:r>
    </w:p>
    <w:p w14:paraId="683706A3" w14:textId="77777777" w:rsidR="000015FE" w:rsidRDefault="000015FE" w:rsidP="000015FE"/>
    <w:p w14:paraId="220687DD" w14:textId="77777777" w:rsidR="000015FE" w:rsidRDefault="000015FE" w:rsidP="000015FE">
      <w:r>
        <w:t>S to donacijo Finančna uprava Republike Slovenije podpira Carinsko upravo Črne gore pri vzpostavitvi sodobne in z EU usklajene IT podpore za carinske postopke. Rešitev bo omogočila digitalizacijo procesov, večjo preglednost ter učinkovitejši boj proti nedovoljeni trgovini in korupciji. Hkrati predstavlja pomemben korak k zaprtju Poglavja 29 – Carinska unija v pristopnih pogajanjih Črne gore z EU.</w:t>
      </w:r>
    </w:p>
    <w:p w14:paraId="6F96EB4B" w14:textId="77777777" w:rsidR="000015FE" w:rsidRDefault="000015FE" w:rsidP="000015FE"/>
    <w:p w14:paraId="0BCD9D6D" w14:textId="77777777" w:rsidR="000015FE" w:rsidRDefault="000015FE" w:rsidP="000015FE">
      <w:r>
        <w:t>Namen sporazuma je nadgradnja in celovita posodobitev obstoječega carinskega informacijskega sistema v Črni gori.</w:t>
      </w:r>
    </w:p>
    <w:p w14:paraId="6A1D17C4" w14:textId="77777777" w:rsidR="000015FE" w:rsidRDefault="000015FE" w:rsidP="000015FE"/>
    <w:p w14:paraId="7925AABE" w14:textId="77777777" w:rsidR="000015FE" w:rsidRDefault="000015FE" w:rsidP="000015FE">
      <w:r>
        <w:t>Donacija vključuje vrsto specializiranih carinskih informacijskih sistemov in modulov, ki so del slovenskega carinskega informacijskega sistema (SICIS).</w:t>
      </w:r>
    </w:p>
    <w:p w14:paraId="4A358AA1" w14:textId="77777777" w:rsidR="000015FE" w:rsidRDefault="000015FE" w:rsidP="000015FE">
      <w:pPr>
        <w:pStyle w:val="Vir"/>
      </w:pPr>
      <w:r>
        <w:t>Vir: Ministrstvo za zunanje in evropske zadeve Republike Slovenije</w:t>
      </w:r>
    </w:p>
    <w:p w14:paraId="4BAB8D8C" w14:textId="793AD534" w:rsidR="00A00187" w:rsidRDefault="00A00187" w:rsidP="00A00187">
      <w:pPr>
        <w:pStyle w:val="Naslov2"/>
      </w:pPr>
      <w:r>
        <w:t>Vlada o prispevku Medameriški razvojni banki za projekte tehničnega sodelovanja</w:t>
      </w:r>
    </w:p>
    <w:p w14:paraId="42497FF4" w14:textId="77777777" w:rsidR="00A00187" w:rsidRDefault="00A00187" w:rsidP="00A00187">
      <w:r>
        <w:t>Vlada se je seznanila z informacijo o nameravani sklenitvi Upravnega sporazuma med Vlado Republike Slovenije in Medameriško razvojno banko glede prispevka Medameriški razvojni banki za tri projekte tehničnega sodelovanja in potrdila njegovo besedilo.</w:t>
      </w:r>
    </w:p>
    <w:p w14:paraId="18BE9846" w14:textId="77777777" w:rsidR="00A00187" w:rsidRDefault="00A00187" w:rsidP="00A00187"/>
    <w:p w14:paraId="62E466BB" w14:textId="77777777" w:rsidR="00A00187" w:rsidRDefault="00A00187" w:rsidP="00A00187">
      <w:r>
        <w:lastRenderedPageBreak/>
        <w:t xml:space="preserve">Minister za finance Klemen Boštjančič in predsednik Medameriške razvojne banke (IDB) Ilan </w:t>
      </w:r>
      <w:proofErr w:type="spellStart"/>
      <w:r>
        <w:t>Goldfajn</w:t>
      </w:r>
      <w:proofErr w:type="spellEnd"/>
      <w:r>
        <w:t xml:space="preserve"> sta ob robu letnega zasedanja IDB leta 2024 v Čilu podpisala pismo o nameri o interesu za zagotavljanje financiranja v višini do 2 milijona evrov z namenom izvajanja pobud za krepitev zmogljivosti in pilotnih projektov v </w:t>
      </w:r>
      <w:proofErr w:type="gramStart"/>
      <w:r>
        <w:t>regiji</w:t>
      </w:r>
      <w:proofErr w:type="gramEnd"/>
      <w:r>
        <w:t xml:space="preserve"> Latinske Amerike in Karibov (regija LAK), in sicer z uporabo slovenskih tehnoloških rešitev na področjih, kjer je izražen interes tako s strani držav regije LAK kot tudi slovenskih podjetij in institucij.</w:t>
      </w:r>
    </w:p>
    <w:p w14:paraId="6F4601B3" w14:textId="77777777" w:rsidR="00A00187" w:rsidRDefault="00A00187" w:rsidP="00A00187"/>
    <w:p w14:paraId="6BBC3433" w14:textId="77777777" w:rsidR="00A00187" w:rsidRDefault="00A00187" w:rsidP="00A00187">
      <w:r>
        <w:t xml:space="preserve">Ob robu letnega zasedanja IDB leta 2025 v Dominikanski republiki sta minister za finance in predsednik IDB podpisala Upravni sporazum o prispevku Slovenije v višini 1,25 milijona evrov za financiranje dveh projektov in dela zunanjega strokovnjaka na področju prometa. V postopku potrjevanja projektov na organih upravljanja IDB je bilo glede izvajanja enega izmed projektov ugotovljeno, da bi projekt dosegel večje učinke in </w:t>
      </w:r>
      <w:proofErr w:type="spellStart"/>
      <w:proofErr w:type="gramStart"/>
      <w:r>
        <w:t>željene</w:t>
      </w:r>
      <w:proofErr w:type="spellEnd"/>
      <w:proofErr w:type="gramEnd"/>
      <w:r>
        <w:t xml:space="preserve"> rezultate le ob povečanem obsegu zajetja, zato je bila ob robu letnega zasedanja Skupine svetovne banke in Mednarodnega denarnega sklada leta 2025 v Washingtonu D.C. podpisana sprememba k upravnemu sporazumu, s katerim so se zagotovila dodatna sredstva v višini 0,3 milijona evrov.</w:t>
      </w:r>
    </w:p>
    <w:p w14:paraId="2E2B7241" w14:textId="77777777" w:rsidR="00A00187" w:rsidRDefault="00A00187" w:rsidP="00A00187"/>
    <w:p w14:paraId="53CAE67A" w14:textId="77777777" w:rsidR="00A00187" w:rsidRDefault="00A00187" w:rsidP="00A00187">
      <w:r>
        <w:t>Zadevni sporazum se sklepa za preostanek sredstev do skupno predvidenih 2 milijona evrov v višini 0,45 milijona evrov. V okviru drugega sporazuma se bodo sredstva namenila za dopolnjene vsebine predhodno že potrjenih projektov za podporo trajnostni gradnji v Čilu z uporabo lesa in vzpostavitvi in krepitvi upravljanja tveganj gozdnih požarov v andski Amazoniji. Poleg tega se bo v okviru sporazuma sofinancirala tehnična pomoč za vzpostavitev pogojev in izdajo državnih obveznic</w:t>
      </w:r>
      <w:proofErr w:type="gramStart"/>
      <w:r>
        <w:t xml:space="preserve"> vezanih</w:t>
      </w:r>
      <w:proofErr w:type="gramEnd"/>
      <w:r>
        <w:t xml:space="preserve"> za trajnostne projekte v Braziliji v okviru pobude Medameriške razvojne banke IDB CLIMA.</w:t>
      </w:r>
    </w:p>
    <w:p w14:paraId="29F8BF5F" w14:textId="77777777" w:rsidR="00A00187" w:rsidRDefault="00A00187" w:rsidP="00A00187"/>
    <w:p w14:paraId="46D26C50" w14:textId="77777777" w:rsidR="00A00187" w:rsidRDefault="00A00187" w:rsidP="00A00187">
      <w:r>
        <w:t xml:space="preserve">Projekti skladno s Strategijo mednarodnega razvojnega sodelovanja in humanitarne pomoči do leta 2030 podpirajo intenzivnejše vključevanje zasebnega sektorja v mednarodno razvojno sodelovanje, </w:t>
      </w:r>
      <w:proofErr w:type="gramStart"/>
      <w:r>
        <w:t>upoštevaje</w:t>
      </w:r>
      <w:proofErr w:type="gramEnd"/>
      <w:r>
        <w:t xml:space="preserve"> zmogljivosti in potencial zasebnega sektorja v korist trajnostnega razvoja partnerskih držav.</w:t>
      </w:r>
    </w:p>
    <w:p w14:paraId="1CB1F199" w14:textId="119219DF" w:rsidR="00E1074E" w:rsidRDefault="00A00187" w:rsidP="00A00187">
      <w:pPr>
        <w:pStyle w:val="Vir"/>
      </w:pPr>
      <w:r>
        <w:t>Vir: Ministrstvo za finance</w:t>
      </w:r>
    </w:p>
    <w:p w14:paraId="69A46D08" w14:textId="6ADA1784" w:rsidR="00A00187" w:rsidRDefault="00A00187" w:rsidP="00A00187">
      <w:pPr>
        <w:pStyle w:val="Naslov2"/>
      </w:pPr>
      <w:r>
        <w:t>Vlada o sodelovanju pri projektu medinstitucionalnega sodelovanja v Bosni in Hercegovini</w:t>
      </w:r>
    </w:p>
    <w:p w14:paraId="3189CBE6" w14:textId="77777777" w:rsidR="00A00187" w:rsidRDefault="00A00187" w:rsidP="00A00187">
      <w:r>
        <w:t xml:space="preserve">Vlada se je seznanila z informacijo </w:t>
      </w:r>
      <w:proofErr w:type="gramStart"/>
      <w:r>
        <w:t>o sodelovanju Republike Slovenije pri projektu medinstitucionalnega sodelovanja</w:t>
      </w:r>
      <w:proofErr w:type="gramEnd"/>
      <w:r>
        <w:t xml:space="preserve"> v Bosni in Hercegovini s ciljem nadaljnjega usklajevanja zakonodaje o posrednih davkih Bosne in Hercegovine z evropskim pravnim redom. Vlada soglaša, da Finančna uprava Republike Slovenije sodeluje pri navedenem projektu kot sodelujoči partner.</w:t>
      </w:r>
    </w:p>
    <w:p w14:paraId="0E600AA1" w14:textId="77777777" w:rsidR="00A00187" w:rsidRDefault="00A00187" w:rsidP="00A00187"/>
    <w:p w14:paraId="15846E53" w14:textId="77777777" w:rsidR="00A00187" w:rsidRDefault="00A00187" w:rsidP="00A00187">
      <w:r>
        <w:t>Evropska unija je objavila razpis za zbiranje predlogov za projekt tesnega medinstitucionalnega sodelovanja z naslovom »</w:t>
      </w:r>
      <w:proofErr w:type="spellStart"/>
      <w:r>
        <w:t>Further</w:t>
      </w:r>
      <w:proofErr w:type="spellEnd"/>
      <w:r>
        <w:t xml:space="preserve"> </w:t>
      </w:r>
      <w:proofErr w:type="spellStart"/>
      <w:r>
        <w:t>support</w:t>
      </w:r>
      <w:proofErr w:type="spellEnd"/>
      <w:r>
        <w:t xml:space="preserve"> to </w:t>
      </w:r>
      <w:proofErr w:type="spellStart"/>
      <w:r>
        <w:t>Indirect</w:t>
      </w:r>
      <w:proofErr w:type="spellEnd"/>
      <w:r>
        <w:t xml:space="preserve"> </w:t>
      </w:r>
      <w:proofErr w:type="spellStart"/>
      <w:r>
        <w:t>Taxation</w:t>
      </w:r>
      <w:proofErr w:type="spellEnd"/>
      <w:r>
        <w:t xml:space="preserve"> Authority of </w:t>
      </w:r>
      <w:proofErr w:type="spellStart"/>
      <w:r>
        <w:t>Bosnia</w:t>
      </w:r>
      <w:proofErr w:type="spellEnd"/>
      <w:r>
        <w:t xml:space="preserve"> </w:t>
      </w:r>
      <w:proofErr w:type="gramStart"/>
      <w:r>
        <w:t>and</w:t>
      </w:r>
      <w:proofErr w:type="gramEnd"/>
      <w:r>
        <w:t xml:space="preserve"> </w:t>
      </w:r>
      <w:proofErr w:type="spellStart"/>
      <w:r>
        <w:t>Herzegovina</w:t>
      </w:r>
      <w:proofErr w:type="spellEnd"/>
      <w:r>
        <w:t>«, ki se financira iz proračuna Evropske unije, in sicer iz sredstev Instrumenta za predpristopno pomoč za Bosno in Hercegovino. Projekt prispeva k izpolnjevanju obveznosti Bosne in Hercegovine iz Stabilizacijsko-pridružitvenega sporazuma z EU ter podpira širšo reformo javne uprave in javnofinančnega upravljanja.</w:t>
      </w:r>
    </w:p>
    <w:p w14:paraId="14892399" w14:textId="77777777" w:rsidR="00A00187" w:rsidRDefault="00A00187" w:rsidP="00A00187">
      <w:r>
        <w:t xml:space="preserve">Republika Slovenija bo v projektu sodelovala kot partner v konzorciju z Republiko Hrvaško, pri čemer bo nosilec projekta Carinska uprava Republike Hrvaške, Slovenija oz. Finančna uprava Republike Slovenije (FURS) pa bo v projektu sodelovala kot sodelujoči partner. FURS bo zagotovila strokovnjake za izvedbo projektnih </w:t>
      </w:r>
      <w:proofErr w:type="gramStart"/>
      <w:r>
        <w:t>aktivnosti</w:t>
      </w:r>
      <w:proofErr w:type="gramEnd"/>
      <w:r>
        <w:t>. V izvajanje projekta bodo vključeni tudi strokovnjaki Ministrstva za finance, vendar formalni partner ostaja FURS.</w:t>
      </w:r>
    </w:p>
    <w:p w14:paraId="6C2755F5" w14:textId="77777777" w:rsidR="00A00187" w:rsidRDefault="00A00187" w:rsidP="00A00187"/>
    <w:p w14:paraId="3C198CBE" w14:textId="77777777" w:rsidR="00A00187" w:rsidRDefault="00A00187" w:rsidP="00A00187">
      <w:r>
        <w:t xml:space="preserve">Posebni cilj projekta je nadaljnje usklajevanje zakonodaje o posrednih davkih Bosne in Hercegovine s pravnim redom Evropske unije ter krepitev institucionalnih zmogljivosti Uprave za posredne obdavčitve </w:t>
      </w:r>
      <w:r>
        <w:lastRenderedPageBreak/>
        <w:t>Bosne in Hercegovine za učinkovitejše izvajanje carinskih, DDV in trošarinskih postopkov ter nadzorov.</w:t>
      </w:r>
    </w:p>
    <w:p w14:paraId="3B392EDD" w14:textId="77777777" w:rsidR="00A00187" w:rsidRDefault="00A00187" w:rsidP="00A00187"/>
    <w:p w14:paraId="1BC7A5F6" w14:textId="77777777" w:rsidR="00A00187" w:rsidRDefault="00A00187" w:rsidP="00A00187">
      <w:r>
        <w:t xml:space="preserve">Strokovnjaki FURS in Ministrstva za finance, Direktorata za sistem davčnih, carinskih in drugih javnih prihodkov bodo sodelovali pri izvajanju </w:t>
      </w:r>
      <w:proofErr w:type="gramStart"/>
      <w:r>
        <w:t>aktivnosti</w:t>
      </w:r>
      <w:proofErr w:type="gramEnd"/>
      <w:r>
        <w:t xml:space="preserve"> v okviru obeh komponent, zlasti na področjih carinskih postopkov, DDV, tranzita, analize tveganja, upravljanja tveganj ter notranje revizije.</w:t>
      </w:r>
    </w:p>
    <w:p w14:paraId="791369E4" w14:textId="55368164" w:rsidR="00E1074E" w:rsidRDefault="00A00187" w:rsidP="00A00187">
      <w:pPr>
        <w:pStyle w:val="Vir"/>
      </w:pPr>
      <w:r>
        <w:t>Vir: Ministrstvo za finance</w:t>
      </w:r>
    </w:p>
    <w:p w14:paraId="71D76395" w14:textId="76901098" w:rsidR="004A6EEF" w:rsidRDefault="004A6EEF" w:rsidP="004A6EEF">
      <w:pPr>
        <w:pStyle w:val="Naslov2"/>
      </w:pPr>
      <w:r>
        <w:t xml:space="preserve">Vlada potrdila izvedbo projekta UNIDO </w:t>
      </w:r>
      <w:proofErr w:type="spellStart"/>
      <w:r>
        <w:t>ScaleX</w:t>
      </w:r>
      <w:proofErr w:type="spellEnd"/>
      <w:r>
        <w:t xml:space="preserve"> za razvoj inovacijskega ekosistema v </w:t>
      </w:r>
      <w:proofErr w:type="gramStart"/>
      <w:r>
        <w:t>regiji</w:t>
      </w:r>
      <w:proofErr w:type="gramEnd"/>
    </w:p>
    <w:p w14:paraId="779DD901" w14:textId="77777777" w:rsidR="004A6EEF" w:rsidRDefault="004A6EEF" w:rsidP="004A6EEF">
      <w:r>
        <w:t xml:space="preserve">Vlada je potrdila izvedbo projekta mednarodnega razvojnega sodelovanja prek </w:t>
      </w:r>
      <w:proofErr w:type="gramStart"/>
      <w:r>
        <w:t>Organizacije Združenih narodov</w:t>
      </w:r>
      <w:proofErr w:type="gramEnd"/>
      <w:r>
        <w:t xml:space="preserve"> za industrijski razvoj (UNIDO) z naslovom »UNIDO </w:t>
      </w:r>
      <w:proofErr w:type="spellStart"/>
      <w:r>
        <w:t>ScaleX</w:t>
      </w:r>
      <w:proofErr w:type="spellEnd"/>
      <w:r>
        <w:t>: Regionalni ekosistem za inovacije in start-upe (faza I)« ter pooblastila Ministrstvo za gospodarstvo, turizem in šport (MGTŠ) za izvedbo vseh postopkov, povezanih z izvajanjem projekta.</w:t>
      </w:r>
    </w:p>
    <w:p w14:paraId="7D9AED2D" w14:textId="77777777" w:rsidR="004A6EEF" w:rsidRDefault="004A6EEF" w:rsidP="004A6EEF"/>
    <w:p w14:paraId="3B89D441" w14:textId="77777777" w:rsidR="004A6EEF" w:rsidRDefault="004A6EEF" w:rsidP="004A6EEF">
      <w:r>
        <w:t>Mednarodno razvojno sodelovanje (MRS) MGTŠ predstavlja uradno razvojno pomoč Republike Slovenije partnerskim državam v razvoju in obsega javno finančne izdatke, katerih glavni namen je spodbujanje gospodarskega razvoja in blaginje partnerskih držav. Pomoč odraža slovenske prioritete in zmogljivosti ter zagotavlja podporo razvojnim prizadevanjem partnerskih držav.</w:t>
      </w:r>
    </w:p>
    <w:p w14:paraId="31A093A9" w14:textId="77777777" w:rsidR="004A6EEF" w:rsidRDefault="004A6EEF" w:rsidP="004A6EEF"/>
    <w:p w14:paraId="784D9042" w14:textId="77777777" w:rsidR="004A6EEF" w:rsidRDefault="004A6EEF" w:rsidP="004A6EEF">
      <w:r>
        <w:t xml:space="preserve">MGTŠ MRS izvaja predvsem preko financiranja projektov, ki potekajo v sodelovanju z UNIDO, skladno z mednarodnimi sporazumi, sprejetimi načrti sodelovanja in veljavno zakonodajo. V tem okviru je Komisija za izbiro, pregled in oceno primernosti osnutkov projektov MRS na MGTŠ 4. novembra 2025 potrdila projekt UNIDO </w:t>
      </w:r>
      <w:proofErr w:type="spellStart"/>
      <w:r>
        <w:t>ScaleX</w:t>
      </w:r>
      <w:proofErr w:type="spellEnd"/>
      <w:r>
        <w:t>, ki bo po potrditvi uvrščen v Načrt razvojnih programov 2024–2027. Projekt se bo izvajal prek UNIDO, skladno z uredbo o izvajanju dvostranskega razvojnega sodelovanja.</w:t>
      </w:r>
    </w:p>
    <w:p w14:paraId="52A43A52" w14:textId="77777777" w:rsidR="004A6EEF" w:rsidRDefault="004A6EEF" w:rsidP="004A6EEF"/>
    <w:p w14:paraId="015E4FDB" w14:textId="77777777" w:rsidR="004A6EEF" w:rsidRDefault="004A6EEF" w:rsidP="004A6EEF">
      <w:r>
        <w:t>Projekt, vreden 592.800 evrov, bo v celoti financiran s strani MGTŠ, sredstva za leto 2026 pa so že zagotovljena v veljavnem in sprejetem proračunu Republike Slovenije.</w:t>
      </w:r>
    </w:p>
    <w:p w14:paraId="1A2A45E6" w14:textId="77777777" w:rsidR="004A6EEF" w:rsidRDefault="004A6EEF" w:rsidP="004A6EEF">
      <w:r>
        <w:t>Cilj projekta je pospešiti industrijsko preobrazbo mikro, malih in srednje velikih podjetij z inovacijami, in sicer z vzpostavitvijo enotnega, čezmejnega sistema, ki povezuje potrebe industrije s podjetniško ponudbo ter omogoča prehod novih tehnologij od ideje do trga. Program je usklajen s ključnimi evropskimi in regionalnimi prioritetami, vključno z zelenim in digitalnim prehodom ter agendo širitve EU.</w:t>
      </w:r>
    </w:p>
    <w:p w14:paraId="62C84B04" w14:textId="77777777" w:rsidR="004A6EEF" w:rsidRDefault="004A6EEF" w:rsidP="004A6EEF"/>
    <w:p w14:paraId="38F2C237" w14:textId="77777777" w:rsidR="004A6EEF" w:rsidRDefault="004A6EEF" w:rsidP="004A6EEF">
      <w:r>
        <w:t>V prvi fazi projekta, ki jo v celoti financira Republika Slovenija, bo vzpostavljena osnovna arhitektura sistema in preverjeno delovanje v praksi. V okviru projekta bo vzpostavljena funkcionalna regionalna mreža nacionalnih inovacijskih vozlišč, umeščenih v obstoječe znanstvene parke in pospeševalnike</w:t>
      </w:r>
      <w:proofErr w:type="gramStart"/>
      <w:r>
        <w:t xml:space="preserve"> ter</w:t>
      </w:r>
      <w:proofErr w:type="gramEnd"/>
      <w:r>
        <w:t xml:space="preserve"> med seboj povezanih prek skupne digitalne platforme.</w:t>
      </w:r>
    </w:p>
    <w:p w14:paraId="54118D66" w14:textId="77777777" w:rsidR="004A6EEF" w:rsidRDefault="004A6EEF" w:rsidP="004A6EEF"/>
    <w:p w14:paraId="406A5E97" w14:textId="77777777" w:rsidR="004A6EEF" w:rsidRDefault="004A6EEF" w:rsidP="004A6EEF">
      <w:r>
        <w:t>Na izbranih industrijskih področjih z visokim učinkom, kot sta zelena proizvodnja in umetna inteligenca za industrijo, bodo razviti in pripravljeni na naložbe dva do trije portfelji rešitev, ki bodo strateške regionalne izzive pretvorili v konkretne priložnosti za zagonska podjetja, podjetja v fazi rasti ter mala in srednje velika podjetja.</w:t>
      </w:r>
    </w:p>
    <w:p w14:paraId="4BBBAD35" w14:textId="77777777" w:rsidR="004A6EEF" w:rsidRDefault="004A6EEF" w:rsidP="004A6EEF"/>
    <w:p w14:paraId="79F0A8BC" w14:textId="77777777" w:rsidR="004A6EEF" w:rsidRDefault="004A6EEF" w:rsidP="004A6EEF">
      <w:r>
        <w:t xml:space="preserve">Projekt predvideva tudi pilotno vzpostavitev modela javno-zasebnega partnerstva vlagateljev, testiran z </w:t>
      </w:r>
      <w:proofErr w:type="gramStart"/>
      <w:r>
        <w:t>mikro</w:t>
      </w:r>
      <w:proofErr w:type="gramEnd"/>
      <w:r>
        <w:t xml:space="preserve"> rešitvijo, ter soustvarjanje okvira za regionalni peskovnik politik. Ob tem bo zasnovana </w:t>
      </w:r>
      <w:proofErr w:type="gramStart"/>
      <w:r>
        <w:t>konceptualna</w:t>
      </w:r>
      <w:proofErr w:type="gramEnd"/>
      <w:r>
        <w:t xml:space="preserve"> arhitektura za regionalno platformo znanja, podprta s pilotno podatkovno nadzorno ploščo za spremljanje portfelja in priročnikom programa, kar bo omogočilo sistematično spremljanje razvoja ter nadaljnje nadgrajevanje ekosistema.</w:t>
      </w:r>
    </w:p>
    <w:p w14:paraId="35ABA7CB" w14:textId="57E0C0F0" w:rsidR="00E1074E" w:rsidRDefault="004A6EEF" w:rsidP="004A6EEF">
      <w:pPr>
        <w:pStyle w:val="Vir"/>
      </w:pPr>
      <w:r>
        <w:t>Vir: Ministrstvo za gospodarstvo, turizem in šport</w:t>
      </w:r>
    </w:p>
    <w:p w14:paraId="05C001BA" w14:textId="769C9B01" w:rsidR="005B281F" w:rsidRDefault="005B281F" w:rsidP="005B281F">
      <w:pPr>
        <w:pStyle w:val="Naslov2"/>
      </w:pPr>
      <w:r>
        <w:lastRenderedPageBreak/>
        <w:t>Glavni inšpektor za obrambo imenovan za nov mandat</w:t>
      </w:r>
    </w:p>
    <w:p w14:paraId="00C5BD6D" w14:textId="77777777" w:rsidR="005B281F" w:rsidRDefault="005B281F" w:rsidP="005B281F">
      <w:r>
        <w:t xml:space="preserve">Vlada je danes na seji izdala odločbo o imenovanju dr. Vojka Obrulja za glavnega inšpektorja za obrambo v Inšpektoratu za obrambo Ministrstva za obrambo. Dr. Obrulj je na položaj imenovan za mandatno dobo petih let, in sicer od </w:t>
      </w:r>
      <w:proofErr w:type="gramStart"/>
      <w:r>
        <w:t>1. 8. 2026</w:t>
      </w:r>
      <w:proofErr w:type="gramEnd"/>
      <w:r>
        <w:t xml:space="preserve"> do 31. 7. 2031 z možnostjo ponovnega imenovanja.</w:t>
      </w:r>
    </w:p>
    <w:p w14:paraId="3D00A94F" w14:textId="77777777" w:rsidR="005B281F" w:rsidRDefault="005B281F" w:rsidP="005B281F"/>
    <w:p w14:paraId="5D6C03B4" w14:textId="77777777" w:rsidR="005B281F" w:rsidRDefault="005B281F" w:rsidP="005B281F">
      <w:r>
        <w:t xml:space="preserve">Skladno z Zakonom o javnih uslužbencih mora biti postopek javnega natečaja za položaj zaključen najkasneje tri mesece pred potekom obdobja imenovanja na položaj. Dr. Vojko Obrulj je bil z odločbo vlade </w:t>
      </w:r>
      <w:proofErr w:type="gramStart"/>
      <w:r>
        <w:t>28. 7. 2021</w:t>
      </w:r>
      <w:proofErr w:type="gramEnd"/>
      <w:r>
        <w:t xml:space="preserve"> imenovan za glavnega inšpektorja za obrambo v Inšpektoratu za obrambo, in sicer za dobo petih let, to je do 31. 7. 2026. Minister za obrambo je vladi predlagal njegovo ponovno imenovanje na položaj glavnega inšpektorja za obrambo.</w:t>
      </w:r>
    </w:p>
    <w:p w14:paraId="544E4081" w14:textId="13D70B0D" w:rsidR="00E1074E" w:rsidRDefault="005B281F" w:rsidP="005B281F">
      <w:pPr>
        <w:pStyle w:val="Vir"/>
      </w:pPr>
      <w:r>
        <w:t>Vir: Ministrstvo za obrambo</w:t>
      </w:r>
    </w:p>
    <w:p w14:paraId="4D14628A" w14:textId="3C47BAEB" w:rsidR="006A2FDF" w:rsidRDefault="006A2FDF" w:rsidP="006A2FDF">
      <w:pPr>
        <w:pStyle w:val="Naslov2"/>
      </w:pPr>
      <w:r>
        <w:t>Vlada imenovala mag. Mateja Skočirja za vršilca dolžnosti generalnega direktorja Direktorata za industrijo, podjetništvo in internacionalizacijo</w:t>
      </w:r>
    </w:p>
    <w:p w14:paraId="234BB686" w14:textId="77777777" w:rsidR="006A2FDF" w:rsidRDefault="006A2FDF" w:rsidP="006A2FDF">
      <w:r>
        <w:t>Vlada je na predlog ministra za gospodarstvo, turizem in šport Matjaža Hana sprejela sklep, da se mag. Matej Skočir z dnem 1. aprila 2026 imenuje za vršilca dolžnosti generalnega direktorja Direktorata za industrijo, podjetništvo in internacionalizacijo (DIPI) na Ministrstvu za gospodarstvo, turizem in šport.</w:t>
      </w:r>
    </w:p>
    <w:p w14:paraId="2AA5F00C" w14:textId="77777777" w:rsidR="006A2FDF" w:rsidRDefault="006A2FDF" w:rsidP="006A2FDF"/>
    <w:p w14:paraId="3AF6CD22" w14:textId="77777777" w:rsidR="006A2FDF" w:rsidRDefault="006A2FDF" w:rsidP="006A2FDF">
      <w:r>
        <w:t>Imenovanje velja do imenovanja novega generalnega direktorja direktorata, najdlje pa do 30. septembra 2026.</w:t>
      </w:r>
    </w:p>
    <w:p w14:paraId="292863D9" w14:textId="77777777" w:rsidR="006A2FDF" w:rsidRDefault="006A2FDF" w:rsidP="006A2FDF"/>
    <w:p w14:paraId="0D8B5526" w14:textId="77777777" w:rsidR="006A2FDF" w:rsidRDefault="006A2FDF" w:rsidP="006A2FDF">
      <w:r>
        <w:t xml:space="preserve">V skladu z Zakonom o javnih uslužbencih generalne direktorje </w:t>
      </w:r>
      <w:proofErr w:type="gramStart"/>
      <w:r>
        <w:t>v</w:t>
      </w:r>
      <w:proofErr w:type="gramEnd"/>
      <w:r>
        <w:t xml:space="preserve"> ministrstvih imenuje Vlada Republike Slovenije na predlog pristojnega ministra ali funkcionarja, kateremu je direktor odgovoren. Zakon določa, da se po prenehanju položaja naslednji dan objavi javni natečaj za zasedbo položaja, do imenovanja novega uradnika pa se lahko za največ šest mesecev imenuje vršilec dolžnosti brez javnega natečaja. Za vršilca dolžnosti je lahko imenovana oseba, ki izpolnjuje predpisane pogoje za zasedbo položaja.</w:t>
      </w:r>
    </w:p>
    <w:p w14:paraId="354E5A10" w14:textId="77777777" w:rsidR="006A2FDF" w:rsidRDefault="006A2FDF" w:rsidP="006A2FDF"/>
    <w:p w14:paraId="19E1E7B0" w14:textId="77777777" w:rsidR="006A2FDF" w:rsidRDefault="006A2FDF" w:rsidP="006A2FDF">
      <w:r>
        <w:t>Minister za gospodarstvo, turizem in šport je ugotovil, da mag. Matej Skočir izpolnjuje vse predpisane pogoje za zasedbo položaja generalnega direktorja DIPI, zato je vladi predlagal njegovo imenovanje. Pri tem je bil upoštevan njegov strokovni profil in izpolnjevanje vseh zakonsko določenih pogojev, kar zagotavlja nemoteno nadaljevanje dela direktorata.</w:t>
      </w:r>
    </w:p>
    <w:p w14:paraId="0A82168B" w14:textId="77777777" w:rsidR="006A2FDF" w:rsidRDefault="006A2FDF" w:rsidP="006A2FDF"/>
    <w:p w14:paraId="3BA7908A" w14:textId="77777777" w:rsidR="006A2FDF" w:rsidRDefault="006A2FDF" w:rsidP="006A2FDF">
      <w:r>
        <w:t>Direktorat za industrijo, podjetništvo in internacionalizacijo na ministrstvu oblikuje in izvaja politike na področju razvoja industrije, podjetništva in internacionalizacije slovenskega gospodarstva. Med drugim pripravlja ukrepe za krepitev konkurenčnosti podjetij, podpira podjetniško okolje ter spodbuja vključevanje slovenskih podjetij na tuje trge.</w:t>
      </w:r>
    </w:p>
    <w:p w14:paraId="2660C0E5" w14:textId="77777777" w:rsidR="006A2FDF" w:rsidRDefault="006A2FDF" w:rsidP="006A2FDF"/>
    <w:p w14:paraId="68D4E4F6" w14:textId="77777777" w:rsidR="006A2FDF" w:rsidRDefault="006A2FDF" w:rsidP="006A2FDF">
      <w:r>
        <w:t>Vlada je predlog ministra za gospodarstvo, turizem in šport sprejela in mag. Mateja Skočirja imenovala za vršilca dolžnosti generalnega direktorja DIPI do imenovanja novega generalnega direktorja, najdlje pa do 30. septembra 2026.</w:t>
      </w:r>
    </w:p>
    <w:p w14:paraId="730C44AE" w14:textId="75367D02" w:rsidR="00E1074E" w:rsidRDefault="006A2FDF" w:rsidP="006A2FDF">
      <w:pPr>
        <w:pStyle w:val="Vir"/>
      </w:pPr>
      <w:r>
        <w:t>Vir: Ministrstvo za gospodarstvo, turizem in šport</w:t>
      </w:r>
    </w:p>
    <w:p w14:paraId="3335ACA8" w14:textId="4DE2D939" w:rsidR="009E2DBF" w:rsidRDefault="009E2DBF" w:rsidP="009E2DBF">
      <w:pPr>
        <w:pStyle w:val="Naslov2"/>
      </w:pPr>
      <w:r>
        <w:t>Imenovanje prof. dr. Janeza Povha za vršilca dolžnosti rektorja Univerze v Novem mestu</w:t>
      </w:r>
    </w:p>
    <w:p w14:paraId="46221543" w14:textId="77777777" w:rsidR="009E2DBF" w:rsidRDefault="009E2DBF" w:rsidP="009E2DBF">
      <w:r>
        <w:t xml:space="preserve">Vlada Republike Slovenije je na dopisni seji na mesto vršilca dolžnosti rektorja Univerze v Novem mestu za čas do izvolitve prvega rektorja univerze imenovala prof. dr. Janeza Povha. Ministra za visoko šolstvo, znanost in inovacije dr. Igorja Papiča pa je vlada pooblastila za podpis pogodbe s prof. </w:t>
      </w:r>
      <w:r>
        <w:lastRenderedPageBreak/>
        <w:t>dr. Povhom o izvrševanju poslovodnih pooblastil na funkciji vršilca dolžnosti rektorja Univerze v Novem mestu.</w:t>
      </w:r>
    </w:p>
    <w:p w14:paraId="24967DC3" w14:textId="77777777" w:rsidR="009E2DBF" w:rsidRDefault="009E2DBF" w:rsidP="009E2DBF"/>
    <w:p w14:paraId="3C637430" w14:textId="77777777" w:rsidR="009E2DBF" w:rsidRDefault="009E2DBF" w:rsidP="009E2DBF">
      <w:r>
        <w:t xml:space="preserve">Prof. dr. Janez Povh je profesor matematike na Univerzi v Ljubljani in znanstveni svetnik na Rudolfovem. Od 1. septembra 2022 opravlja </w:t>
      </w:r>
      <w:proofErr w:type="gramStart"/>
      <w:r>
        <w:t>funkcijo</w:t>
      </w:r>
      <w:proofErr w:type="gramEnd"/>
      <w:r>
        <w:t xml:space="preserve"> direktorja javnega raziskovalnega zavoda Rudolfovo – Znanstvenega in tehnološkega središča Novo mesto. Pred tem je bil dekan Fakultete za informacijske študije v Novem mestu, nato pa je kot član in vodja </w:t>
      </w:r>
      <w:proofErr w:type="spellStart"/>
      <w:r>
        <w:t>LeCAD</w:t>
      </w:r>
      <w:proofErr w:type="spellEnd"/>
      <w:r>
        <w:t xml:space="preserve"> laboratorija na Fakulteti za strojništvo Univerze v Ljubljani pomembno prispeval k razvoju raziskovalne odličnosti laboratorija. Ima dolgoletne izkušnje s področja poslovanja zavodov, vodenja raziskovalnih skupin, finančnega in pravnega poslovanja in drugih področij poslovanja zavodov, pri tem pa uživa tudi široko zaupanje in podporo akademske skupnosti.</w:t>
      </w:r>
    </w:p>
    <w:p w14:paraId="4E6D20D1" w14:textId="77777777" w:rsidR="009E2DBF" w:rsidRDefault="009E2DBF" w:rsidP="009E2DBF"/>
    <w:p w14:paraId="0B5941BA" w14:textId="330C2CE4" w:rsidR="009E2DBF" w:rsidRDefault="009E2DBF" w:rsidP="009E2DBF">
      <w:r>
        <w:t xml:space="preserve">Obseg dela vršilca dolžnosti rektorja je z Odlokom o ustanovitvi Univerze v Novem mestu vsebinsko omejen na dejanja, potrebna za vpis univerze v sodni register, oblikovanje njenih organov in druga dejanja, ki so nujna za začetek delovanja univerze.                                </w:t>
      </w:r>
    </w:p>
    <w:p w14:paraId="63F03F83" w14:textId="4A9B1A72" w:rsidR="00E1074E" w:rsidRDefault="009E2DBF" w:rsidP="009E2DBF">
      <w:pPr>
        <w:pStyle w:val="Vir"/>
      </w:pPr>
      <w:r>
        <w:t>Vir: Ministrstvo za visoko šolstvo, znanost in inovacije</w:t>
      </w:r>
    </w:p>
    <w:p w14:paraId="4E851683" w14:textId="3E811FC2" w:rsidR="00783A35" w:rsidRDefault="00783A35" w:rsidP="00783A35">
      <w:pPr>
        <w:pStyle w:val="Naslov2"/>
      </w:pPr>
      <w:r>
        <w:t>Vlada imenovala članico Sveta Javne agencije Republike Slovenije za varnost prometa</w:t>
      </w:r>
    </w:p>
    <w:p w14:paraId="1C8044C3" w14:textId="3867EC72" w:rsidR="00783A35" w:rsidRDefault="00783A35" w:rsidP="00783A35">
      <w:r>
        <w:t xml:space="preserve">Vlada Republike Slovenije je v svet Javne agencije Republike Slovenije za varnost prometa za mandatno dobo petih let, in sicer od 20. </w:t>
      </w:r>
      <w:r w:rsidR="00C91FA1">
        <w:t>marca</w:t>
      </w:r>
      <w:r>
        <w:t xml:space="preserve"> 2026 do 19. </w:t>
      </w:r>
      <w:r w:rsidR="00C91FA1">
        <w:t>marca</w:t>
      </w:r>
      <w:r>
        <w:t xml:space="preserve"> 2031, z možnostjo ponovnega imenovanja, kot predstavnico uporabnikov strokovnih organizacij in organizacij civilne družbe imenovala Ano Cergolj Kebler.</w:t>
      </w:r>
    </w:p>
    <w:p w14:paraId="7FDAA6FB" w14:textId="77777777" w:rsidR="00783A35" w:rsidRDefault="00783A35" w:rsidP="00783A35"/>
    <w:p w14:paraId="0244E997" w14:textId="2464FC50" w:rsidR="00783A35" w:rsidRDefault="00783A35" w:rsidP="00783A35">
      <w:r>
        <w:t xml:space="preserve">Ministrstvo za infrastrukturo je dne 22. </w:t>
      </w:r>
      <w:r w:rsidR="00C91FA1">
        <w:t>januarja</w:t>
      </w:r>
      <w:r>
        <w:t xml:space="preserve"> 2026 na spletni strani objavilo javni poziv predstavnikom uporabnikov, strokovnih organizacij in organizacij civilne družbe, da kandidirajo za člane Sveta Javne agencije Republike Slovenije za varnost prometa. Kandidatka Ana Cergolj Kebler izpolnjuje pogoje za imenovanje. Z imenovanjem ima Svet Javne agencije Republike Slovenije za varnost prometa štiri od štirih predstavnikov uporabnikov, strokovnih organizacij in organizacij civilne družbe. </w:t>
      </w:r>
    </w:p>
    <w:p w14:paraId="2186BA28" w14:textId="36FF671A" w:rsidR="00E1074E" w:rsidRDefault="00783A35" w:rsidP="00783A35">
      <w:pPr>
        <w:pStyle w:val="Vir"/>
      </w:pPr>
      <w:r>
        <w:t>Vir: Ministrstvo za infrastrukturo</w:t>
      </w:r>
    </w:p>
    <w:p w14:paraId="2F0F7F39" w14:textId="522CFC17" w:rsidR="00C93D39" w:rsidRDefault="00C93D39" w:rsidP="00C93D39">
      <w:pPr>
        <w:pStyle w:val="Naslov2"/>
      </w:pPr>
      <w:r>
        <w:t>Sprememba Sklepa o imenovanju članov Sveta vlade za spremljanje izvajanja Strategije Republike Slovenije za boj proti antisemitizmu do leta 2033</w:t>
      </w:r>
    </w:p>
    <w:p w14:paraId="3F62C8EF" w14:textId="77777777" w:rsidR="00C93D39" w:rsidRDefault="00C93D39" w:rsidP="00C93D39">
      <w:r>
        <w:t>Vlada Republike Slovenije je sprejela sklep o spremembi Sklepa o imenovanju članov Sveta vlade za spremljanje izvajanja Strategije Republike Slovenije za boj proti antisemitizmu do leta 2033.</w:t>
      </w:r>
    </w:p>
    <w:p w14:paraId="4BC35390" w14:textId="77777777" w:rsidR="00C93D39" w:rsidRDefault="00C93D39" w:rsidP="00C93D39"/>
    <w:p w14:paraId="1F699F58" w14:textId="77777777" w:rsidR="00C93D39" w:rsidRDefault="00C93D39" w:rsidP="00C93D39">
      <w:r>
        <w:t xml:space="preserve">Spremembe v sestavi sveta so posledica kadrovskih sprememb v organizacijah, katerih predstavniki sodelujejo v svetu. </w:t>
      </w:r>
    </w:p>
    <w:p w14:paraId="3212B941" w14:textId="77777777" w:rsidR="00C93D39" w:rsidRDefault="00C93D39" w:rsidP="00C93D39"/>
    <w:p w14:paraId="1359B4A1" w14:textId="77777777" w:rsidR="00C93D39" w:rsidRDefault="00C93D39" w:rsidP="00C93D39">
      <w:r>
        <w:t>Za novo vodjo sveta je bila imenovana državna sekretarka na Ministrstvu za pravosodje dr. Maja Čarni Pretnar, ki na tem mestu nadomešča dosedanjo vodjo. V svet so bili imenovani tudi novi predstavniki posameznih ministrstev in organizacij.</w:t>
      </w:r>
    </w:p>
    <w:p w14:paraId="737338EF" w14:textId="77777777" w:rsidR="00C93D39" w:rsidRDefault="00C93D39" w:rsidP="00C93D39"/>
    <w:p w14:paraId="265C2EB9" w14:textId="77777777" w:rsidR="00C93D39" w:rsidRDefault="00C93D39" w:rsidP="00C93D39">
      <w:r>
        <w:t xml:space="preserve">Naloga sveta ostaja spremljanje izvajanja strategije ter usklajevanje </w:t>
      </w:r>
      <w:proofErr w:type="gramStart"/>
      <w:r>
        <w:t>aktivnosti</w:t>
      </w:r>
      <w:proofErr w:type="gramEnd"/>
      <w:r>
        <w:t xml:space="preserve"> na področju preprečevanja antisemitizma v Republiki Sloveniji.</w:t>
      </w:r>
    </w:p>
    <w:p w14:paraId="191BC2D4" w14:textId="39793976" w:rsidR="00C93D39" w:rsidRDefault="00C93D39" w:rsidP="00C93D39">
      <w:pPr>
        <w:pStyle w:val="Vir"/>
      </w:pPr>
      <w:r>
        <w:t>Vir: Ministrstvo za pravosodje</w:t>
      </w:r>
    </w:p>
    <w:p w14:paraId="67B30BFF" w14:textId="3EB86485" w:rsidR="001857A4" w:rsidRDefault="001857A4" w:rsidP="001857A4">
      <w:pPr>
        <w:pStyle w:val="Naslov2"/>
      </w:pPr>
      <w:r>
        <w:lastRenderedPageBreak/>
        <w:t>Vlada spremenila sklep o imenovanju članov Strokovnega sveta Republike Slovenije za izobraževanje odraslih</w:t>
      </w:r>
    </w:p>
    <w:p w14:paraId="6170C4F9" w14:textId="77777777" w:rsidR="001857A4" w:rsidRDefault="001857A4" w:rsidP="001857A4">
      <w:r>
        <w:t>Predsednike in člane strokovnih svetov na podlagi Zakona o organizaciji in financiranju vzgoje in izobraževanja imenuje vlada za šest let, lahko so tudi ponovno imenovani. 22. julija 2026 bo potekel mandat osmim članom Strokovnega sveta Republike Slovenije za izobraževanje odraslih, zato je Ministrstvo za vzgojo in izobraževanje objavilo Javni poziv za kandidiranje strokovnjakov oziroma strokovnjakinj s področja vzgoje in izobraževanja za člane oziroma članice strokovnih svetov vlade.</w:t>
      </w:r>
    </w:p>
    <w:p w14:paraId="3E416AE2" w14:textId="77777777" w:rsidR="001857A4" w:rsidRDefault="001857A4" w:rsidP="001857A4"/>
    <w:p w14:paraId="6EAE458D" w14:textId="77777777" w:rsidR="001857A4" w:rsidRDefault="001857A4" w:rsidP="001857A4">
      <w:r>
        <w:t xml:space="preserve">Vlada je v Strokovni svet Republike Slovenije za izobraževanje odraslih za mandatno obdobje šestih let imenovala predsednika izr. prof. dr. Boruta </w:t>
      </w:r>
      <w:proofErr w:type="spellStart"/>
      <w:proofErr w:type="gramStart"/>
      <w:r>
        <w:t>Mikuleca</w:t>
      </w:r>
      <w:proofErr w:type="spellEnd"/>
      <w:proofErr w:type="gramEnd"/>
      <w:r>
        <w:t>, ki ga je predlagalo Ministrstvo za vzgojo in izobraževanje, ter člane: dr. Mateja Forjana, ki ga je predlagalo Ministrstvo za vzgojo in izobraževanje; Suzano Kljun, ki jo je predlagala Obrtno-podjetniška zbornica Slovenije; mag. Jasno Kržin Stepišnik, ki jo je predlagalo Društvo organizacij za izobraževanje odraslih na srednjih šolah; Gregorja Sepaherja, ki ga je predlagalo Združenje izobraževalnih in svetovalnih središč Slovenije; Katjo Potočnik Nussdorfer, ki jo je predlagal Sindikat vzgoje, izobraževanja, znanosti in kulture Slovenije; Mojco Volf, ki jo je predlagala Gospodarska zbornica Slovenije in Ksenijo Sever Žižek, ki jo je predlagal SOFIZO izobraževalni center, d. o. o..</w:t>
      </w:r>
    </w:p>
    <w:p w14:paraId="0F2EA56A" w14:textId="2EAF302E" w:rsidR="00E1074E" w:rsidRDefault="001857A4" w:rsidP="001857A4">
      <w:pPr>
        <w:pStyle w:val="Vir"/>
      </w:pPr>
      <w:r>
        <w:t>Vir: Ministrstvo za vzgojo in izobraževanje</w:t>
      </w:r>
    </w:p>
    <w:p w14:paraId="790357B1" w14:textId="064A1CAE" w:rsidR="006B0A23" w:rsidRDefault="006B0A23" w:rsidP="006B0A23">
      <w:pPr>
        <w:pStyle w:val="Naslov2"/>
      </w:pPr>
      <w:r>
        <w:t>Sprememba Skupnega kadrovskega načrta organov državne uprave za leto 2026</w:t>
      </w:r>
    </w:p>
    <w:p w14:paraId="39CCE886" w14:textId="77777777" w:rsidR="006B0A23" w:rsidRDefault="006B0A23" w:rsidP="006B0A23">
      <w:r>
        <w:t>Vlada je sprejela sklep, da se Skupni kadrovski načrt (SKN) organov državne uprave za leti 2025 in 2026 se zaradi trajnega prenosa kvot spremeni tako, da se za leto 2026 postavka Nerazporejeno zmanjša za štiri kvote, dovoljeno število zaposlitev v kadrovskem načrtu Ministrstva za gospodarstvo, turizem in šport (MGTŠ) se poveča za tri zaposlene, dovoljeno število zaposlitev v kadrovskem načrtu Ministrstva za javno upravo pa se poveča za enega zaposlenega. Proračunski uporabniki zagotovijo sredstva za stroške dela zaposlenih javnih uslužbencev v okviru sredstev za stroške dela v svojem finančnem načrtu. Zaradi omenjenih prenosov kvot skupno število zaposlitev v SKN ostaja nespremenjeno.</w:t>
      </w:r>
    </w:p>
    <w:p w14:paraId="05014030" w14:textId="77777777" w:rsidR="006B0A23" w:rsidRDefault="006B0A23" w:rsidP="006B0A23"/>
    <w:p w14:paraId="1C082D4F" w14:textId="77777777" w:rsidR="006B0A23" w:rsidRDefault="006B0A23" w:rsidP="006B0A23">
      <w:r>
        <w:t xml:space="preserve">Dodatne kvote v kadrovskem načrtu MGTŠ so namenjene za izvajanje delovnih nalog </w:t>
      </w:r>
      <w:proofErr w:type="gramStart"/>
      <w:r>
        <w:t>Slovenske</w:t>
      </w:r>
      <w:proofErr w:type="gramEnd"/>
      <w:r>
        <w:t xml:space="preserve"> vesoljske pisarne. Republika Slovenija je namreč leta 2025 postala polnopravna članica Evropske vesoljske agencije (ESA), leta 2026 pa vodja Slovenske vesoljske pisarne</w:t>
      </w:r>
      <w:proofErr w:type="gramStart"/>
      <w:r>
        <w:t xml:space="preserve"> kot</w:t>
      </w:r>
      <w:proofErr w:type="gramEnd"/>
      <w:r>
        <w:t xml:space="preserve"> vodja delegacije v ESA kandidira za </w:t>
      </w:r>
      <w:proofErr w:type="spellStart"/>
      <w:r>
        <w:t>podpredsedujočo</w:t>
      </w:r>
      <w:proofErr w:type="spellEnd"/>
      <w:r>
        <w:t xml:space="preserve"> Svetu ESA. Kandidatura Slovenije za podpredsednico Svetu ESA, </w:t>
      </w:r>
      <w:proofErr w:type="gramStart"/>
      <w:r>
        <w:t>najvišjem</w:t>
      </w:r>
      <w:proofErr w:type="gramEnd"/>
      <w:r>
        <w:t xml:space="preserve"> meddržavnem organu, predstavlja pomembne strateške priložnosti, zaradi povečanega obsega dela pa tudi kadrovske obveznosti.</w:t>
      </w:r>
    </w:p>
    <w:p w14:paraId="00BEE833" w14:textId="77777777" w:rsidR="006B0A23" w:rsidRDefault="006B0A23" w:rsidP="006B0A23"/>
    <w:p w14:paraId="36DE9E5B" w14:textId="77777777" w:rsidR="006B0A23" w:rsidRDefault="006B0A23" w:rsidP="006B0A23">
      <w:r>
        <w:t xml:space="preserve">Dodatna kvota v kadrovskem načrtu MJU je namenjena izvajanju delovnih nalog </w:t>
      </w:r>
      <w:proofErr w:type="gramStart"/>
      <w:r>
        <w:t>Centra</w:t>
      </w:r>
      <w:proofErr w:type="gramEnd"/>
      <w:r>
        <w:t xml:space="preserve"> za kadre, ki je bil ustanovljen z Zakonom o javnih uslužbencih (ZJU-1). S 1. januarjem 2026 je </w:t>
      </w:r>
      <w:proofErr w:type="gramStart"/>
      <w:r>
        <w:t>Center</w:t>
      </w:r>
      <w:proofErr w:type="gramEnd"/>
      <w:r>
        <w:t xml:space="preserve"> za kadre začel izvajati prvi del javnega natečaja za organe internega trga dela (objava javnega natečaja, sprejem prijav, preverjanje izpolnjevanja pogojev, izvedba pisnega preizkusa osnovnega poznavanja državne ureditve in ureditve lokalne samouprave ter presoja temeljnih kompetenc), v drugem delu izbirnega postopka pa bo center zagotavljal strokovno podporo organom internega trga dela. Center izvaja tudi postopke posebnega javnega natečaja, začel pa bo </w:t>
      </w:r>
      <w:proofErr w:type="gramStart"/>
      <w:r>
        <w:t>tudi z izvajanjem javnih natečajev za podelitev štipendij</w:t>
      </w:r>
      <w:proofErr w:type="gramEnd"/>
      <w:r>
        <w:t xml:space="preserve"> za organe državne uprave.</w:t>
      </w:r>
    </w:p>
    <w:p w14:paraId="3F340F01" w14:textId="73B1BDEB" w:rsidR="00E1074E" w:rsidRDefault="006B0A23" w:rsidP="00AA3351">
      <w:pPr>
        <w:pStyle w:val="Vir"/>
      </w:pPr>
      <w:r>
        <w:t>Vir: Ministrstvo za javno upravo</w:t>
      </w:r>
    </w:p>
    <w:p w14:paraId="4B3072FA" w14:textId="77777777" w:rsidR="00E1074E" w:rsidRDefault="00E1074E" w:rsidP="00E1074E"/>
    <w:p w14:paraId="1CB7C3F4" w14:textId="77777777" w:rsidR="00E1074E" w:rsidRDefault="00E1074E" w:rsidP="00E1074E"/>
    <w:p w14:paraId="235188A3" w14:textId="77777777" w:rsidR="007F4D5C" w:rsidRDefault="007F4D5C" w:rsidP="007F4D5C"/>
    <w:sectPr w:rsidR="007F4D5C"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222A9C"/>
    <w:multiLevelType w:val="hybridMultilevel"/>
    <w:tmpl w:val="F4B67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8B5812"/>
    <w:multiLevelType w:val="hybridMultilevel"/>
    <w:tmpl w:val="CE8667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AE0D6E"/>
    <w:multiLevelType w:val="hybridMultilevel"/>
    <w:tmpl w:val="362EDF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171EEE"/>
    <w:multiLevelType w:val="hybridMultilevel"/>
    <w:tmpl w:val="6A3E292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4A6E02"/>
    <w:multiLevelType w:val="hybridMultilevel"/>
    <w:tmpl w:val="FCC48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ED7152"/>
    <w:multiLevelType w:val="hybridMultilevel"/>
    <w:tmpl w:val="1F9AD5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7E1021"/>
    <w:multiLevelType w:val="hybridMultilevel"/>
    <w:tmpl w:val="F2F8B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2CD175B"/>
    <w:multiLevelType w:val="hybridMultilevel"/>
    <w:tmpl w:val="15802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3A1769F"/>
    <w:multiLevelType w:val="hybridMultilevel"/>
    <w:tmpl w:val="C48488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134D39"/>
    <w:multiLevelType w:val="hybridMultilevel"/>
    <w:tmpl w:val="D8B68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A64FAD"/>
    <w:multiLevelType w:val="hybridMultilevel"/>
    <w:tmpl w:val="ACA6F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753EA3"/>
    <w:multiLevelType w:val="hybridMultilevel"/>
    <w:tmpl w:val="18E67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206F15"/>
    <w:multiLevelType w:val="hybridMultilevel"/>
    <w:tmpl w:val="A7202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135A3C"/>
    <w:multiLevelType w:val="hybridMultilevel"/>
    <w:tmpl w:val="F5705F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4063CC"/>
    <w:multiLevelType w:val="hybridMultilevel"/>
    <w:tmpl w:val="6420A2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8C169F"/>
    <w:multiLevelType w:val="hybridMultilevel"/>
    <w:tmpl w:val="B0D68A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3245F4"/>
    <w:multiLevelType w:val="hybridMultilevel"/>
    <w:tmpl w:val="B5D8AA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8932246"/>
    <w:multiLevelType w:val="hybridMultilevel"/>
    <w:tmpl w:val="6E901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981AB6"/>
    <w:multiLevelType w:val="hybridMultilevel"/>
    <w:tmpl w:val="CD027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A62F2F"/>
    <w:multiLevelType w:val="hybridMultilevel"/>
    <w:tmpl w:val="1FFE9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33"/>
  </w:num>
  <w:num w:numId="2" w16cid:durableId="984821814">
    <w:abstractNumId w:val="21"/>
  </w:num>
  <w:num w:numId="3" w16cid:durableId="150218247">
    <w:abstractNumId w:val="1"/>
  </w:num>
  <w:num w:numId="4" w16cid:durableId="1026903286">
    <w:abstractNumId w:val="22"/>
  </w:num>
  <w:num w:numId="5" w16cid:durableId="231817878">
    <w:abstractNumId w:val="11"/>
  </w:num>
  <w:num w:numId="6" w16cid:durableId="2110814889">
    <w:abstractNumId w:val="34"/>
  </w:num>
  <w:num w:numId="7" w16cid:durableId="695153758">
    <w:abstractNumId w:val="12"/>
  </w:num>
  <w:num w:numId="8" w16cid:durableId="853298866">
    <w:abstractNumId w:val="20"/>
  </w:num>
  <w:num w:numId="9" w16cid:durableId="1789348953">
    <w:abstractNumId w:val="10"/>
  </w:num>
  <w:num w:numId="10" w16cid:durableId="1415012333">
    <w:abstractNumId w:val="26"/>
  </w:num>
  <w:num w:numId="11" w16cid:durableId="886650520">
    <w:abstractNumId w:val="14"/>
  </w:num>
  <w:num w:numId="12" w16cid:durableId="312607874">
    <w:abstractNumId w:val="5"/>
  </w:num>
  <w:num w:numId="13" w16cid:durableId="1398894926">
    <w:abstractNumId w:val="0"/>
  </w:num>
  <w:num w:numId="14" w16cid:durableId="857430202">
    <w:abstractNumId w:val="9"/>
  </w:num>
  <w:num w:numId="15" w16cid:durableId="682360922">
    <w:abstractNumId w:val="17"/>
  </w:num>
  <w:num w:numId="16" w16cid:durableId="162476534">
    <w:abstractNumId w:val="30"/>
  </w:num>
  <w:num w:numId="17" w16cid:durableId="319192199">
    <w:abstractNumId w:val="6"/>
  </w:num>
  <w:num w:numId="18" w16cid:durableId="261764048">
    <w:abstractNumId w:val="31"/>
  </w:num>
  <w:num w:numId="19" w16cid:durableId="243734113">
    <w:abstractNumId w:val="18"/>
  </w:num>
  <w:num w:numId="20" w16cid:durableId="677466461">
    <w:abstractNumId w:val="13"/>
  </w:num>
  <w:num w:numId="21" w16cid:durableId="1392191424">
    <w:abstractNumId w:val="7"/>
  </w:num>
  <w:num w:numId="22" w16cid:durableId="30956745">
    <w:abstractNumId w:val="24"/>
  </w:num>
  <w:num w:numId="23" w16cid:durableId="1814788480">
    <w:abstractNumId w:val="2"/>
  </w:num>
  <w:num w:numId="24" w16cid:durableId="58212473">
    <w:abstractNumId w:val="16"/>
  </w:num>
  <w:num w:numId="25" w16cid:durableId="2145270519">
    <w:abstractNumId w:val="28"/>
  </w:num>
  <w:num w:numId="26" w16cid:durableId="225073580">
    <w:abstractNumId w:val="27"/>
  </w:num>
  <w:num w:numId="27" w16cid:durableId="408696259">
    <w:abstractNumId w:val="15"/>
  </w:num>
  <w:num w:numId="28" w16cid:durableId="2016300639">
    <w:abstractNumId w:val="23"/>
  </w:num>
  <w:num w:numId="29" w16cid:durableId="821384740">
    <w:abstractNumId w:val="32"/>
  </w:num>
  <w:num w:numId="30" w16cid:durableId="1653636387">
    <w:abstractNumId w:val="3"/>
  </w:num>
  <w:num w:numId="31" w16cid:durableId="1913002556">
    <w:abstractNumId w:val="8"/>
  </w:num>
  <w:num w:numId="32" w16cid:durableId="1477063127">
    <w:abstractNumId w:val="19"/>
  </w:num>
  <w:num w:numId="33" w16cid:durableId="744958474">
    <w:abstractNumId w:val="4"/>
  </w:num>
  <w:num w:numId="34" w16cid:durableId="515659527">
    <w:abstractNumId w:val="29"/>
  </w:num>
  <w:num w:numId="35" w16cid:durableId="7140412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1547"/>
    <w:rsid w:val="000015FE"/>
    <w:rsid w:val="00004626"/>
    <w:rsid w:val="00005AA2"/>
    <w:rsid w:val="00010A67"/>
    <w:rsid w:val="00027D39"/>
    <w:rsid w:val="000318E4"/>
    <w:rsid w:val="0003393D"/>
    <w:rsid w:val="00040839"/>
    <w:rsid w:val="000413DF"/>
    <w:rsid w:val="00050A56"/>
    <w:rsid w:val="00057D37"/>
    <w:rsid w:val="000610D5"/>
    <w:rsid w:val="00076DF7"/>
    <w:rsid w:val="00081C1F"/>
    <w:rsid w:val="00085D04"/>
    <w:rsid w:val="00087069"/>
    <w:rsid w:val="00087A14"/>
    <w:rsid w:val="00096432"/>
    <w:rsid w:val="00097B85"/>
    <w:rsid w:val="000C0A0C"/>
    <w:rsid w:val="000C5456"/>
    <w:rsid w:val="000D273D"/>
    <w:rsid w:val="000D5520"/>
    <w:rsid w:val="000E0453"/>
    <w:rsid w:val="000E0657"/>
    <w:rsid w:val="000E4688"/>
    <w:rsid w:val="000F5B2E"/>
    <w:rsid w:val="00101665"/>
    <w:rsid w:val="001043B5"/>
    <w:rsid w:val="00110637"/>
    <w:rsid w:val="001106F5"/>
    <w:rsid w:val="00110B8F"/>
    <w:rsid w:val="00111A16"/>
    <w:rsid w:val="00113F85"/>
    <w:rsid w:val="0012724F"/>
    <w:rsid w:val="0013016C"/>
    <w:rsid w:val="00132452"/>
    <w:rsid w:val="00133242"/>
    <w:rsid w:val="001357B6"/>
    <w:rsid w:val="00144F6D"/>
    <w:rsid w:val="00151FF5"/>
    <w:rsid w:val="001602C9"/>
    <w:rsid w:val="00164895"/>
    <w:rsid w:val="0016530C"/>
    <w:rsid w:val="001659CF"/>
    <w:rsid w:val="001673A5"/>
    <w:rsid w:val="00173343"/>
    <w:rsid w:val="001857A4"/>
    <w:rsid w:val="00186A67"/>
    <w:rsid w:val="001A4787"/>
    <w:rsid w:val="001B01DD"/>
    <w:rsid w:val="001B42F9"/>
    <w:rsid w:val="001B48E4"/>
    <w:rsid w:val="001C3560"/>
    <w:rsid w:val="001C5F19"/>
    <w:rsid w:val="001D4277"/>
    <w:rsid w:val="001D563D"/>
    <w:rsid w:val="001D69D6"/>
    <w:rsid w:val="001E1393"/>
    <w:rsid w:val="001F51BC"/>
    <w:rsid w:val="001F7F63"/>
    <w:rsid w:val="00203CAB"/>
    <w:rsid w:val="00203F5F"/>
    <w:rsid w:val="00215140"/>
    <w:rsid w:val="00220CDD"/>
    <w:rsid w:val="00223A7C"/>
    <w:rsid w:val="0022511A"/>
    <w:rsid w:val="00231021"/>
    <w:rsid w:val="00232921"/>
    <w:rsid w:val="00235C37"/>
    <w:rsid w:val="00237364"/>
    <w:rsid w:val="002501CE"/>
    <w:rsid w:val="00260C96"/>
    <w:rsid w:val="00277476"/>
    <w:rsid w:val="002804E5"/>
    <w:rsid w:val="002829AC"/>
    <w:rsid w:val="00284A0B"/>
    <w:rsid w:val="002856E5"/>
    <w:rsid w:val="00293C7C"/>
    <w:rsid w:val="002A691E"/>
    <w:rsid w:val="002C0766"/>
    <w:rsid w:val="002C36A6"/>
    <w:rsid w:val="002C3EB4"/>
    <w:rsid w:val="002D5B5D"/>
    <w:rsid w:val="002D7874"/>
    <w:rsid w:val="002E19C0"/>
    <w:rsid w:val="002E3F96"/>
    <w:rsid w:val="002F3BE7"/>
    <w:rsid w:val="00300234"/>
    <w:rsid w:val="00302938"/>
    <w:rsid w:val="0032428F"/>
    <w:rsid w:val="0033383A"/>
    <w:rsid w:val="003343BF"/>
    <w:rsid w:val="0033519E"/>
    <w:rsid w:val="003448EA"/>
    <w:rsid w:val="003459DC"/>
    <w:rsid w:val="00346E22"/>
    <w:rsid w:val="00351E1E"/>
    <w:rsid w:val="00357DC0"/>
    <w:rsid w:val="00357E26"/>
    <w:rsid w:val="00361255"/>
    <w:rsid w:val="00381018"/>
    <w:rsid w:val="003847C8"/>
    <w:rsid w:val="00385767"/>
    <w:rsid w:val="003877EB"/>
    <w:rsid w:val="00390582"/>
    <w:rsid w:val="00390DF7"/>
    <w:rsid w:val="0039458F"/>
    <w:rsid w:val="0039662C"/>
    <w:rsid w:val="003A1F91"/>
    <w:rsid w:val="003A3742"/>
    <w:rsid w:val="003A4418"/>
    <w:rsid w:val="003B0907"/>
    <w:rsid w:val="003B1257"/>
    <w:rsid w:val="003B462D"/>
    <w:rsid w:val="003C2B33"/>
    <w:rsid w:val="003D012A"/>
    <w:rsid w:val="003D64D8"/>
    <w:rsid w:val="003E122C"/>
    <w:rsid w:val="003E17B6"/>
    <w:rsid w:val="003E1B89"/>
    <w:rsid w:val="003E4E19"/>
    <w:rsid w:val="003E6170"/>
    <w:rsid w:val="003F4CC5"/>
    <w:rsid w:val="00404C45"/>
    <w:rsid w:val="00415527"/>
    <w:rsid w:val="00424DF8"/>
    <w:rsid w:val="004323D3"/>
    <w:rsid w:val="00432937"/>
    <w:rsid w:val="004403EC"/>
    <w:rsid w:val="00442E20"/>
    <w:rsid w:val="00447B57"/>
    <w:rsid w:val="0045565C"/>
    <w:rsid w:val="00455B63"/>
    <w:rsid w:val="00460370"/>
    <w:rsid w:val="00462674"/>
    <w:rsid w:val="00465543"/>
    <w:rsid w:val="00472762"/>
    <w:rsid w:val="00474CBD"/>
    <w:rsid w:val="00486080"/>
    <w:rsid w:val="004969DD"/>
    <w:rsid w:val="004A00A8"/>
    <w:rsid w:val="004A6EEF"/>
    <w:rsid w:val="004A6F1C"/>
    <w:rsid w:val="004A7BFC"/>
    <w:rsid w:val="004A7CAD"/>
    <w:rsid w:val="004B4753"/>
    <w:rsid w:val="004B5C38"/>
    <w:rsid w:val="004B7346"/>
    <w:rsid w:val="004C3F67"/>
    <w:rsid w:val="004C721D"/>
    <w:rsid w:val="004D368D"/>
    <w:rsid w:val="004D5711"/>
    <w:rsid w:val="00514121"/>
    <w:rsid w:val="00522637"/>
    <w:rsid w:val="00523917"/>
    <w:rsid w:val="00527867"/>
    <w:rsid w:val="00527AA5"/>
    <w:rsid w:val="005314D7"/>
    <w:rsid w:val="00534B77"/>
    <w:rsid w:val="00544398"/>
    <w:rsid w:val="005458D4"/>
    <w:rsid w:val="005515BD"/>
    <w:rsid w:val="00571BC9"/>
    <w:rsid w:val="005740C1"/>
    <w:rsid w:val="00581AD3"/>
    <w:rsid w:val="0059143B"/>
    <w:rsid w:val="005948F8"/>
    <w:rsid w:val="005A570D"/>
    <w:rsid w:val="005B1739"/>
    <w:rsid w:val="005B215C"/>
    <w:rsid w:val="005B281F"/>
    <w:rsid w:val="005B5886"/>
    <w:rsid w:val="005C1523"/>
    <w:rsid w:val="005C3868"/>
    <w:rsid w:val="005C6DFB"/>
    <w:rsid w:val="005E1ABB"/>
    <w:rsid w:val="005E601E"/>
    <w:rsid w:val="005F7476"/>
    <w:rsid w:val="00610199"/>
    <w:rsid w:val="006145B7"/>
    <w:rsid w:val="00614FFD"/>
    <w:rsid w:val="006205AE"/>
    <w:rsid w:val="00622F2B"/>
    <w:rsid w:val="006247F1"/>
    <w:rsid w:val="00626A98"/>
    <w:rsid w:val="006274BB"/>
    <w:rsid w:val="00634EFA"/>
    <w:rsid w:val="00635D43"/>
    <w:rsid w:val="006367B9"/>
    <w:rsid w:val="00642D21"/>
    <w:rsid w:val="00647772"/>
    <w:rsid w:val="00657B15"/>
    <w:rsid w:val="0066249C"/>
    <w:rsid w:val="00663A61"/>
    <w:rsid w:val="00667363"/>
    <w:rsid w:val="0067375D"/>
    <w:rsid w:val="00676F03"/>
    <w:rsid w:val="00677662"/>
    <w:rsid w:val="006906AF"/>
    <w:rsid w:val="00693BA3"/>
    <w:rsid w:val="006A2FDF"/>
    <w:rsid w:val="006B03A9"/>
    <w:rsid w:val="006B0A23"/>
    <w:rsid w:val="006B3F12"/>
    <w:rsid w:val="006C0131"/>
    <w:rsid w:val="006C1B31"/>
    <w:rsid w:val="006C4733"/>
    <w:rsid w:val="006C53DE"/>
    <w:rsid w:val="006D294C"/>
    <w:rsid w:val="006D36E2"/>
    <w:rsid w:val="006D56B5"/>
    <w:rsid w:val="006F1754"/>
    <w:rsid w:val="006F2225"/>
    <w:rsid w:val="006F29FA"/>
    <w:rsid w:val="0070324C"/>
    <w:rsid w:val="007041B7"/>
    <w:rsid w:val="00710C67"/>
    <w:rsid w:val="007111D6"/>
    <w:rsid w:val="0071171B"/>
    <w:rsid w:val="007120FD"/>
    <w:rsid w:val="007130E1"/>
    <w:rsid w:val="00716545"/>
    <w:rsid w:val="00717E59"/>
    <w:rsid w:val="0073796B"/>
    <w:rsid w:val="00743B38"/>
    <w:rsid w:val="00750D01"/>
    <w:rsid w:val="007643A0"/>
    <w:rsid w:val="0076517E"/>
    <w:rsid w:val="007669A3"/>
    <w:rsid w:val="00767A18"/>
    <w:rsid w:val="00775843"/>
    <w:rsid w:val="00777553"/>
    <w:rsid w:val="00780AEF"/>
    <w:rsid w:val="00781345"/>
    <w:rsid w:val="007830B9"/>
    <w:rsid w:val="0078384F"/>
    <w:rsid w:val="00783A35"/>
    <w:rsid w:val="00784E57"/>
    <w:rsid w:val="0078776E"/>
    <w:rsid w:val="0079749C"/>
    <w:rsid w:val="007A4C0B"/>
    <w:rsid w:val="007A6460"/>
    <w:rsid w:val="007B0ADD"/>
    <w:rsid w:val="007B35EE"/>
    <w:rsid w:val="007B515F"/>
    <w:rsid w:val="007C21FB"/>
    <w:rsid w:val="007C386D"/>
    <w:rsid w:val="007D15EC"/>
    <w:rsid w:val="007E198F"/>
    <w:rsid w:val="007E3E63"/>
    <w:rsid w:val="007E515C"/>
    <w:rsid w:val="007F4D5C"/>
    <w:rsid w:val="007F5D6B"/>
    <w:rsid w:val="007F6EF7"/>
    <w:rsid w:val="00804153"/>
    <w:rsid w:val="00805872"/>
    <w:rsid w:val="008070A8"/>
    <w:rsid w:val="008114E9"/>
    <w:rsid w:val="00814664"/>
    <w:rsid w:val="008154EA"/>
    <w:rsid w:val="008220A3"/>
    <w:rsid w:val="008244C0"/>
    <w:rsid w:val="008336E7"/>
    <w:rsid w:val="008362C6"/>
    <w:rsid w:val="00836E94"/>
    <w:rsid w:val="00847AA2"/>
    <w:rsid w:val="00847AD3"/>
    <w:rsid w:val="00851CB6"/>
    <w:rsid w:val="00851FE1"/>
    <w:rsid w:val="0085333D"/>
    <w:rsid w:val="008551A5"/>
    <w:rsid w:val="00860907"/>
    <w:rsid w:val="008624E8"/>
    <w:rsid w:val="0087238D"/>
    <w:rsid w:val="008952C6"/>
    <w:rsid w:val="008A10A5"/>
    <w:rsid w:val="008A16D8"/>
    <w:rsid w:val="008A172A"/>
    <w:rsid w:val="008A4E2F"/>
    <w:rsid w:val="008B3275"/>
    <w:rsid w:val="008B6738"/>
    <w:rsid w:val="008B7AF2"/>
    <w:rsid w:val="008C4231"/>
    <w:rsid w:val="008D49BD"/>
    <w:rsid w:val="008D6C89"/>
    <w:rsid w:val="008E28DB"/>
    <w:rsid w:val="008F2BA8"/>
    <w:rsid w:val="00905C96"/>
    <w:rsid w:val="00914A02"/>
    <w:rsid w:val="00914A71"/>
    <w:rsid w:val="009174DA"/>
    <w:rsid w:val="00927C04"/>
    <w:rsid w:val="00933061"/>
    <w:rsid w:val="00933087"/>
    <w:rsid w:val="00936908"/>
    <w:rsid w:val="00945A32"/>
    <w:rsid w:val="00945B27"/>
    <w:rsid w:val="00952CB1"/>
    <w:rsid w:val="009540E4"/>
    <w:rsid w:val="00955A67"/>
    <w:rsid w:val="009724A9"/>
    <w:rsid w:val="00974186"/>
    <w:rsid w:val="00983241"/>
    <w:rsid w:val="009900DE"/>
    <w:rsid w:val="009A031B"/>
    <w:rsid w:val="009A128A"/>
    <w:rsid w:val="009A41AA"/>
    <w:rsid w:val="009B3707"/>
    <w:rsid w:val="009C138D"/>
    <w:rsid w:val="009C2C98"/>
    <w:rsid w:val="009C2D77"/>
    <w:rsid w:val="009C562E"/>
    <w:rsid w:val="009C60EF"/>
    <w:rsid w:val="009D10D1"/>
    <w:rsid w:val="009D7AF2"/>
    <w:rsid w:val="009E214A"/>
    <w:rsid w:val="009E2DBF"/>
    <w:rsid w:val="009E66FD"/>
    <w:rsid w:val="009F37F4"/>
    <w:rsid w:val="009F4DB0"/>
    <w:rsid w:val="00A00187"/>
    <w:rsid w:val="00A06971"/>
    <w:rsid w:val="00A231C7"/>
    <w:rsid w:val="00A2471A"/>
    <w:rsid w:val="00A30052"/>
    <w:rsid w:val="00A31764"/>
    <w:rsid w:val="00A34FC4"/>
    <w:rsid w:val="00A445DF"/>
    <w:rsid w:val="00A4748F"/>
    <w:rsid w:val="00A521C4"/>
    <w:rsid w:val="00A5415F"/>
    <w:rsid w:val="00A60A37"/>
    <w:rsid w:val="00A60FBF"/>
    <w:rsid w:val="00A66FB9"/>
    <w:rsid w:val="00A67305"/>
    <w:rsid w:val="00A726C3"/>
    <w:rsid w:val="00A72877"/>
    <w:rsid w:val="00A7412B"/>
    <w:rsid w:val="00A767ED"/>
    <w:rsid w:val="00A775C9"/>
    <w:rsid w:val="00A86B74"/>
    <w:rsid w:val="00AA3351"/>
    <w:rsid w:val="00AB0C15"/>
    <w:rsid w:val="00AB1DC2"/>
    <w:rsid w:val="00AC33A6"/>
    <w:rsid w:val="00AC4F27"/>
    <w:rsid w:val="00AD1AFD"/>
    <w:rsid w:val="00AD412A"/>
    <w:rsid w:val="00AD4D3D"/>
    <w:rsid w:val="00AD7048"/>
    <w:rsid w:val="00AE6CD6"/>
    <w:rsid w:val="00AF0D10"/>
    <w:rsid w:val="00AF2612"/>
    <w:rsid w:val="00AF5FC8"/>
    <w:rsid w:val="00B0001F"/>
    <w:rsid w:val="00B022E5"/>
    <w:rsid w:val="00B058CB"/>
    <w:rsid w:val="00B06EAB"/>
    <w:rsid w:val="00B33791"/>
    <w:rsid w:val="00B47F61"/>
    <w:rsid w:val="00B53594"/>
    <w:rsid w:val="00B602CF"/>
    <w:rsid w:val="00B60F58"/>
    <w:rsid w:val="00B70F5B"/>
    <w:rsid w:val="00B73A77"/>
    <w:rsid w:val="00B753A8"/>
    <w:rsid w:val="00B81C18"/>
    <w:rsid w:val="00B84862"/>
    <w:rsid w:val="00B903E5"/>
    <w:rsid w:val="00BA743D"/>
    <w:rsid w:val="00BB1111"/>
    <w:rsid w:val="00BB47F9"/>
    <w:rsid w:val="00BB73C0"/>
    <w:rsid w:val="00BE5C43"/>
    <w:rsid w:val="00C10798"/>
    <w:rsid w:val="00C244B7"/>
    <w:rsid w:val="00C25768"/>
    <w:rsid w:val="00C3152B"/>
    <w:rsid w:val="00C32B3F"/>
    <w:rsid w:val="00C354D9"/>
    <w:rsid w:val="00C365A8"/>
    <w:rsid w:val="00C43D34"/>
    <w:rsid w:val="00C458C2"/>
    <w:rsid w:val="00C471A1"/>
    <w:rsid w:val="00C51186"/>
    <w:rsid w:val="00C56365"/>
    <w:rsid w:val="00C57E75"/>
    <w:rsid w:val="00C666AC"/>
    <w:rsid w:val="00C91FA1"/>
    <w:rsid w:val="00C93D39"/>
    <w:rsid w:val="00C97F7B"/>
    <w:rsid w:val="00CA5624"/>
    <w:rsid w:val="00CB625F"/>
    <w:rsid w:val="00CC0926"/>
    <w:rsid w:val="00CC3123"/>
    <w:rsid w:val="00CC37B3"/>
    <w:rsid w:val="00CC498B"/>
    <w:rsid w:val="00CE20C0"/>
    <w:rsid w:val="00CE21D5"/>
    <w:rsid w:val="00CE45D7"/>
    <w:rsid w:val="00D10EB4"/>
    <w:rsid w:val="00D14EEC"/>
    <w:rsid w:val="00D165AA"/>
    <w:rsid w:val="00D1727D"/>
    <w:rsid w:val="00D22282"/>
    <w:rsid w:val="00D60A92"/>
    <w:rsid w:val="00D64FA4"/>
    <w:rsid w:val="00D650E2"/>
    <w:rsid w:val="00D72E82"/>
    <w:rsid w:val="00D7373E"/>
    <w:rsid w:val="00D833CC"/>
    <w:rsid w:val="00D85532"/>
    <w:rsid w:val="00D9208E"/>
    <w:rsid w:val="00D95BC6"/>
    <w:rsid w:val="00D966FF"/>
    <w:rsid w:val="00D97B4B"/>
    <w:rsid w:val="00DA08BE"/>
    <w:rsid w:val="00DA3B4D"/>
    <w:rsid w:val="00DA3B5E"/>
    <w:rsid w:val="00DA3BD5"/>
    <w:rsid w:val="00DA5C0D"/>
    <w:rsid w:val="00DA5D7A"/>
    <w:rsid w:val="00DB1E1A"/>
    <w:rsid w:val="00DB55BA"/>
    <w:rsid w:val="00DC154E"/>
    <w:rsid w:val="00DC4AD6"/>
    <w:rsid w:val="00DC7ED6"/>
    <w:rsid w:val="00DD11E2"/>
    <w:rsid w:val="00DE16B1"/>
    <w:rsid w:val="00DE199D"/>
    <w:rsid w:val="00DE1B54"/>
    <w:rsid w:val="00DE27BA"/>
    <w:rsid w:val="00DF59FA"/>
    <w:rsid w:val="00E00738"/>
    <w:rsid w:val="00E02AB3"/>
    <w:rsid w:val="00E05EEE"/>
    <w:rsid w:val="00E1074E"/>
    <w:rsid w:val="00E14AAE"/>
    <w:rsid w:val="00E20351"/>
    <w:rsid w:val="00E2036F"/>
    <w:rsid w:val="00E3207D"/>
    <w:rsid w:val="00E3507E"/>
    <w:rsid w:val="00E40BD7"/>
    <w:rsid w:val="00E66916"/>
    <w:rsid w:val="00E7132A"/>
    <w:rsid w:val="00E83E60"/>
    <w:rsid w:val="00E86C78"/>
    <w:rsid w:val="00E92749"/>
    <w:rsid w:val="00E948BD"/>
    <w:rsid w:val="00E9541C"/>
    <w:rsid w:val="00E96045"/>
    <w:rsid w:val="00EC012E"/>
    <w:rsid w:val="00ED0126"/>
    <w:rsid w:val="00ED1BED"/>
    <w:rsid w:val="00ED5AAF"/>
    <w:rsid w:val="00EE167A"/>
    <w:rsid w:val="00EE35F8"/>
    <w:rsid w:val="00EF1263"/>
    <w:rsid w:val="00EF7154"/>
    <w:rsid w:val="00F01966"/>
    <w:rsid w:val="00F03257"/>
    <w:rsid w:val="00F134C4"/>
    <w:rsid w:val="00F20884"/>
    <w:rsid w:val="00F21123"/>
    <w:rsid w:val="00F21419"/>
    <w:rsid w:val="00F21BAD"/>
    <w:rsid w:val="00F23144"/>
    <w:rsid w:val="00F240E9"/>
    <w:rsid w:val="00F31222"/>
    <w:rsid w:val="00F462C7"/>
    <w:rsid w:val="00F56111"/>
    <w:rsid w:val="00F6034A"/>
    <w:rsid w:val="00F6522C"/>
    <w:rsid w:val="00F65E6D"/>
    <w:rsid w:val="00F92545"/>
    <w:rsid w:val="00F92D76"/>
    <w:rsid w:val="00F93A56"/>
    <w:rsid w:val="00F9731A"/>
    <w:rsid w:val="00FA1D6E"/>
    <w:rsid w:val="00FA792D"/>
    <w:rsid w:val="00FC2D38"/>
    <w:rsid w:val="00FD1B7E"/>
    <w:rsid w:val="00FD6477"/>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15:docId w15:val="{110C82C6-74D4-48BB-A8CF-1B0AE2E1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663A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301">
      <w:bodyDiv w:val="1"/>
      <w:marLeft w:val="0"/>
      <w:marRight w:val="0"/>
      <w:marTop w:val="0"/>
      <w:marBottom w:val="0"/>
      <w:divBdr>
        <w:top w:val="none" w:sz="0" w:space="0" w:color="auto"/>
        <w:left w:val="none" w:sz="0" w:space="0" w:color="auto"/>
        <w:bottom w:val="none" w:sz="0" w:space="0" w:color="auto"/>
        <w:right w:val="none" w:sz="0" w:space="0" w:color="auto"/>
      </w:divBdr>
    </w:div>
    <w:div w:id="261883628">
      <w:bodyDiv w:val="1"/>
      <w:marLeft w:val="0"/>
      <w:marRight w:val="0"/>
      <w:marTop w:val="0"/>
      <w:marBottom w:val="0"/>
      <w:divBdr>
        <w:top w:val="none" w:sz="0" w:space="0" w:color="auto"/>
        <w:left w:val="none" w:sz="0" w:space="0" w:color="auto"/>
        <w:bottom w:val="none" w:sz="0" w:space="0" w:color="auto"/>
        <w:right w:val="none" w:sz="0" w:space="0" w:color="auto"/>
      </w:divBdr>
    </w:div>
    <w:div w:id="332494004">
      <w:bodyDiv w:val="1"/>
      <w:marLeft w:val="0"/>
      <w:marRight w:val="0"/>
      <w:marTop w:val="0"/>
      <w:marBottom w:val="0"/>
      <w:divBdr>
        <w:top w:val="none" w:sz="0" w:space="0" w:color="auto"/>
        <w:left w:val="none" w:sz="0" w:space="0" w:color="auto"/>
        <w:bottom w:val="none" w:sz="0" w:space="0" w:color="auto"/>
        <w:right w:val="none" w:sz="0" w:space="0" w:color="auto"/>
      </w:divBdr>
    </w:div>
    <w:div w:id="465507344">
      <w:bodyDiv w:val="1"/>
      <w:marLeft w:val="0"/>
      <w:marRight w:val="0"/>
      <w:marTop w:val="0"/>
      <w:marBottom w:val="0"/>
      <w:divBdr>
        <w:top w:val="none" w:sz="0" w:space="0" w:color="auto"/>
        <w:left w:val="none" w:sz="0" w:space="0" w:color="auto"/>
        <w:bottom w:val="none" w:sz="0" w:space="0" w:color="auto"/>
        <w:right w:val="none" w:sz="0" w:space="0" w:color="auto"/>
      </w:divBdr>
    </w:div>
    <w:div w:id="877279487">
      <w:bodyDiv w:val="1"/>
      <w:marLeft w:val="0"/>
      <w:marRight w:val="0"/>
      <w:marTop w:val="0"/>
      <w:marBottom w:val="0"/>
      <w:divBdr>
        <w:top w:val="none" w:sz="0" w:space="0" w:color="auto"/>
        <w:left w:val="none" w:sz="0" w:space="0" w:color="auto"/>
        <w:bottom w:val="none" w:sz="0" w:space="0" w:color="auto"/>
        <w:right w:val="none" w:sz="0" w:space="0" w:color="auto"/>
      </w:divBdr>
    </w:div>
    <w:div w:id="1295021132">
      <w:bodyDiv w:val="1"/>
      <w:marLeft w:val="0"/>
      <w:marRight w:val="0"/>
      <w:marTop w:val="0"/>
      <w:marBottom w:val="0"/>
      <w:divBdr>
        <w:top w:val="none" w:sz="0" w:space="0" w:color="auto"/>
        <w:left w:val="none" w:sz="0" w:space="0" w:color="auto"/>
        <w:bottom w:val="none" w:sz="0" w:space="0" w:color="auto"/>
        <w:right w:val="none" w:sz="0" w:space="0" w:color="auto"/>
      </w:divBdr>
    </w:div>
    <w:div w:id="1358116296">
      <w:bodyDiv w:val="1"/>
      <w:marLeft w:val="0"/>
      <w:marRight w:val="0"/>
      <w:marTop w:val="0"/>
      <w:marBottom w:val="0"/>
      <w:divBdr>
        <w:top w:val="none" w:sz="0" w:space="0" w:color="auto"/>
        <w:left w:val="none" w:sz="0" w:space="0" w:color="auto"/>
        <w:bottom w:val="none" w:sz="0" w:space="0" w:color="auto"/>
        <w:right w:val="none" w:sz="0" w:space="0" w:color="auto"/>
      </w:divBdr>
    </w:div>
    <w:div w:id="17945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3.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354DDD5E-BF2A-42E4-BF83-F29C09BA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7748</Words>
  <Characters>44165</Characters>
  <Application>Microsoft Office Word</Application>
  <DocSecurity>0</DocSecurity>
  <Lines>368</Lines>
  <Paragraphs>103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Bence Kozole</dc:creator>
  <cp:keywords/>
  <dc:description/>
  <cp:lastModifiedBy>Sonja Bence Kozole</cp:lastModifiedBy>
  <cp:revision>22</cp:revision>
  <dcterms:created xsi:type="dcterms:W3CDTF">2026-03-18T08:31:00Z</dcterms:created>
  <dcterms:modified xsi:type="dcterms:W3CDTF">2026-03-18T12:25:00Z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