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15F57" w14:textId="17ADCAE4" w:rsidR="00F01966" w:rsidRDefault="00F01966" w:rsidP="0073796B">
      <w:pPr>
        <w:autoSpaceDE w:val="0"/>
        <w:autoSpaceDN w:val="0"/>
        <w:adjustRightInd w:val="0"/>
        <w:spacing w:line="240" w:lineRule="auto"/>
        <w:ind w:left="-1701"/>
        <w:sectPr w:rsidR="00F01966" w:rsidSect="00F01966">
          <w:headerReference w:type="default" r:id="rId11"/>
          <w:headerReference w:type="first" r:id="rId12"/>
          <w:pgSz w:w="11906" w:h="16838"/>
          <w:pgMar w:top="1128" w:right="1701" w:bottom="1134" w:left="1701" w:header="0" w:footer="794" w:gutter="0"/>
          <w:cols w:space="708"/>
          <w:titlePg/>
          <w:docGrid w:linePitch="360"/>
        </w:sectPr>
      </w:pPr>
    </w:p>
    <w:p w14:paraId="09ADF517" w14:textId="22D4F179" w:rsidR="0073796B" w:rsidRPr="009D10D1" w:rsidRDefault="0073796B" w:rsidP="009D10D1">
      <w:pPr>
        <w:pStyle w:val="Naslov"/>
      </w:pPr>
      <w:r w:rsidRPr="009D10D1">
        <w:t>SPOROČILO ZA JAVNOST</w:t>
      </w:r>
    </w:p>
    <w:p w14:paraId="6AD96446" w14:textId="77777777" w:rsidR="00231021" w:rsidRDefault="00231021" w:rsidP="0039662C">
      <w:pPr>
        <w:pStyle w:val="Naslov1"/>
      </w:pPr>
    </w:p>
    <w:p w14:paraId="71A02687" w14:textId="30648AF5" w:rsidR="0073796B" w:rsidRPr="0039662C" w:rsidRDefault="00D74A82" w:rsidP="0039662C">
      <w:pPr>
        <w:pStyle w:val="Naslov1"/>
      </w:pPr>
      <w:r>
        <w:t>1</w:t>
      </w:r>
      <w:r w:rsidR="00CC3530">
        <w:t>9</w:t>
      </w:r>
      <w:r w:rsidR="007F6EE3">
        <w:t>2</w:t>
      </w:r>
      <w:r w:rsidR="0073796B" w:rsidRPr="0039662C">
        <w:t xml:space="preserve">. </w:t>
      </w:r>
      <w:r>
        <w:t>red</w:t>
      </w:r>
      <w:r w:rsidR="00F03257">
        <w:t xml:space="preserve">na </w:t>
      </w:r>
      <w:r w:rsidR="0073796B" w:rsidRPr="0039662C">
        <w:t>seja Vlade Republike Slovenije</w:t>
      </w:r>
    </w:p>
    <w:p w14:paraId="27F30B92" w14:textId="06F093AE" w:rsidR="0073796B" w:rsidRDefault="00EA1AF3" w:rsidP="008B7AF2">
      <w:pPr>
        <w:pStyle w:val="DatumSZJ"/>
      </w:pPr>
      <w:r>
        <w:t>1</w:t>
      </w:r>
      <w:r w:rsidR="007F6EE3">
        <w:t>7</w:t>
      </w:r>
      <w:r w:rsidR="002856E5">
        <w:t>.</w:t>
      </w:r>
      <w:r w:rsidR="008220A3">
        <w:t xml:space="preserve"> </w:t>
      </w:r>
      <w:r w:rsidR="00CC3530">
        <w:t>febr</w:t>
      </w:r>
      <w:r w:rsidR="00F03257">
        <w:t>uar</w:t>
      </w:r>
      <w:r w:rsidR="00DA3B4D">
        <w:t xml:space="preserve"> </w:t>
      </w:r>
      <w:r w:rsidR="0073796B" w:rsidRPr="008B7AF2">
        <w:t>202</w:t>
      </w:r>
      <w:r w:rsidR="00F03257">
        <w:t>6</w:t>
      </w:r>
    </w:p>
    <w:p w14:paraId="0A7FE97E" w14:textId="515923AD" w:rsidR="00407953" w:rsidRDefault="00407953" w:rsidP="00407953">
      <w:pPr>
        <w:pStyle w:val="Naslov2"/>
      </w:pPr>
      <w:r>
        <w:t>Vlada sprejela sklep o pripravi Državnega prostorskega načrta za Jedrsko elektrarno Krško 2</w:t>
      </w:r>
    </w:p>
    <w:p w14:paraId="6BDBF1CA" w14:textId="4196F173" w:rsidR="00407953" w:rsidRDefault="00407953" w:rsidP="00407953">
      <w:r>
        <w:t>Vlada je na današnji seji sprejela sklep o pripravi državnega prostorskega načrta (DPN), ki je bil pripravljen na podlagi pobude ministrstva, pristojnega za energijo – Ministrstva za okolje, podnebje in energijo, ter na podlagi analize usmeritev in podatkov nosilcev urejanja prostora, občine in predlogov javnosti. Javnosti je bila pobuda za pripravo DPN dostopna štiri mesece, od 1. julija do 30. oktobra 2025.</w:t>
      </w:r>
    </w:p>
    <w:p w14:paraId="6FD7B18A" w14:textId="77777777" w:rsidR="00407953" w:rsidRDefault="00407953" w:rsidP="00407953"/>
    <w:p w14:paraId="40C2EF59" w14:textId="77777777" w:rsidR="00407953" w:rsidRDefault="00407953" w:rsidP="00407953">
      <w:r>
        <w:t>Dokument o pripravi DPN vsebuje navedbo vrste postopka državnega prostorskega načrtovanja, cilje načrtovanih prostorskih ureditev, opis načrtovane ureditve z njenimi osnovnimi značilnostmi, okvirno območje umeščanja ter obrazložitev in opis predlagane rešitve. Vključuje tudi navedbo, da se izvede celovita presoja vplivov na okolje in presoja sprejemljivosti na varovana območja, seznam udeležencev postopka, strokovnih podlag ter obveznosti posameznih deležnikov, pomembnih za izvedbo postopka DPN.</w:t>
      </w:r>
    </w:p>
    <w:p w14:paraId="1164F8AF" w14:textId="77777777" w:rsidR="00407953" w:rsidRDefault="00407953" w:rsidP="00407953"/>
    <w:p w14:paraId="69A512C2" w14:textId="77777777" w:rsidR="00407953" w:rsidRDefault="00407953" w:rsidP="00407953">
      <w:r>
        <w:t xml:space="preserve">Državni prostorski načrt za JEK 2 bo poleg elektrarne vključeval tudi druge ureditve, ki so prostorsko in funkcionalno povezane z osnovno ureditvijo. </w:t>
      </w:r>
    </w:p>
    <w:p w14:paraId="7CCD9DB9" w14:textId="77777777" w:rsidR="00407953" w:rsidRDefault="00407953" w:rsidP="00407953"/>
    <w:p w14:paraId="7728CF12" w14:textId="77777777" w:rsidR="00407953" w:rsidRDefault="00407953" w:rsidP="00407953">
      <w:r>
        <w:t>Po javni objavi sklepa o pripravi DPN sledi faza izdelave strokovnih podlag in študije variant, v sklopu katere se izvede postopek celovite presoje vplivov na okolje, vključno s čezmejno presojo vplivov na okolje. Na podlagi izbrane rešitve se nato pripravi predlog DPN.</w:t>
      </w:r>
    </w:p>
    <w:p w14:paraId="739CD1F5" w14:textId="77777777" w:rsidR="00407953" w:rsidRDefault="00407953" w:rsidP="00407953"/>
    <w:p w14:paraId="622F9DE9" w14:textId="34D837E6" w:rsidR="00407953" w:rsidRDefault="00407953" w:rsidP="00407953">
      <w:r>
        <w:t>Postopek priprave DPN se zaključi s sprejemom uredbe o DPN na vladi, predvidoma jeseni 2028. Ta določi načrtovane prostorske ureditve, območje državnega prostorskega načrtovanja, prostorske izvedbene pogoje za projektiranje na tem območju in usmeritve za določitev namenske rabe prostora v občinskih prostorskih izvedbenih aktih za to območje.</w:t>
      </w:r>
    </w:p>
    <w:p w14:paraId="57C9E1DD" w14:textId="77777777" w:rsidR="00407953" w:rsidRDefault="00407953" w:rsidP="00407953"/>
    <w:p w14:paraId="76EABC8A" w14:textId="77777777" w:rsidR="00407953" w:rsidRDefault="00407953" w:rsidP="00407953">
      <w:r>
        <w:t>Sprejem uredbe o DPN za JEK 2 bo osnova za nadaljnje odločitve in aktivnosti, povezane s projektom JEK 2.</w:t>
      </w:r>
    </w:p>
    <w:p w14:paraId="3CE58961" w14:textId="264FF17F" w:rsidR="00407953" w:rsidRDefault="00407953" w:rsidP="00407953">
      <w:pPr>
        <w:pStyle w:val="Vir"/>
      </w:pPr>
      <w:r>
        <w:t>Vir: Ministrstvo za naravne vire in prostor</w:t>
      </w:r>
    </w:p>
    <w:p w14:paraId="2A270233" w14:textId="772F699A" w:rsidR="002B6480" w:rsidRDefault="002B6480" w:rsidP="002B6480">
      <w:pPr>
        <w:pStyle w:val="Naslov2"/>
      </w:pPr>
      <w:r>
        <w:t xml:space="preserve">Četrto poročilo o delovanju Delovne skupine Vlade Republike Slovenije za koordinacijo pripravljalnih aktivnosti na projektu JEK2 in Poročilo o pripravi modela financiranja projekta JEK2 </w:t>
      </w:r>
    </w:p>
    <w:p w14:paraId="5F3301A1" w14:textId="58531A83" w:rsidR="002B6480" w:rsidRDefault="002B6480" w:rsidP="002B6480">
      <w:r>
        <w:t xml:space="preserve">Vlada Republike Slovenije se je seznanila s četrtim poročilom o delovanju Delovne skupine za koordinacijo pripravljalnih aktivnosti na projektu JEK2 ter s poročilom o pripravi modela financiranja projekta JEK2, ki ga je pripravila Ožja delovna skupina za pripravo modela financiranja. </w:t>
      </w:r>
    </w:p>
    <w:p w14:paraId="42D26A36" w14:textId="77777777" w:rsidR="002B6480" w:rsidRDefault="002B6480" w:rsidP="002B6480">
      <w:r>
        <w:t xml:space="preserve">Poročilo vključuje poglobljen pregled mednarodnih praks financiranja jedrskih novogradenj, s posebnim poudarkom na državah EU, ter opredeljuje najprimernejši model za financiranje projekta v Sloveniji. </w:t>
      </w:r>
    </w:p>
    <w:p w14:paraId="1D41629A" w14:textId="77777777" w:rsidR="002B6480" w:rsidRDefault="002B6480" w:rsidP="002B6480"/>
    <w:p w14:paraId="70705E45" w14:textId="77777777" w:rsidR="002B6480" w:rsidRDefault="002B6480" w:rsidP="002B6480">
      <w:r>
        <w:t>Kot najbolj uravnotežena rešitev je bil identificiran model financiranja z državnim on-</w:t>
      </w:r>
      <w:proofErr w:type="spellStart"/>
      <w:r>
        <w:t>lendingom</w:t>
      </w:r>
      <w:proofErr w:type="spellEnd"/>
      <w:r>
        <w:t xml:space="preserve"> projektni družbi, z možnostjo selektivnega neposrednega zadolževanja posebne projektne družbe </w:t>
      </w:r>
      <w:r>
        <w:lastRenderedPageBreak/>
        <w:t xml:space="preserve">(SPV). Tak pristop združuje prednosti nizkega stroška financiranja, ki temelji na boniteti države, ter omogoča fleksibilnost in postopno diverzifikacijo virov kapitala v kasnejših fazah projekta. </w:t>
      </w:r>
    </w:p>
    <w:p w14:paraId="21DD8357" w14:textId="77777777" w:rsidR="002B6480" w:rsidRDefault="002B6480" w:rsidP="002B6480">
      <w:r>
        <w:t xml:space="preserve">Model predvideva tudi fazno vključevanje dodatnih vlagateljev, vključno z gospodarstvom in prebivalstvom, ter uporabo zelenih finančnih instrumentov v skladu z evropsko taksonomijo, ob hkratnem varovanju stabilnosti javnih financ. </w:t>
      </w:r>
    </w:p>
    <w:p w14:paraId="4A046743" w14:textId="77777777" w:rsidR="002B6480" w:rsidRDefault="002B6480" w:rsidP="002B6480"/>
    <w:p w14:paraId="25FA5A32" w14:textId="77777777" w:rsidR="002B6480" w:rsidRDefault="002B6480" w:rsidP="002B6480">
      <w:r>
        <w:t xml:space="preserve">Poročilo izpostavlja, da je projekt JEK2 nacionalni strateški projekt za zagotavljanje dolgoročne oskrbe z zanesljivo, konkurenčno in nizkoogljično električno energijo. Ugotavlja tudi, da je Slovenija glede na svoj gospodarski in fiskalni položaj ter dostop do kapitalskih trgov sposobna projekt sama financirati in izvesti. </w:t>
      </w:r>
    </w:p>
    <w:p w14:paraId="1062F660" w14:textId="77777777" w:rsidR="002B6480" w:rsidRDefault="002B6480" w:rsidP="002B6480"/>
    <w:p w14:paraId="3F927BEB" w14:textId="77777777" w:rsidR="002B6480" w:rsidRDefault="002B6480" w:rsidP="002B6480">
      <w:r>
        <w:t xml:space="preserve">Po ocenah poročila bi se ob večinskem financiranju s strani države lastna cena električne energije iz JEK2 gibala med 57 in 69 EUR/MWh. </w:t>
      </w:r>
    </w:p>
    <w:p w14:paraId="625DFDF7" w14:textId="77777777" w:rsidR="002B6480" w:rsidRDefault="002B6480" w:rsidP="002B6480"/>
    <w:p w14:paraId="71A8C54D" w14:textId="072CF274" w:rsidR="002B6480" w:rsidRDefault="002B6480" w:rsidP="002B6480">
      <w:r>
        <w:t xml:space="preserve">Ob tem poročilo izpostavlja tudi nekatera odprta vprašanja za nadaljnjo obravnavo, med drugim vpliv projekta na javnofinančni primanjkljaj, fiskalno politiko, vidik državnih pomoči ter možnosti vključevanja dodatnih sofinancerjev. </w:t>
      </w:r>
    </w:p>
    <w:p w14:paraId="72A6207E" w14:textId="77777777" w:rsidR="002B6480" w:rsidRDefault="002B6480" w:rsidP="002B6480"/>
    <w:p w14:paraId="6A3975FC" w14:textId="77777777" w:rsidR="002B6480" w:rsidRDefault="002B6480" w:rsidP="002B6480">
      <w:r>
        <w:t xml:space="preserve">Priprava finančnega modela je korak v smer priprave na informirano odločitev o izvedbi projekta JEK2, ki se pričakuje v letu 2028. </w:t>
      </w:r>
    </w:p>
    <w:p w14:paraId="3AF4555D" w14:textId="2177DD88" w:rsidR="00075B65" w:rsidRDefault="002B6480" w:rsidP="002B6480">
      <w:pPr>
        <w:pStyle w:val="Vir"/>
      </w:pPr>
      <w:r>
        <w:t>Vir: Kabinet predsednika vlade</w:t>
      </w:r>
    </w:p>
    <w:p w14:paraId="779F05AC" w14:textId="389625F3" w:rsidR="00C202E4" w:rsidRDefault="00075B65" w:rsidP="00B50891">
      <w:pPr>
        <w:pStyle w:val="Naslov2"/>
      </w:pPr>
      <w:r>
        <w:t xml:space="preserve"> </w:t>
      </w:r>
      <w:bookmarkStart w:id="0" w:name="_Hlk222220514"/>
      <w:r w:rsidR="00C202E4">
        <w:t>Preliminarno poročilo o izvajanju Zakona o nujnih ukrepih za zagotavljanje javne varnosti</w:t>
      </w:r>
    </w:p>
    <w:p w14:paraId="44F10658" w14:textId="77777777" w:rsidR="00C202E4" w:rsidRDefault="00C202E4" w:rsidP="00C202E4">
      <w:r>
        <w:t>Vlada Republike Slovenije se je seznanila s Preliminarnim poročilom predsednika Strokovnega sveta za evalvacijo Zakona o nujnih ukrepih za zagotavljanje javne varnosti o izvajanju Zakona o nujnih ukrepih za zagotavljanje javne varnosti.</w:t>
      </w:r>
    </w:p>
    <w:p w14:paraId="6D8D45D1" w14:textId="77777777" w:rsidR="00C202E4" w:rsidRDefault="00C202E4" w:rsidP="00C202E4"/>
    <w:p w14:paraId="5FBC59AF" w14:textId="77777777" w:rsidR="00C202E4" w:rsidRDefault="00C202E4" w:rsidP="00C202E4">
      <w:r>
        <w:t>Skupna ugotovitev je, da gre za zelo zgodnjo fazo implementacije Zakona o nujnih ukrepih za zagotavljanje javne varnosti (ZNUZJV), kjer so vidni predvsem procesni premiki (usmeritve, postopkovniki, informacijske nadgradnje, koordinacija), medtem ko so učinki na vedenjske in varnostne izide (na primer redno obiskovanje pouka) še prezgodnji za robustne zaključke.</w:t>
      </w:r>
    </w:p>
    <w:p w14:paraId="57C98B07" w14:textId="77777777" w:rsidR="00C202E4" w:rsidRDefault="00C202E4" w:rsidP="00C202E4"/>
    <w:p w14:paraId="69E7806E" w14:textId="77777777" w:rsidR="00C202E4" w:rsidRDefault="00C202E4" w:rsidP="00C202E4">
      <w:r>
        <w:t>Ministrstvo za vzgojo in izobraževanje je pripravilo okrožnico in usmeritve za šole z vpisanimi romskimi učenci, potrdilo programski dokument za delo romskih pomočnikov in pripravilo opomnik za podporo rednemu obiskovanju pouka. Izvedena sta bila dva tematska sestanka za ravnatelje, vključno z izmenjavo praks, anketiranjem šol jugovzhodne regije in identifikacijo potreb (podporno vodenje, multidisciplinarni pristop).</w:t>
      </w:r>
    </w:p>
    <w:p w14:paraId="7136E396" w14:textId="77777777" w:rsidR="00C202E4" w:rsidRDefault="00C202E4" w:rsidP="00C202E4"/>
    <w:p w14:paraId="61C5D359" w14:textId="77777777" w:rsidR="00C202E4" w:rsidRDefault="00C202E4" w:rsidP="00C202E4">
      <w:r>
        <w:t>Ministrstvo za delo, družino, socialne zadeve in enake možnosti povzema izvajanje vključevanja pripadnikov romske skupnosti v javna dela: občine z evidentiranimi romskimi naselji se morajo prijavljati na javno povabilo Zavoda Republike Slovenije za zaposlovanje in v ponudbi zagotoviti najmanj 10 odstotkov delovnih mest za Rome. Po stanju 23. januarja 2026 je v programe javnih del za leto 2026 vključenih 77 pripadnikov romske skupnosti iz 23 občin. Pri socialnih transferjih (zlasti denarna socialna pomoč in izplačila v naravi) se kažejo: povečana administrativna obremenitev centrov za socialno delo, težave s trgovci (ne sprejemajo naročilnic ali so oddaljeni), tveganja zlorab (preprodaja naročilnic), poslabšanje zaupanja uporabnikov ob rubežih ter odprta vprašanja pri mladoletnikih in mladoletnih nosečnicah/starših.</w:t>
      </w:r>
    </w:p>
    <w:p w14:paraId="7D49DFDC" w14:textId="77777777" w:rsidR="00C202E4" w:rsidRDefault="00C202E4" w:rsidP="00C202E4"/>
    <w:p w14:paraId="161DF5A8" w14:textId="77777777" w:rsidR="00C202E4" w:rsidRDefault="00C202E4" w:rsidP="00C202E4">
      <w:r>
        <w:t xml:space="preserve">Finančna uprava Republike Slovenije je za izvajanje 8. člena ZNUZJV nadgradila informacijsko podporo in začela izdajati sklepe o izvršbi za povratnike. Do 29. januarja 2026 je bilo izdanih 1914 </w:t>
      </w:r>
      <w:r>
        <w:lastRenderedPageBreak/>
        <w:t>sklepov, izterjanih pa 134.686,54 evra. Finančna uprava Republike Slovenije in Policija izvajata skupne akcije – do 28. januarja 2026 je bilo na območju jugovzhodne Slovenije zarubljenih 47 vozil, pri čemer je osem dolžnikov na kraju samem poravnalo 14.255,57 evra in do rubeža ni prišlo.</w:t>
      </w:r>
    </w:p>
    <w:p w14:paraId="1665F5E4" w14:textId="77777777" w:rsidR="00C202E4" w:rsidRDefault="00C202E4" w:rsidP="00C202E4"/>
    <w:p w14:paraId="6096E6B8" w14:textId="77777777" w:rsidR="00C202E4" w:rsidRDefault="00C202E4" w:rsidP="00C202E4">
      <w:r>
        <w:t>Policija je evidentirala 1231 prekrškov: za 12. člen ZNUZJV (tatvina) 620 prekrškov v letu 2025 in 286 v letu 2026, za 13. člen (poškodovanje tuje stvari) 221 v letu 2025 in 97 prekrškov v letu 2026.</w:t>
      </w:r>
    </w:p>
    <w:p w14:paraId="181E1835" w14:textId="77777777" w:rsidR="00C202E4" w:rsidRDefault="00C202E4" w:rsidP="00C202E4"/>
    <w:p w14:paraId="55936A4A" w14:textId="77777777" w:rsidR="00C202E4" w:rsidRDefault="00C202E4" w:rsidP="00C202E4">
      <w:r>
        <w:t>Policija je izvedla eno varnostno akcijo, tri ukrepe odstranitve iz gostinskega lokala, en vstop/pregled po 16. členu ZNUZJV (vstop in pregled tujega stanovanja, drugih prostorov ali prevoznega sredstva z namenom takojšnjega zasega strelnega orožja) in vzpostavila dve varnostno tvegani območji.</w:t>
      </w:r>
    </w:p>
    <w:p w14:paraId="32E3F02B" w14:textId="13618C33" w:rsidR="00075B65" w:rsidRDefault="00C202E4" w:rsidP="00C202E4">
      <w:pPr>
        <w:pStyle w:val="Vir"/>
      </w:pPr>
      <w:r>
        <w:t>Vir: Ministrstvo za notranje zadeve</w:t>
      </w:r>
    </w:p>
    <w:bookmarkEnd w:id="0"/>
    <w:p w14:paraId="0D78824B" w14:textId="24AE05A7" w:rsidR="002B6480" w:rsidRPr="002B6480" w:rsidRDefault="002B6480" w:rsidP="002B6480">
      <w:r w:rsidRPr="002B6480">
        <w:rPr>
          <w:rStyle w:val="Naslov2Znak"/>
        </w:rPr>
        <w:t xml:space="preserve">Vlada sklenila Pismo o nameri z Mestno občino Krško o sodelovanju pri izvedbi pilotnega projekta reševanja bivalne problematike romske skupnosti </w:t>
      </w:r>
      <w:r w:rsidRPr="002B6480">
        <w:rPr>
          <w:rStyle w:val="Naslov2Znak"/>
        </w:rPr>
        <w:br/>
      </w:r>
      <w:r w:rsidRPr="002B6480">
        <w:br/>
        <w:t xml:space="preserve">Vlada Republike Slovenije je na današnji seji obravnavala predlog Pisma o nameri z Mestno občino Krško, s katerim obe strani izražata skupno zavezanost k sodelovanju pri izvedbi pilotnega projekta za rešitev bivalne problematike romske skupnosti v romskem naselju Kerinov Grm. </w:t>
      </w:r>
    </w:p>
    <w:p w14:paraId="1A25FBFB" w14:textId="77777777" w:rsidR="002B6480" w:rsidRDefault="002B6480" w:rsidP="002B6480"/>
    <w:p w14:paraId="712C5C08" w14:textId="77777777" w:rsidR="002B6480" w:rsidRDefault="002B6480" w:rsidP="002B6480">
      <w:pPr>
        <w:rPr>
          <w:rStyle w:val="VirZnak"/>
        </w:rPr>
      </w:pPr>
      <w:r w:rsidRPr="002B6480">
        <w:t xml:space="preserve">Pismo o nameri določa skupna izhodišča, namen in cilje sodelovanja ter opredeljuje zaveze obeh skleniteljic. Projekt je zasnovan kot pilotni primer, namenjen izboljšanju bivalnih razmer romske skupnosti na področju prostorske, lastniške in infrastrukturne ureditve ter razvoju prenosljivih rešitev za druga lokalna okolja. Pismo predstavlja okvir za nadaljnje usklajevanje, načrtovanje in izvajanje konkretnih ukrepov v skladu z veljavno zakonodajo in razpoložljivimi viri. </w:t>
      </w:r>
      <w:r w:rsidRPr="002B6480">
        <w:br/>
      </w:r>
      <w:r w:rsidRPr="002B6480">
        <w:br/>
        <w:t xml:space="preserve">Pismo o nameri </w:t>
      </w:r>
      <w:r>
        <w:t xml:space="preserve">sta </w:t>
      </w:r>
      <w:r w:rsidRPr="002B6480">
        <w:t>v okviru vladnega regijskega obiska</w:t>
      </w:r>
      <w:r>
        <w:t xml:space="preserve"> v Posavju</w:t>
      </w:r>
      <w:r w:rsidRPr="002B6480">
        <w:t xml:space="preserve"> podpisala predsednik vlade dr. </w:t>
      </w:r>
      <w:r w:rsidRPr="002B6480">
        <w:rPr>
          <w:rStyle w:val="VirZnak"/>
        </w:rPr>
        <w:t xml:space="preserve">Robert Golob in župan Mestne občine Krško Janez Kerin. </w:t>
      </w:r>
    </w:p>
    <w:p w14:paraId="1867D233" w14:textId="1DECB7FC" w:rsidR="00075B65" w:rsidRDefault="002B6480" w:rsidP="00FC5300">
      <w:pPr>
        <w:pStyle w:val="Vir"/>
      </w:pPr>
      <w:r w:rsidRPr="002B6480">
        <w:rPr>
          <w:rStyle w:val="VirZnak"/>
        </w:rPr>
        <w:t>Vir: Kabinet predsednika vlade</w:t>
      </w:r>
    </w:p>
    <w:p w14:paraId="3AD8E40E" w14:textId="027097FE" w:rsidR="0074396D" w:rsidRDefault="0074396D" w:rsidP="0074396D">
      <w:pPr>
        <w:pStyle w:val="Naslov2"/>
      </w:pPr>
      <w:r>
        <w:t>Vlada je potrdila predlog pete spremembe Načrta za okrevanje in odpornost</w:t>
      </w:r>
    </w:p>
    <w:p w14:paraId="1790EAA0" w14:textId="77777777" w:rsidR="0074396D" w:rsidRDefault="0074396D" w:rsidP="0074396D">
      <w:r>
        <w:t xml:space="preserve">Vlada je danes potrdila predlog pete spremembe Načrta za okrevanje in odpornost (NOO). Uradu Republike Slovenije za okrevanje in odpornost je naložila, da predlog spremembe posreduje v obravnavo v Bruselj skupaj z vso podporno dokumentacijo. </w:t>
      </w:r>
    </w:p>
    <w:p w14:paraId="2D85C9C1" w14:textId="77777777" w:rsidR="0074396D" w:rsidRDefault="0074396D" w:rsidP="0074396D"/>
    <w:p w14:paraId="0099AB7D" w14:textId="77777777" w:rsidR="0074396D" w:rsidRDefault="0074396D" w:rsidP="0074396D">
      <w:r>
        <w:t>Urad Republike Slovenije za okrevanje in odpornost je skladno z vladnim sklepom in na podlagi informacij ministrstev in vladnih služb, pristojnih za izvedbo reform in naložb, pripravil predlog pete spremembe NOO.</w:t>
      </w:r>
    </w:p>
    <w:p w14:paraId="22547AA2" w14:textId="77777777" w:rsidR="0074396D" w:rsidRDefault="0074396D" w:rsidP="0074396D"/>
    <w:p w14:paraId="1DF15061" w14:textId="77777777" w:rsidR="0074396D" w:rsidRDefault="0074396D" w:rsidP="0074396D">
      <w:r>
        <w:t>S ciljem pravočasne predložitve zadnjih dveh zahtevkov za plačilo vlada Evropski komisiji (EK) predlaga spremembo načrta na način, ki omogoča pravočasno izvedbo preostalih reform in naložb.</w:t>
      </w:r>
    </w:p>
    <w:p w14:paraId="4DA548B4" w14:textId="77777777" w:rsidR="0074396D" w:rsidRDefault="0074396D" w:rsidP="0074396D"/>
    <w:p w14:paraId="58E31112" w14:textId="77777777" w:rsidR="0074396D" w:rsidRDefault="0074396D" w:rsidP="0074396D">
      <w:r>
        <w:t xml:space="preserve">S predlogom spremembe razpoložljiva nepovratna sredstva Mehanizma za okrevanje in odpornost ostajajo nespremenjena – 1,61 milijarde evrov, predlaga pa se nižanje posojil za 56,75 milijona evrov (s 525,59 milijona evrov na 468,84 milijona evrov). </w:t>
      </w:r>
    </w:p>
    <w:p w14:paraId="1A12C272" w14:textId="77777777" w:rsidR="0074396D" w:rsidRDefault="0074396D" w:rsidP="0074396D"/>
    <w:p w14:paraId="5CBA6043" w14:textId="77777777" w:rsidR="0074396D" w:rsidRDefault="0074396D" w:rsidP="0074396D">
      <w:r>
        <w:t>Vlada EK med drugim predlaga finančno prilagoditev naložb, ki jih zaradi objektivnih okoliščin ni več mogoče izvesti v okviru programskega obdobja NOO. Na ta račun se poveča razpoložljiva sredstva za izvedbo določenih naložb oziroma zmanjša skupna vrednost posojil. Predlagane so finančne spremembe na sledečih naložbah:</w:t>
      </w:r>
    </w:p>
    <w:p w14:paraId="750BC3CD" w14:textId="12DCE8F1" w:rsidR="0074396D" w:rsidRDefault="0074396D" w:rsidP="0074396D">
      <w:pPr>
        <w:pStyle w:val="Odstavekseznama"/>
        <w:numPr>
          <w:ilvl w:val="0"/>
          <w:numId w:val="14"/>
        </w:numPr>
      </w:pPr>
      <w:r>
        <w:lastRenderedPageBreak/>
        <w:t>Zmanjševanje poplavne ogroženosti - 61,39 milijona evrov nepovratnih sredstev (nespremenjeno) in 111,49 milijona evrov posojil (prej 115,66 milijona evrov);</w:t>
      </w:r>
    </w:p>
    <w:p w14:paraId="5F638B07" w14:textId="68CD8B4B" w:rsidR="0074396D" w:rsidRDefault="0074396D" w:rsidP="0074396D">
      <w:pPr>
        <w:pStyle w:val="Odstavekseznama"/>
        <w:numPr>
          <w:ilvl w:val="0"/>
          <w:numId w:val="14"/>
        </w:numPr>
      </w:pPr>
      <w:r>
        <w:t>Energetska učinkovitost in razogljičenje gospodarstva - 19,91 milijona evrov nepovratnih sredstev (prej 29,54 milijona evrov);</w:t>
      </w:r>
    </w:p>
    <w:p w14:paraId="08D9799E" w14:textId="02BA39E7" w:rsidR="0074396D" w:rsidRDefault="0074396D" w:rsidP="0074396D">
      <w:pPr>
        <w:pStyle w:val="Odstavekseznama"/>
        <w:numPr>
          <w:ilvl w:val="0"/>
          <w:numId w:val="14"/>
        </w:numPr>
      </w:pPr>
      <w:r>
        <w:t>Krepitev distribucijskega omrežja električne energije (srednjenapetostno omrežje in nizkonapetostno omrežje) - 47,43 milijona evrov nepovratnih sredstev (prej 40 milijonov evrov). Razliko predstavlja ukinitev predvidenih posojil za izvedbo te naložbe;</w:t>
      </w:r>
    </w:p>
    <w:p w14:paraId="1A1B4F5C" w14:textId="487942FE" w:rsidR="0074396D" w:rsidRDefault="0074396D" w:rsidP="0074396D">
      <w:pPr>
        <w:pStyle w:val="Odstavekseznama"/>
        <w:numPr>
          <w:ilvl w:val="0"/>
          <w:numId w:val="14"/>
        </w:numPr>
      </w:pPr>
      <w:r>
        <w:t xml:space="preserve">Spodbujanje infrastrukture za alternativna goriva v prometu v okviru poglavja </w:t>
      </w:r>
      <w:proofErr w:type="spellStart"/>
      <w:r>
        <w:t>REPowerEU</w:t>
      </w:r>
      <w:proofErr w:type="spellEnd"/>
      <w:r>
        <w:t xml:space="preserve"> - 54,83 milijona evrov nepovratnih sredstev (prej 52,63 milijona evrov);</w:t>
      </w:r>
    </w:p>
    <w:p w14:paraId="24C02F4D" w14:textId="51C04F39" w:rsidR="0074396D" w:rsidRDefault="0074396D" w:rsidP="0074396D">
      <w:pPr>
        <w:pStyle w:val="Odstavekseznama"/>
        <w:numPr>
          <w:ilvl w:val="0"/>
          <w:numId w:val="14"/>
        </w:numPr>
      </w:pPr>
      <w:r>
        <w:t>Povečanje zmogljivosti železniške infrastrukture - 216,30 milijona evrov nepovratnih sredstev (nespremenjeno) in 76,31 milijona evrov posojil (prej 124,71 milijona evrov). Razliko predstavlja projekt »Nadgradnja železniške proge na odsekih Bled Jezero–Bohinjska Bela in Bohinjska Bela–Nomenj«, ki ni več izvedljiv v časovnem okviru NOO;</w:t>
      </w:r>
    </w:p>
    <w:p w14:paraId="7BE35D42" w14:textId="19A33355" w:rsidR="0074396D" w:rsidRDefault="0074396D" w:rsidP="0074396D">
      <w:pPr>
        <w:pStyle w:val="Odstavekseznama"/>
        <w:numPr>
          <w:ilvl w:val="0"/>
          <w:numId w:val="14"/>
        </w:numPr>
      </w:pPr>
      <w:r>
        <w:t>Nadaljnja ozelenitev izobraževalne infrastrukture v Sloveniji – 52,59 milijona evrov posojil (prej 49,34 milijona evrov).</w:t>
      </w:r>
    </w:p>
    <w:p w14:paraId="6D9CBABA" w14:textId="77777777" w:rsidR="0074396D" w:rsidRDefault="0074396D" w:rsidP="0074396D"/>
    <w:p w14:paraId="5C7DA755" w14:textId="7E967894" w:rsidR="0074396D" w:rsidRDefault="0074396D" w:rsidP="0074396D">
      <w:r>
        <w:t>Predlog spremembe predvideva tudi prilagoditev okvirne časovne razporeditve za dokončanje izvedbe nekaterih naložb - bodisi se skrajša ali podaljša rok za njihovo izvedbo.</w:t>
      </w:r>
    </w:p>
    <w:p w14:paraId="5B89598B" w14:textId="77777777" w:rsidR="0074396D" w:rsidRDefault="0074396D" w:rsidP="0074396D"/>
    <w:p w14:paraId="61F7BFF9" w14:textId="3F3D1864" w:rsidR="00075B65" w:rsidRDefault="0074396D" w:rsidP="0074396D">
      <w:r>
        <w:t>Predlog spremembe bo do formalne odobritve s strani Sveta EU predmet nadaljnjega usklajevanja z EK in ministrstvi, zato bo lahko končna različica spremembe načrta drugačna od posredovanega predloga.</w:t>
      </w:r>
    </w:p>
    <w:p w14:paraId="0F1DA002" w14:textId="77777777" w:rsidR="0074396D" w:rsidRDefault="0074396D" w:rsidP="0074396D">
      <w:pPr>
        <w:pStyle w:val="Golobesedilo"/>
        <w:jc w:val="both"/>
        <w:rPr>
          <w:rFonts w:ascii="Arial" w:eastAsia="Times New Roman" w:hAnsi="Arial" w:cs="Arial"/>
          <w:sz w:val="20"/>
          <w:szCs w:val="20"/>
        </w:rPr>
      </w:pPr>
    </w:p>
    <w:p w14:paraId="0F25FC62" w14:textId="4CD47F1F" w:rsidR="0074396D" w:rsidRDefault="0074396D" w:rsidP="0074396D">
      <w:pPr>
        <w:pStyle w:val="Golobesedilo"/>
        <w:jc w:val="both"/>
        <w:rPr>
          <w:rFonts w:ascii="Arial" w:hAnsi="Arial" w:cs="Arial"/>
          <w:sz w:val="20"/>
          <w:szCs w:val="20"/>
        </w:rPr>
      </w:pPr>
      <w:r w:rsidRPr="00F35FDB">
        <w:rPr>
          <w:rFonts w:ascii="Arial" w:eastAsia="Times New Roman" w:hAnsi="Arial" w:cs="Arial"/>
          <w:sz w:val="20"/>
          <w:szCs w:val="20"/>
        </w:rPr>
        <w:t xml:space="preserve">Slovenija je do zdaj prejela skupaj 1,54 milijarde evrov razpoložljivih sredstev (72 %). Decembra lani je vlada v Bruselj posredovala </w:t>
      </w:r>
      <w:hyperlink r:id="rId13" w:history="1">
        <w:r w:rsidRPr="00F35FDB">
          <w:rPr>
            <w:rStyle w:val="Hiperpovezava"/>
            <w:rFonts w:ascii="Arial" w:eastAsia="Times New Roman" w:hAnsi="Arial" w:cs="Arial"/>
            <w:sz w:val="20"/>
            <w:szCs w:val="20"/>
          </w:rPr>
          <w:t>peti zahtevek za plačilo</w:t>
        </w:r>
      </w:hyperlink>
      <w:r w:rsidRPr="00F35FDB">
        <w:rPr>
          <w:rFonts w:ascii="Arial" w:eastAsia="Times New Roman" w:hAnsi="Arial" w:cs="Arial"/>
          <w:sz w:val="20"/>
          <w:szCs w:val="20"/>
        </w:rPr>
        <w:t xml:space="preserve"> v neto vrednosti 230,69 milijona evrov. Oddaja šestega zahtevka je načrtovana za letošnjo pomlad, </w:t>
      </w:r>
      <w:r w:rsidRPr="00F35FDB">
        <w:rPr>
          <w:rFonts w:ascii="Arial" w:hAnsi="Arial" w:cs="Arial"/>
          <w:sz w:val="20"/>
          <w:szCs w:val="20"/>
        </w:rPr>
        <w:t>zadnji oziroma sedmi zahtevek za plačilo pa mora Slovenija v Brus</w:t>
      </w:r>
      <w:r>
        <w:rPr>
          <w:rFonts w:ascii="Arial" w:hAnsi="Arial" w:cs="Arial"/>
          <w:sz w:val="20"/>
          <w:szCs w:val="20"/>
        </w:rPr>
        <w:t>e</w:t>
      </w:r>
      <w:r w:rsidRPr="00F35FDB">
        <w:rPr>
          <w:rFonts w:ascii="Arial" w:hAnsi="Arial" w:cs="Arial"/>
          <w:sz w:val="20"/>
          <w:szCs w:val="20"/>
        </w:rPr>
        <w:t>lj posredovati najkasneje do 3</w:t>
      </w:r>
      <w:r>
        <w:rPr>
          <w:rFonts w:ascii="Arial" w:hAnsi="Arial" w:cs="Arial"/>
          <w:sz w:val="20"/>
          <w:szCs w:val="20"/>
        </w:rPr>
        <w:t>0</w:t>
      </w:r>
      <w:r w:rsidRPr="00F35FDB">
        <w:rPr>
          <w:rFonts w:ascii="Arial" w:hAnsi="Arial" w:cs="Arial"/>
          <w:sz w:val="20"/>
          <w:szCs w:val="20"/>
        </w:rPr>
        <w:t>. septembra 2026.</w:t>
      </w:r>
    </w:p>
    <w:p w14:paraId="3F5002C9" w14:textId="77777777" w:rsidR="0074396D" w:rsidRDefault="0074396D" w:rsidP="0074396D">
      <w:pPr>
        <w:pStyle w:val="Vir"/>
      </w:pPr>
      <w:bookmarkStart w:id="1" w:name="_Hlk195168908"/>
      <w:r>
        <w:t>Vir: Ministrstvo za finance</w:t>
      </w:r>
    </w:p>
    <w:bookmarkEnd w:id="1"/>
    <w:p w14:paraId="749707BF" w14:textId="5F29D959" w:rsidR="00B70F88" w:rsidRDefault="00A9644D" w:rsidP="00B70F88">
      <w:pPr>
        <w:pStyle w:val="Naslov2"/>
      </w:pPr>
      <w:r>
        <w:t>S</w:t>
      </w:r>
      <w:r w:rsidR="00B70F88">
        <w:t>prejet Program razvojnih spodbud za obmejna problemska območja (OPO) v obdobju 2026-2029</w:t>
      </w:r>
    </w:p>
    <w:p w14:paraId="69D55D99" w14:textId="77777777" w:rsidR="00B70F88" w:rsidRDefault="00B70F88" w:rsidP="00B70F88">
      <w:r>
        <w:t>Vlada Republike Slovenije je sprejela Program razvojnih spodbud za obmejna problemska območja v obdobju 2026-2029. Program razvojnih spodbud za OPO v obdobju 2026-2029 se sprejema po izteku programa za obdobje 2022-2025 z namenom reševanja demografskih izzivov na obmejnih problemskih območjih in oživljanja razvoja obmejnih problemskih območij z izboljšanjem kakovosti bivanja, izboljšanjem prometne dostopnosti, dostopnosti do storitev ter z izboljšanjem gospodarskega stanja.</w:t>
      </w:r>
    </w:p>
    <w:p w14:paraId="3974ADB8" w14:textId="77777777" w:rsidR="00B70F88" w:rsidRDefault="00B70F88" w:rsidP="00B70F88"/>
    <w:p w14:paraId="4C393E57" w14:textId="77777777" w:rsidR="00B70F88" w:rsidRDefault="00B70F88" w:rsidP="00B70F88">
      <w:r>
        <w:t>Za ukrepe je v obdobju 2026–2029 načrtovanih 79,9 milijona evrov nepovratnih sredstev in 76 milijonov evrov povratnih sredstev ali skupaj 155,9 milijona evrov. Od tega je za projekte podjetij namenjenih 78,6 milijona evrov in za projekte občin 77,3 milijona evrov. Skupaj bo podprtih 1.419 projektov.</w:t>
      </w:r>
    </w:p>
    <w:p w14:paraId="4B1968EB" w14:textId="77777777" w:rsidR="00B70F88" w:rsidRDefault="00B70F88" w:rsidP="00B70F88"/>
    <w:p w14:paraId="28DAECFE" w14:textId="77777777" w:rsidR="00B70F88" w:rsidRDefault="00B70F88" w:rsidP="00B70F88">
      <w:r>
        <w:t>Eden od novih ukrepov programa je Obnova planinskih objektov uvrščenih na seznam Planinske zveze Slovenije, ki je namenjen tako energetski sanaciji, kot tudi obnovi bivalnih, sanitarnih in drugih notranjih prostorov v planinskih objektih.</w:t>
      </w:r>
    </w:p>
    <w:p w14:paraId="71C29C25" w14:textId="77777777" w:rsidR="00B70F88" w:rsidRDefault="00B70F88" w:rsidP="00B70F88"/>
    <w:p w14:paraId="51ED2968" w14:textId="77777777" w:rsidR="00B70F88" w:rsidRDefault="00B70F88" w:rsidP="00B70F88">
      <w:r>
        <w:t xml:space="preserve">Poleg navedenega program določa naslednje ukrepe: </w:t>
      </w:r>
    </w:p>
    <w:p w14:paraId="125A5F43" w14:textId="55F7DEDB" w:rsidR="00B70F88" w:rsidRDefault="00B70F88" w:rsidP="00B70F88">
      <w:pPr>
        <w:pStyle w:val="Odstavekseznama"/>
        <w:numPr>
          <w:ilvl w:val="0"/>
          <w:numId w:val="12"/>
        </w:numPr>
      </w:pPr>
      <w:r>
        <w:t>Revitalizacija objektov javne infrastrukture,</w:t>
      </w:r>
    </w:p>
    <w:p w14:paraId="30055712" w14:textId="7CF95C5F" w:rsidR="00B70F88" w:rsidRDefault="00B70F88" w:rsidP="00B70F88">
      <w:pPr>
        <w:pStyle w:val="Odstavekseznama"/>
        <w:numPr>
          <w:ilvl w:val="0"/>
          <w:numId w:val="12"/>
        </w:numPr>
      </w:pPr>
      <w:r>
        <w:t>Priprava kreativnih projektov revitalizacije objektov javne infrastrukture,</w:t>
      </w:r>
    </w:p>
    <w:p w14:paraId="57EA1D30" w14:textId="5DF87690" w:rsidR="00B70F88" w:rsidRDefault="00B70F88" w:rsidP="00B70F88">
      <w:pPr>
        <w:pStyle w:val="Odstavekseznama"/>
        <w:numPr>
          <w:ilvl w:val="0"/>
          <w:numId w:val="12"/>
        </w:numPr>
      </w:pPr>
      <w:r>
        <w:t>Krediti za investicijske projekte v javno infrastrukturo,</w:t>
      </w:r>
    </w:p>
    <w:p w14:paraId="4B6E9780" w14:textId="7EF7D379" w:rsidR="00B70F88" w:rsidRDefault="00B70F88" w:rsidP="00B70F88">
      <w:pPr>
        <w:pStyle w:val="Odstavekseznama"/>
        <w:numPr>
          <w:ilvl w:val="0"/>
          <w:numId w:val="12"/>
        </w:numPr>
      </w:pPr>
      <w:r>
        <w:lastRenderedPageBreak/>
        <w:t>Cestna infrastruktura,</w:t>
      </w:r>
    </w:p>
    <w:p w14:paraId="6CB6D3E7" w14:textId="587CC1E4" w:rsidR="00B70F88" w:rsidRDefault="00B70F88" w:rsidP="00B70F88">
      <w:pPr>
        <w:pStyle w:val="Odstavekseznama"/>
        <w:numPr>
          <w:ilvl w:val="0"/>
          <w:numId w:val="12"/>
        </w:numPr>
      </w:pPr>
      <w:r>
        <w:t>Spodbujanje prevozov na klic in organiziranih javnih prevozov za izboljšanje dostopnosti storitev,</w:t>
      </w:r>
    </w:p>
    <w:p w14:paraId="3CEC2CEB" w14:textId="1F88062B" w:rsidR="00B70F88" w:rsidRDefault="00B70F88" w:rsidP="00B70F88">
      <w:pPr>
        <w:pStyle w:val="Odstavekseznama"/>
        <w:numPr>
          <w:ilvl w:val="0"/>
          <w:numId w:val="12"/>
        </w:numPr>
      </w:pPr>
      <w:r>
        <w:t>Spodbujanje začetnih investicij,</w:t>
      </w:r>
    </w:p>
    <w:p w14:paraId="4B8411B5" w14:textId="3B6BBC36" w:rsidR="00B70F88" w:rsidRDefault="00B70F88" w:rsidP="00B70F88">
      <w:pPr>
        <w:pStyle w:val="Odstavekseznama"/>
        <w:numPr>
          <w:ilvl w:val="0"/>
          <w:numId w:val="12"/>
        </w:numPr>
      </w:pPr>
      <w:r>
        <w:t>Spodbujanje zagona podjetij (start-upi),</w:t>
      </w:r>
    </w:p>
    <w:p w14:paraId="24A81A88" w14:textId="4D95B876" w:rsidR="00B70F88" w:rsidRDefault="00B70F88" w:rsidP="00B70F88">
      <w:pPr>
        <w:pStyle w:val="Odstavekseznama"/>
        <w:numPr>
          <w:ilvl w:val="0"/>
          <w:numId w:val="12"/>
        </w:numPr>
      </w:pPr>
      <w:r>
        <w:t>Razvojni krediti,</w:t>
      </w:r>
    </w:p>
    <w:p w14:paraId="600E9BB6" w14:textId="1F0F7E73" w:rsidR="00B70F88" w:rsidRDefault="00B70F88" w:rsidP="00B70F88">
      <w:pPr>
        <w:pStyle w:val="Odstavekseznama"/>
        <w:numPr>
          <w:ilvl w:val="0"/>
          <w:numId w:val="13"/>
        </w:numPr>
      </w:pPr>
      <w:r>
        <w:t>Mikrokrediti,</w:t>
      </w:r>
    </w:p>
    <w:p w14:paraId="2B7879D3" w14:textId="4B71BE0C" w:rsidR="00B70F88" w:rsidRDefault="00B70F88" w:rsidP="00B70F88">
      <w:pPr>
        <w:pStyle w:val="Odstavekseznama"/>
        <w:numPr>
          <w:ilvl w:val="0"/>
          <w:numId w:val="13"/>
        </w:numPr>
      </w:pPr>
      <w:r>
        <w:t>Spodbujanje socialnega podjetništva in zadružništva na OPO,</w:t>
      </w:r>
    </w:p>
    <w:p w14:paraId="47E64BEC" w14:textId="12C75BE7" w:rsidR="00B70F88" w:rsidRDefault="00B70F88" w:rsidP="00B70F88">
      <w:pPr>
        <w:pStyle w:val="Odstavekseznama"/>
        <w:numPr>
          <w:ilvl w:val="0"/>
          <w:numId w:val="13"/>
        </w:numPr>
      </w:pPr>
      <w:r>
        <w:t xml:space="preserve">Komunalno opremljanje poslovnih con za strateške investitorje, </w:t>
      </w:r>
    </w:p>
    <w:p w14:paraId="70A47ECC" w14:textId="65AD2C7F" w:rsidR="00075B65" w:rsidRDefault="00B70F88" w:rsidP="00B70F88">
      <w:pPr>
        <w:pStyle w:val="Odstavekseznama"/>
        <w:numPr>
          <w:ilvl w:val="0"/>
          <w:numId w:val="13"/>
        </w:numPr>
      </w:pPr>
      <w:r>
        <w:t>Izgradnja javne turistične infrastrukture.</w:t>
      </w:r>
    </w:p>
    <w:p w14:paraId="377A8522" w14:textId="3FD0148A" w:rsidR="00B70F88" w:rsidRDefault="00B70F88" w:rsidP="00B70F88">
      <w:pPr>
        <w:pStyle w:val="Vir"/>
      </w:pPr>
      <w:r w:rsidRPr="00B70F88">
        <w:t>Vir: Ministrstvo za kohezijo in regionalni razvoj</w:t>
      </w:r>
    </w:p>
    <w:p w14:paraId="226EAC68" w14:textId="6BD06FD1" w:rsidR="00607969" w:rsidRDefault="00607969" w:rsidP="00607969">
      <w:pPr>
        <w:pStyle w:val="Naslov2"/>
      </w:pPr>
      <w:r>
        <w:t>Vlada v Načrt razvojnih programov 2026–2029 uvrstila izgradnjo objekta F Splošne bolnišnice Brežice</w:t>
      </w:r>
    </w:p>
    <w:p w14:paraId="3D4FF5E5" w14:textId="77777777" w:rsidR="00607969" w:rsidRDefault="00607969" w:rsidP="00607969">
      <w:r>
        <w:t>Vlada Republike Slovenije je 29. maja 2025 sprejela sklep o potrditvi projektne naloge z idejno rešitvijo za povečanje odpornosti bolnišnične infrastrukture v obliki vojaških delov bolnišnic za primer kriznih razmer, ki vključuje tudi sofinanciranje projekta investicije v dograditev in posodobitev zmogljivosti Splošne bolnišnice Brežice.</w:t>
      </w:r>
    </w:p>
    <w:p w14:paraId="3F991879" w14:textId="77777777" w:rsidR="00607969" w:rsidRDefault="00607969" w:rsidP="00607969"/>
    <w:p w14:paraId="6F4CC254" w14:textId="77777777" w:rsidR="00607969" w:rsidRDefault="00607969" w:rsidP="00607969">
      <w:r>
        <w:t>Skladno z navedenim sklepom Vlade Republike Slovenije ter sklenjenim sporazumom o financiranju izgradnje objekta F Splošne bolnišnice Brežice z dvonamensko rabo za povečanje odpornosti zdravstva v kriznih ali vojnih razmerah med Ministrstvom za zdravje, Uradom Republike Slovenije za nadzor, kakovost in investicije v zdravstvu, Javnim zdravstvenim zavodom Splošno bolnišnico Brežice in Ministrstvom za obrambo je vlada uvrstila projekt v veljavni načrt razvojnih programov.</w:t>
      </w:r>
    </w:p>
    <w:p w14:paraId="6EC811B1" w14:textId="77777777" w:rsidR="00607969" w:rsidRDefault="00607969" w:rsidP="00607969"/>
    <w:p w14:paraId="0C5B92D6" w14:textId="77777777" w:rsidR="00607969" w:rsidRDefault="00607969" w:rsidP="00607969">
      <w:r>
        <w:t>Cilj investicije je:</w:t>
      </w:r>
    </w:p>
    <w:p w14:paraId="301CE5FF" w14:textId="4EE76983" w:rsidR="00607969" w:rsidRDefault="00607969" w:rsidP="00607969">
      <w:pPr>
        <w:pStyle w:val="Odstavekseznama"/>
        <w:numPr>
          <w:ilvl w:val="0"/>
          <w:numId w:val="15"/>
        </w:numPr>
      </w:pPr>
      <w:r>
        <w:t>zagotoviti prostore za akutno bolnišnično obravnavo po normativih in standardih, ki omogočajo obravnavo in zdravljenje pacientov v pogojih izolacije zaradi prenosljivih okužb z mikroorganizmi;</w:t>
      </w:r>
    </w:p>
    <w:p w14:paraId="5FB041B3" w14:textId="6677A3D1" w:rsidR="00607969" w:rsidRDefault="00607969" w:rsidP="00607969">
      <w:pPr>
        <w:pStyle w:val="Odstavekseznama"/>
        <w:numPr>
          <w:ilvl w:val="0"/>
          <w:numId w:val="15"/>
        </w:numPr>
      </w:pPr>
      <w:r>
        <w:t>zagotoviti ambulantne prostore za specialistične ambulante, v katerih bo možna ločena obravnava pacientov, okuženih s prenosljivimi boleznimi, prostore za fizioterapevtsko obravnavo in rehabilitacijo v času zdravljenja pacientov in po koncu zdravljenja, servisne prostore za osebje in dejavnost bolnišnice ter prostore za hrambo specialne medicinske opreme, še posebej za čas izrednih ali vojnih razmer;</w:t>
      </w:r>
    </w:p>
    <w:p w14:paraId="07D5569C" w14:textId="208701F9" w:rsidR="00607969" w:rsidRDefault="00607969" w:rsidP="00607969">
      <w:pPr>
        <w:pStyle w:val="Odstavekseznama"/>
        <w:numPr>
          <w:ilvl w:val="0"/>
          <w:numId w:val="15"/>
        </w:numPr>
      </w:pPr>
      <w:r>
        <w:t>novi prostori bodo zagotavljali dvonamensko uporabo in bodo namenjeni tudi zagotavljanju dodatnih od približno 25 do 35 postelj v primeru izrednih ali vojnih razmer;</w:t>
      </w:r>
    </w:p>
    <w:p w14:paraId="1E684556" w14:textId="0F27F4E9" w:rsidR="00607969" w:rsidRDefault="00607969" w:rsidP="00607969">
      <w:pPr>
        <w:pStyle w:val="Odstavekseznama"/>
        <w:numPr>
          <w:ilvl w:val="0"/>
          <w:numId w:val="15"/>
        </w:numPr>
      </w:pPr>
      <w:r>
        <w:t>posledično bodo z izgradnjo novega objekta F omogočeni pogoji za ureditev kirurškega oddelka s podaljšanim bolnišničnim zdravljenjem in rehabilitacijo ter internega oddelka skupaj z negovalnim oddelkom;</w:t>
      </w:r>
    </w:p>
    <w:p w14:paraId="2138C398" w14:textId="61E01621" w:rsidR="00607969" w:rsidRDefault="00607969" w:rsidP="00607969">
      <w:pPr>
        <w:pStyle w:val="Odstavekseznama"/>
        <w:numPr>
          <w:ilvl w:val="0"/>
          <w:numId w:val="15"/>
        </w:numPr>
      </w:pPr>
      <w:r>
        <w:t>z investicijo bo omogočena izgradnja heliporta.</w:t>
      </w:r>
    </w:p>
    <w:p w14:paraId="19B45F69" w14:textId="77777777" w:rsidR="00607969" w:rsidRDefault="00607969" w:rsidP="00607969"/>
    <w:p w14:paraId="32089DDB" w14:textId="77777777" w:rsidR="00607969" w:rsidRDefault="00607969" w:rsidP="00607969">
      <w:r>
        <w:t xml:space="preserve">Z izvedbo investicije bo zagotovljeno povečanje bolnišničnih zmogljivosti s površino prostorov cca 4.667 m² in 50 posteljami, od katerih bo zagotovljena uporaba od približno 25 do 35 postelj za specialistično in kirurško obravnavo pacientov v izrednih ali vojnih razmerah. Načrtovana gradnja bo predvidoma končana leta 2028. Gradnjo zmogljivosti sofinancira Ministrstvo za obrambo, naročnik za izvedbo in nadzor del bo Urad Republike Slovenije za nadzor, kakovost in investicije v zdravstvu. </w:t>
      </w:r>
    </w:p>
    <w:p w14:paraId="07D0351B" w14:textId="77777777" w:rsidR="00607969" w:rsidRDefault="00607969" w:rsidP="00607969"/>
    <w:p w14:paraId="37BCF3AC" w14:textId="0F9CA770" w:rsidR="00607969" w:rsidRDefault="00607969" w:rsidP="00607969">
      <w:r>
        <w:t>Ministrstvo za obrambo bo za financiranje navedenih aktivnosti zagotovilo sredstva do največ skupne vrednosti 17.600.000 evrov v obdobju od vključno leta 2026 do konca leta 2028.</w:t>
      </w:r>
    </w:p>
    <w:p w14:paraId="66DCCD9F" w14:textId="77777777" w:rsidR="00607969" w:rsidRDefault="00607969" w:rsidP="00607969"/>
    <w:p w14:paraId="3FC9392F" w14:textId="77777777" w:rsidR="00607969" w:rsidRDefault="00607969" w:rsidP="00607969">
      <w:r>
        <w:lastRenderedPageBreak/>
        <w:t>Ministrstvo za zdravje bo imenovalo vodjo projekta, ki bo skrbel za realizacijo projekta skladno s potekom investicije in pripravljal poročila o poteku projekta.</w:t>
      </w:r>
    </w:p>
    <w:p w14:paraId="25A3938C" w14:textId="77777777" w:rsidR="00607969" w:rsidRDefault="00607969" w:rsidP="00607969"/>
    <w:p w14:paraId="0F6022AD" w14:textId="77777777" w:rsidR="00607969" w:rsidRDefault="00607969" w:rsidP="00607969">
      <w:r>
        <w:t>Ocenjena izhodiščna vrednost projekta izgradnje objekta F Splošne bolnišnice Brežice znaša 17.927.272,59 evra z DDV.</w:t>
      </w:r>
    </w:p>
    <w:p w14:paraId="56BD20CD" w14:textId="761EFEE4" w:rsidR="001B3F7E" w:rsidRDefault="00607969" w:rsidP="00607969">
      <w:pPr>
        <w:pStyle w:val="Vir"/>
      </w:pPr>
      <w:r>
        <w:t>Vir: Ministrstvo za obrambo</w:t>
      </w:r>
    </w:p>
    <w:p w14:paraId="78A74DBE" w14:textId="0E5F55C4" w:rsidR="00787306" w:rsidRDefault="00787306" w:rsidP="00787306">
      <w:pPr>
        <w:pStyle w:val="Naslov2"/>
      </w:pPr>
      <w:r>
        <w:t>Slovenija v Varnostnem svetu OZN delovala kot načelna, aktivna in transparentna članica</w:t>
      </w:r>
    </w:p>
    <w:p w14:paraId="5398C982" w14:textId="77777777" w:rsidR="00787306" w:rsidRDefault="00787306" w:rsidP="00787306">
      <w:r>
        <w:t xml:space="preserve">Vlada Republike Slovenije je sprejela Poročilo o nestalnem članstvu Republike Slovenije v Varnostnem svetu OZN v obdobju 2024-2025, ki ga bo poslala v seznanitev Odboru za zunanjo politiko Državnega zbora Republike Slovenije. </w:t>
      </w:r>
    </w:p>
    <w:p w14:paraId="277765AE" w14:textId="77777777" w:rsidR="00787306" w:rsidRDefault="00787306" w:rsidP="00787306"/>
    <w:p w14:paraId="2A849BCE" w14:textId="77777777" w:rsidR="00787306" w:rsidRDefault="00787306" w:rsidP="00787306">
      <w:r>
        <w:t>Republika Slovenija je kandidaturo za nestalno članstvo v Varnostnem svetu OZN (VS OZN) za obdobje 2024-2025 najavila 9. decembra 2021. V VS OZN je bila izvoljena na volitvah v Generalni skupščini OZN 6. junija 2023, v prvem krogu glasovanja s prejetimi 153 glasovi (od 191 oddanih glasov). Slovenija je dveletni mandat nestalne članice VS OZN nastopila 1. januarja 2024 in ga zaključila 31. decembra 2025. Delovala je skladno z geslom "Krepimo zaupanje. Varujemo prihodnost."</w:t>
      </w:r>
    </w:p>
    <w:p w14:paraId="3C59EE46" w14:textId="77777777" w:rsidR="00787306" w:rsidRDefault="00787306" w:rsidP="00787306"/>
    <w:p w14:paraId="6116D55C" w14:textId="77777777" w:rsidR="00787306" w:rsidRDefault="00787306" w:rsidP="00787306">
      <w:r w:rsidRPr="008440DB">
        <w:t>V 2024 in 2025 je VS OZN opravil 560 formalnih zasedanj in 238 konzultacij.</w:t>
      </w:r>
      <w:r>
        <w:t xml:space="preserve"> Slovenija je sodelovala na vseh in skupaj podala več kot 440 izjav. Predsednica Republike Slovenije dr. Pirc Musar je sodelovala na eni razpravi, predsednik Vlade Republike Slovenije dr. Golob je sodeloval na treh razpravah (ker so potekale v času slovenskega predsedovanja VS OZN septembra 2024, je vse tri razprave tudi vodil), ministrica za zunanje in evropske zadeve Fajon je sodelovala na 12 razpravah (od tega jih je 7 vodila v času obeh slovenskih predsedovanj VS OZN). Na osmih razpravah je Slovenija sodelovala na ravni državnih sekretarjev Ministrstva za zunanje in evropske zadeve, na eni razpravi na ravni državnega sekretarja Ministrstva za delo, družino, socialne zadeve in enake možnosti ter na 4 razpravah na ravni generalnih sekretark Ministrstva za zunanje in evropske zadeve. Na dveh razpravah je sodelovala posebna odposlanka za ženske, mir in varnost.</w:t>
      </w:r>
    </w:p>
    <w:p w14:paraId="440413C5" w14:textId="77777777" w:rsidR="00787306" w:rsidRDefault="00787306" w:rsidP="00787306"/>
    <w:p w14:paraId="6B77553D" w14:textId="77777777" w:rsidR="00787306" w:rsidRDefault="00787306" w:rsidP="00787306">
      <w:r>
        <w:t xml:space="preserve">Slovenija je </w:t>
      </w:r>
      <w:r w:rsidRPr="008440DB">
        <w:rPr>
          <w:u w:val="single"/>
        </w:rPr>
        <w:t>dvakrat predsedovala VS OZN</w:t>
      </w:r>
      <w:r>
        <w:t xml:space="preserve"> (september 2024 in december 2025) in dvakrat koordinirala izvoljenih deset članic VS OZN. Vodila je en formalni terenski obisk stalnih predstavnikov VS OZN v Siriji in Libanonu in organizirala neformalni terenski obisk ekspertov VS OZN v Čadu (oboje decembra 2025).</w:t>
      </w:r>
      <w:r>
        <w:tab/>
      </w:r>
    </w:p>
    <w:p w14:paraId="5C0DFBD8" w14:textId="77777777" w:rsidR="00787306" w:rsidRDefault="00787306" w:rsidP="00787306"/>
    <w:p w14:paraId="1F8382E2" w14:textId="77777777" w:rsidR="00787306" w:rsidRDefault="00787306" w:rsidP="00787306">
      <w:r>
        <w:t xml:space="preserve">Slovenija je </w:t>
      </w:r>
      <w:r w:rsidRPr="008440DB">
        <w:rPr>
          <w:u w:val="single"/>
        </w:rPr>
        <w:t>predlagala 5 resolucij VS OZN</w:t>
      </w:r>
      <w:r>
        <w:t xml:space="preserve"> (4 resolucije o Gazi ter resolucijo o pregledu arhitekture OZN za izgradnjo miru), 2 predsedniški izjavi (o voditeljstvu za mir in ob 30. obletnici Daytonskega mirovnega sporazuma v Bosni in Hercegovini) ter 4 izjave VS OZN za javnost (o Bosni in Hercegovini, o humanitarnih delavcih in lakoti v Gazi, o agenciji UNRWA in o Burkini Faso).</w:t>
      </w:r>
    </w:p>
    <w:p w14:paraId="1340E3C8" w14:textId="77777777" w:rsidR="00787306" w:rsidRDefault="00787306" w:rsidP="00787306"/>
    <w:p w14:paraId="3B6F34AA" w14:textId="77777777" w:rsidR="00787306" w:rsidRDefault="00787306" w:rsidP="00787306">
      <w:r>
        <w:t xml:space="preserve">Slovenija je organizirala 3 odprte razprave VS OZN (dve v okviru pobude Voditeljstvo za mir in eno o prihodnosti mirovnih operacij), 2 neformalna interaktivna dialoga VS OZN (z Ligo arabskih držav in s Komisijo za izgradnjo miru) ter 3 neformalne razprave VS OZN v formatu </w:t>
      </w:r>
      <w:proofErr w:type="spellStart"/>
      <w:r>
        <w:t>Arria</w:t>
      </w:r>
      <w:proofErr w:type="spellEnd"/>
      <w:r>
        <w:t xml:space="preserve"> (o reševanju okoljskih izzivov kot priložnostih za mir, o zaščiti oseb z invalidnostmi v oboroženih konfliktih ter o zaščiti vodne infrastrukture v oboroženih spopadih).</w:t>
      </w:r>
    </w:p>
    <w:p w14:paraId="344442C3" w14:textId="77777777" w:rsidR="00787306" w:rsidRDefault="00787306" w:rsidP="00787306">
      <w:r>
        <w:tab/>
      </w:r>
    </w:p>
    <w:p w14:paraId="39C206FC" w14:textId="77777777" w:rsidR="00787306" w:rsidRDefault="00787306" w:rsidP="00787306">
      <w:r>
        <w:t>V času članstva je Slovenija zahtevala več kot 50 izrednih zasedanj VS OZN, največ na temo Ukrajine, Gaze in zaščite civilistov.</w:t>
      </w:r>
    </w:p>
    <w:p w14:paraId="6392CAB6" w14:textId="77777777" w:rsidR="00787306" w:rsidRDefault="00787306" w:rsidP="00787306"/>
    <w:p w14:paraId="117787CE" w14:textId="77777777" w:rsidR="00787306" w:rsidRDefault="00787306" w:rsidP="00787306">
      <w:r>
        <w:lastRenderedPageBreak/>
        <w:t>V 2024 in 2025 je VS OZN sprejel 90 resolucij – od tega jih je bilo 57 sprejetih soglasno. Slovenija je glasovala za 89 resolucij ter se vzdržala pri eni (resolucija o Ukrajini 2774(2025)).</w:t>
      </w:r>
    </w:p>
    <w:p w14:paraId="31A19B97" w14:textId="77777777" w:rsidR="00787306" w:rsidRDefault="00787306" w:rsidP="00787306"/>
    <w:p w14:paraId="1FDABAB6" w14:textId="77777777" w:rsidR="00787306" w:rsidRDefault="00787306" w:rsidP="00787306">
      <w:r>
        <w:t xml:space="preserve">Glasovalni vzorec Slovenije pri sprejetih resolucijah je enak glasovalnima vzorcema Francije in Združenega kraljestva. Slovenija je v 5 primerih glasovala drugače kot ZDA, v 20 primerih drugače kot Kitajska ter v 29 primerih drugače kot Ruska federacija. </w:t>
      </w:r>
    </w:p>
    <w:p w14:paraId="25399D34" w14:textId="77777777" w:rsidR="00787306" w:rsidRDefault="00787306" w:rsidP="00787306"/>
    <w:p w14:paraId="2E509980" w14:textId="77777777" w:rsidR="00787306" w:rsidRDefault="00787306" w:rsidP="00787306">
      <w:r>
        <w:t xml:space="preserve">Slovenija je glasovala proti dvema resolucijama (obe na temo podaljšanja suspenza sankcij proti Iranu, september 2025), a nobena od teh resolucij ni bila sprejeta zaradi negativnega glasu (veta) treh stalnih članic. </w:t>
      </w:r>
    </w:p>
    <w:p w14:paraId="651D9385" w14:textId="77777777" w:rsidR="00787306" w:rsidRDefault="00787306" w:rsidP="00787306"/>
    <w:p w14:paraId="3AB15538" w14:textId="77777777" w:rsidR="00787306" w:rsidRDefault="00787306" w:rsidP="00787306">
      <w:r>
        <w:t xml:space="preserve">V času slovenskega članstva je VS OZN sprejel 15 predsedniških izjav ter 77 izjav za javnost. Za sprejem le-teh je potrebno soglasje vseh članic VS OZN. </w:t>
      </w:r>
    </w:p>
    <w:p w14:paraId="401F2182" w14:textId="77777777" w:rsidR="00787306" w:rsidRDefault="00787306" w:rsidP="00787306"/>
    <w:p w14:paraId="05553BBE" w14:textId="77777777" w:rsidR="00787306" w:rsidRPr="00787306" w:rsidRDefault="00787306" w:rsidP="00787306">
      <w:pPr>
        <w:rPr>
          <w:u w:val="single"/>
        </w:rPr>
      </w:pPr>
      <w:r w:rsidRPr="00787306">
        <w:rPr>
          <w:u w:val="single"/>
        </w:rPr>
        <w:t xml:space="preserve">Glavni dosežki članstva: </w:t>
      </w:r>
    </w:p>
    <w:p w14:paraId="31E18E63" w14:textId="77777777" w:rsidR="00787306" w:rsidRDefault="00787306" w:rsidP="00787306"/>
    <w:p w14:paraId="352045CE" w14:textId="77777777" w:rsidR="00787306" w:rsidRDefault="00787306" w:rsidP="00787306">
      <w:r>
        <w:t xml:space="preserve">Resolucija o Gazi, sprejeta marca 2024: resolucijo je predlagalo vseh 10 nestalnih članic, Slovenija je bila med najbolj aktivnimi znotraj skupine. Šlo je za prvo resolucijo VS OZN, ki je po napadih 7. oktobra 2023 pozvala k premirju ter gradila na trikotniku izpustitev talcev – premirje – humanitarna pomoč. Skupina nestalnih članic je kasneje pripravila še 3 osnutke resolucij o razmerah v Gazi kot poskus, da se VS OZN vendarle odzove na zaostrovanje razmer (november 2024, junij 2025 in september 2025). Na glasovanjih so vse tri dobile po 14 glasov, a zaradi veta stalne članice niso bile sprejete. Kljub temu so predstavljale del mednarodnega pritiska, ki je jeseni 2025 pripeljal do vzpostavitve premirja. </w:t>
      </w:r>
    </w:p>
    <w:p w14:paraId="3222C182" w14:textId="77777777" w:rsidR="00787306" w:rsidRDefault="00787306" w:rsidP="00787306"/>
    <w:p w14:paraId="7A66719D" w14:textId="77777777" w:rsidR="00787306" w:rsidRDefault="00787306" w:rsidP="00787306">
      <w:r>
        <w:t>Odlično opravljeni predsedovanji septembra 2024 in decembra 2025: Slovenija je obakrat uspešno izpeljala vsa predvidena zasedanja in skrbela, da se je VS OZN odzival na aktualna dogajanja. Med obema predsedovanjema je Slovenija organizirala svoj osrednji dogodek, obakrat na temo voditeljstva za mir. Prav tako je Slovenija med obema predsedovanjema uspešno izpogajala soglasno sprejeti predsedniški izjavi VS OZN (o voditeljstvu za mir 2024 in o Bosni in Hercegovini 2025). Držala se je tudi zavez glede delovnih metod, ki jih je podala pred obema predsedovanjema, vključno glede sodelovanja s civilno družbo ter uravnotežene zastopanosti poročevalk in poročevalcev.</w:t>
      </w:r>
    </w:p>
    <w:p w14:paraId="472188A0" w14:textId="77777777" w:rsidR="00787306" w:rsidRDefault="00787306" w:rsidP="00787306">
      <w:r>
        <w:t>Obisk VS OZN v Siriji in Libanonu decembra 2025: obisk je vodila Slovenija kot predsedujoča VS OZN. Šlo je za prvi obisk VS OZN na Bližnjem vzhodu po 6 letih ter prvi obisk VS OZN v Siriji sploh. Obisk je bil pomemben in enoten izraz podpore VS OZN obema državama v zahtevnih okoliščinah, v katerih se nahajata tako sami kot tudi celotna regija.</w:t>
      </w:r>
    </w:p>
    <w:p w14:paraId="58F22D50" w14:textId="77777777" w:rsidR="00787306" w:rsidRDefault="00787306" w:rsidP="00787306"/>
    <w:p w14:paraId="6C832DE0" w14:textId="5E82BF4F" w:rsidR="00787306" w:rsidRDefault="00787306" w:rsidP="00787306">
      <w:r>
        <w:t>Sprejem predsedniške izjave Voditeljstvo za mir: izjavo je pripravila Slovenija, soglasno je bila sprejeta septembra 2024, na začetku odprte razprave VS OZN, ki je predstavljala osrednji dogodek slovenskega predsedovanja. V izjavi so vse članice VS OZN potrdile svojo odločenost ohraniti mednarodni mir in varnost ter zavezanost mednarodnemu pravu, vključno z Ustanovno listino OZN.</w:t>
      </w:r>
    </w:p>
    <w:p w14:paraId="7F83DCB6" w14:textId="77777777" w:rsidR="00787306" w:rsidRDefault="00787306" w:rsidP="00787306">
      <w:r>
        <w:t>Predsedniška izjava VS OZN o Bosni in Hercegovini ob 30. obletnici podpisa Daytonskega mirovnega sporazuma:  VS OZN jo je sprejel decembra 2025 na pobudo Slovenije. Gre za prvo vsebinsko predsedniško izjavo VS OZN o Bosni in Hercegovini po letu 2004. Izjava izraža enotno podporo VS OZN suverenosti, ozemeljski celovitosti, politični neodvisnosti in večetničnemu značaju Bosne in Hercegovine. Politične voditelje poziva, naj razlike rešujejo z dialogom, se vzdržijo razdiralne retorike ter spoštujejo vladavino prava.</w:t>
      </w:r>
    </w:p>
    <w:p w14:paraId="58E7109D" w14:textId="77777777" w:rsidR="00787306" w:rsidRDefault="00787306" w:rsidP="00787306"/>
    <w:p w14:paraId="00B73984" w14:textId="32342F4C" w:rsidR="00787306" w:rsidRDefault="00787306" w:rsidP="00787306">
      <w:r>
        <w:t>Slovenija je skupaj z Egiptom so-vodila proces pregleda arhitekture OZN za izgradnjo miru (gre za proces, ki ga OZN opravi vsakih 5 let). V močno polariziranem multilateralnem okolju sta Slovenija in Egipt z vztrajnostjo in kreativnostjo izpogajala besedilo resolucij, ki sta bili sprejeti soglasno tako v VS OZN kot v Generalni skupščini OZN.</w:t>
      </w:r>
    </w:p>
    <w:p w14:paraId="0DEB45DC" w14:textId="77777777" w:rsidR="00787306" w:rsidRDefault="00787306" w:rsidP="00787306"/>
    <w:p w14:paraId="10263920" w14:textId="17074B95" w:rsidR="00787306" w:rsidRDefault="00787306" w:rsidP="00787306">
      <w:r>
        <w:t xml:space="preserve">Slovenija je bila močna zagovornica ter motor tesnejšega povezovanja nestalnih / izvoljenih članic VS OZN (E10): tesno in ambiciozno sodelovanje med E10 je predstavljalo učinkovito </w:t>
      </w:r>
      <w:proofErr w:type="spellStart"/>
      <w:r>
        <w:t>vzpodbudo</w:t>
      </w:r>
      <w:proofErr w:type="spellEnd"/>
      <w:r>
        <w:t xml:space="preserve"> za konstruktiven angažma vseh članic VS OZN ter za bolj učinkovito delovanje VS OZN. Prav tako je okrepilo pogajalsko moč skupine in predstavljalo zaščito posameznih članic pred bilateralnimi pritiski in pričakovanji. Na pobudo Slovenije je bilo sodelovanje v skupini nestalnih članic dvignjeno tudi na ministrsko raven. Slovenija je septembra 2025 gostila 8. redni letni posvet predstavnikov E10.</w:t>
      </w:r>
    </w:p>
    <w:p w14:paraId="6A455930" w14:textId="758BD00E" w:rsidR="00075B65" w:rsidRDefault="00787306" w:rsidP="00787306">
      <w:pPr>
        <w:pStyle w:val="Vir"/>
      </w:pPr>
      <w:r>
        <w:t>Vir: Ministrstvo za zunanje in evropske zadeve</w:t>
      </w:r>
    </w:p>
    <w:p w14:paraId="770C3FBC" w14:textId="77777777" w:rsidR="00075B65" w:rsidRPr="00075B65" w:rsidRDefault="00075B65" w:rsidP="00075B65"/>
    <w:sectPr w:rsidR="00075B65" w:rsidRPr="00075B65" w:rsidSect="00F01966">
      <w:type w:val="continuous"/>
      <w:pgSz w:w="11906" w:h="16838"/>
      <w:pgMar w:top="1135" w:right="1417" w:bottom="1417" w:left="1417" w:header="1417"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86828" w14:textId="77777777" w:rsidR="0067375D" w:rsidRDefault="0067375D" w:rsidP="00750D01">
      <w:pPr>
        <w:spacing w:line="240" w:lineRule="auto"/>
      </w:pPr>
      <w:r>
        <w:separator/>
      </w:r>
    </w:p>
  </w:endnote>
  <w:endnote w:type="continuationSeparator" w:id="0">
    <w:p w14:paraId="382D8D7B" w14:textId="77777777" w:rsidR="0067375D" w:rsidRDefault="0067375D" w:rsidP="00750D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905DB" w14:textId="77777777" w:rsidR="0067375D" w:rsidRDefault="0067375D" w:rsidP="00750D01">
      <w:pPr>
        <w:spacing w:line="240" w:lineRule="auto"/>
      </w:pPr>
      <w:r>
        <w:separator/>
      </w:r>
    </w:p>
  </w:footnote>
  <w:footnote w:type="continuationSeparator" w:id="0">
    <w:p w14:paraId="56A3F1D9" w14:textId="77777777" w:rsidR="0067375D" w:rsidRDefault="0067375D" w:rsidP="00750D0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16B71" w14:textId="77777777" w:rsidR="009540E4" w:rsidRPr="00110CBD" w:rsidRDefault="009540E4"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DF38C" w14:textId="1CA9CECA" w:rsidR="00F01966" w:rsidRDefault="00F01966">
    <w:pPr>
      <w:pStyle w:val="Glava"/>
    </w:pPr>
    <w:r>
      <w:rPr>
        <w:noProof/>
      </w:rPr>
      <w:drawing>
        <wp:anchor distT="0" distB="0" distL="114300" distR="114300" simplePos="0" relativeHeight="251660288" behindDoc="0" locked="0" layoutInCell="1" allowOverlap="1" wp14:anchorId="3B4E3537" wp14:editId="27ACADE6">
          <wp:simplePos x="0" y="0"/>
          <wp:positionH relativeFrom="column">
            <wp:posOffset>-742950</wp:posOffset>
          </wp:positionH>
          <wp:positionV relativeFrom="paragraph">
            <wp:posOffset>387098</wp:posOffset>
          </wp:positionV>
          <wp:extent cx="2216989" cy="329086"/>
          <wp:effectExtent l="0" t="0" r="0" b="0"/>
          <wp:wrapNone/>
          <wp:docPr id="2" name="Slika 2" descr="Slika, ki vsebuje besede grafika, simbol, risanka, oblikovanje&#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descr="Slika, ki vsebuje besede grafika, simbol, risanka, oblikovanje&#10;&#10;Opis je samodejno ustvarj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6989" cy="329086"/>
                  </a:xfrm>
                  <a:prstGeom prst="rect">
                    <a:avLst/>
                  </a:prstGeom>
                  <a:noFill/>
                  <a:ln>
                    <a:noFill/>
                  </a:ln>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26880"/>
    <w:multiLevelType w:val="hybridMultilevel"/>
    <w:tmpl w:val="771E3FAA"/>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36B12AF"/>
    <w:multiLevelType w:val="hybridMultilevel"/>
    <w:tmpl w:val="01F0A20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72D2AC2"/>
    <w:multiLevelType w:val="hybridMultilevel"/>
    <w:tmpl w:val="056094CA"/>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85D2CF9"/>
    <w:multiLevelType w:val="hybridMultilevel"/>
    <w:tmpl w:val="1CDA2A0A"/>
    <w:lvl w:ilvl="0" w:tplc="5044B500">
      <w:start w:val="1"/>
      <w:numFmt w:val="bullet"/>
      <w:lvlText w:val=""/>
      <w:lvlJc w:val="left"/>
      <w:pPr>
        <w:ind w:left="720" w:hanging="360"/>
      </w:pPr>
      <w:rPr>
        <w:rFonts w:ascii="Symbol" w:hAnsi="Symbol" w:hint="default"/>
      </w:rPr>
    </w:lvl>
    <w:lvl w:ilvl="1" w:tplc="41860F60">
      <w:start w:val="20"/>
      <w:numFmt w:val="bullet"/>
      <w:lvlText w:val="-"/>
      <w:lvlJc w:val="left"/>
      <w:pPr>
        <w:ind w:left="1650" w:hanging="57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95E3891"/>
    <w:multiLevelType w:val="hybridMultilevel"/>
    <w:tmpl w:val="9308082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F533FC0"/>
    <w:multiLevelType w:val="hybridMultilevel"/>
    <w:tmpl w:val="7AFEF64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1C90CBE"/>
    <w:multiLevelType w:val="hybridMultilevel"/>
    <w:tmpl w:val="F1F83CB2"/>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3F84D0F"/>
    <w:multiLevelType w:val="hybridMultilevel"/>
    <w:tmpl w:val="B07ABD5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7BD65D3"/>
    <w:multiLevelType w:val="hybridMultilevel"/>
    <w:tmpl w:val="35043D9E"/>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B070888"/>
    <w:multiLevelType w:val="hybridMultilevel"/>
    <w:tmpl w:val="B5A6287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568271FA"/>
    <w:multiLevelType w:val="hybridMultilevel"/>
    <w:tmpl w:val="DAEC4C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572E4579"/>
    <w:multiLevelType w:val="hybridMultilevel"/>
    <w:tmpl w:val="1AD2447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71406EF5"/>
    <w:multiLevelType w:val="hybridMultilevel"/>
    <w:tmpl w:val="C582AAB6"/>
    <w:lvl w:ilvl="0" w:tplc="9BB603B4">
      <w:start w:val="1"/>
      <w:numFmt w:val="bullet"/>
      <w:pStyle w:val="Odstavekseznama"/>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72416C27"/>
    <w:multiLevelType w:val="hybridMultilevel"/>
    <w:tmpl w:val="2398F9D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A0D175E"/>
    <w:multiLevelType w:val="hybridMultilevel"/>
    <w:tmpl w:val="3F46B55A"/>
    <w:lvl w:ilvl="0" w:tplc="5044B500">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num w:numId="1" w16cid:durableId="1176576364">
    <w:abstractNumId w:val="12"/>
  </w:num>
  <w:num w:numId="2" w16cid:durableId="984821814">
    <w:abstractNumId w:val="7"/>
  </w:num>
  <w:num w:numId="3" w16cid:durableId="150218247">
    <w:abstractNumId w:val="0"/>
  </w:num>
  <w:num w:numId="4" w16cid:durableId="1026903286">
    <w:abstractNumId w:val="8"/>
  </w:num>
  <w:num w:numId="5" w16cid:durableId="231817878">
    <w:abstractNumId w:val="3"/>
  </w:num>
  <w:num w:numId="6" w16cid:durableId="2110814889">
    <w:abstractNumId w:val="14"/>
  </w:num>
  <w:num w:numId="7" w16cid:durableId="695153758">
    <w:abstractNumId w:val="4"/>
  </w:num>
  <w:num w:numId="8" w16cid:durableId="853298866">
    <w:abstractNumId w:val="6"/>
  </w:num>
  <w:num w:numId="9" w16cid:durableId="1789348953">
    <w:abstractNumId w:val="2"/>
  </w:num>
  <w:num w:numId="10" w16cid:durableId="1415012333">
    <w:abstractNumId w:val="10"/>
  </w:num>
  <w:num w:numId="11" w16cid:durableId="886650520">
    <w:abstractNumId w:val="5"/>
  </w:num>
  <w:num w:numId="12" w16cid:durableId="1679850652">
    <w:abstractNumId w:val="9"/>
  </w:num>
  <w:num w:numId="13" w16cid:durableId="1376199125">
    <w:abstractNumId w:val="1"/>
  </w:num>
  <w:num w:numId="14" w16cid:durableId="2083717712">
    <w:abstractNumId w:val="11"/>
  </w:num>
  <w:num w:numId="15" w16cid:durableId="46531875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0E4"/>
    <w:rsid w:val="000318E4"/>
    <w:rsid w:val="00050A56"/>
    <w:rsid w:val="000555C6"/>
    <w:rsid w:val="000610D5"/>
    <w:rsid w:val="00075B65"/>
    <w:rsid w:val="00076DF7"/>
    <w:rsid w:val="00085D04"/>
    <w:rsid w:val="00087069"/>
    <w:rsid w:val="00087A14"/>
    <w:rsid w:val="00097B85"/>
    <w:rsid w:val="000D5520"/>
    <w:rsid w:val="000E0657"/>
    <w:rsid w:val="00110932"/>
    <w:rsid w:val="00110B8F"/>
    <w:rsid w:val="001113C2"/>
    <w:rsid w:val="00111A16"/>
    <w:rsid w:val="00113F85"/>
    <w:rsid w:val="0012724F"/>
    <w:rsid w:val="0013016C"/>
    <w:rsid w:val="001602C9"/>
    <w:rsid w:val="0016530C"/>
    <w:rsid w:val="001673A5"/>
    <w:rsid w:val="00173343"/>
    <w:rsid w:val="001B01DD"/>
    <w:rsid w:val="001B3F7E"/>
    <w:rsid w:val="001B42F9"/>
    <w:rsid w:val="001C3560"/>
    <w:rsid w:val="001C5F19"/>
    <w:rsid w:val="001D4277"/>
    <w:rsid w:val="001D69D6"/>
    <w:rsid w:val="001F51BC"/>
    <w:rsid w:val="001F7F63"/>
    <w:rsid w:val="00203CAB"/>
    <w:rsid w:val="00203F5F"/>
    <w:rsid w:val="00215140"/>
    <w:rsid w:val="00220CDD"/>
    <w:rsid w:val="0022511A"/>
    <w:rsid w:val="00231021"/>
    <w:rsid w:val="002501CE"/>
    <w:rsid w:val="002856E5"/>
    <w:rsid w:val="002B6480"/>
    <w:rsid w:val="002C0766"/>
    <w:rsid w:val="002C36A6"/>
    <w:rsid w:val="002D5B5D"/>
    <w:rsid w:val="002E3F96"/>
    <w:rsid w:val="002F3BE7"/>
    <w:rsid w:val="00302938"/>
    <w:rsid w:val="0032428F"/>
    <w:rsid w:val="0033519E"/>
    <w:rsid w:val="00346E22"/>
    <w:rsid w:val="00351E1E"/>
    <w:rsid w:val="00357DC0"/>
    <w:rsid w:val="00361255"/>
    <w:rsid w:val="00363A41"/>
    <w:rsid w:val="00381018"/>
    <w:rsid w:val="003847C8"/>
    <w:rsid w:val="003877EB"/>
    <w:rsid w:val="00390DF7"/>
    <w:rsid w:val="0039662C"/>
    <w:rsid w:val="003A3742"/>
    <w:rsid w:val="003D64D8"/>
    <w:rsid w:val="003E17B6"/>
    <w:rsid w:val="003E1B89"/>
    <w:rsid w:val="003E6170"/>
    <w:rsid w:val="003F4CC5"/>
    <w:rsid w:val="00407953"/>
    <w:rsid w:val="00415527"/>
    <w:rsid w:val="00431C65"/>
    <w:rsid w:val="00432937"/>
    <w:rsid w:val="00435CF5"/>
    <w:rsid w:val="004403EC"/>
    <w:rsid w:val="00447B57"/>
    <w:rsid w:val="0045565C"/>
    <w:rsid w:val="00455B63"/>
    <w:rsid w:val="00460370"/>
    <w:rsid w:val="00465AB5"/>
    <w:rsid w:val="00472762"/>
    <w:rsid w:val="004A00A8"/>
    <w:rsid w:val="004A7BFC"/>
    <w:rsid w:val="004A7CAD"/>
    <w:rsid w:val="004B4753"/>
    <w:rsid w:val="004B7346"/>
    <w:rsid w:val="004C3F67"/>
    <w:rsid w:val="004C721D"/>
    <w:rsid w:val="00514121"/>
    <w:rsid w:val="00522637"/>
    <w:rsid w:val="00527867"/>
    <w:rsid w:val="00527AA5"/>
    <w:rsid w:val="005314D7"/>
    <w:rsid w:val="00537A10"/>
    <w:rsid w:val="00544398"/>
    <w:rsid w:val="005458D4"/>
    <w:rsid w:val="005515BD"/>
    <w:rsid w:val="005740C1"/>
    <w:rsid w:val="0059143B"/>
    <w:rsid w:val="005A570D"/>
    <w:rsid w:val="005B5886"/>
    <w:rsid w:val="005C1523"/>
    <w:rsid w:val="005E1ABB"/>
    <w:rsid w:val="00607969"/>
    <w:rsid w:val="00614FFD"/>
    <w:rsid w:val="00626A98"/>
    <w:rsid w:val="006274BB"/>
    <w:rsid w:val="00634EFA"/>
    <w:rsid w:val="00635D43"/>
    <w:rsid w:val="006367B9"/>
    <w:rsid w:val="0064180E"/>
    <w:rsid w:val="0066249C"/>
    <w:rsid w:val="0067375D"/>
    <w:rsid w:val="00676F03"/>
    <w:rsid w:val="006906AF"/>
    <w:rsid w:val="00693BA3"/>
    <w:rsid w:val="006B3F12"/>
    <w:rsid w:val="006C1B31"/>
    <w:rsid w:val="006F29FA"/>
    <w:rsid w:val="0070324C"/>
    <w:rsid w:val="0071171B"/>
    <w:rsid w:val="007120FD"/>
    <w:rsid w:val="007130E1"/>
    <w:rsid w:val="00716545"/>
    <w:rsid w:val="00717E59"/>
    <w:rsid w:val="0073796B"/>
    <w:rsid w:val="0074396D"/>
    <w:rsid w:val="00750D01"/>
    <w:rsid w:val="0075264D"/>
    <w:rsid w:val="007643A0"/>
    <w:rsid w:val="007669A3"/>
    <w:rsid w:val="00767A18"/>
    <w:rsid w:val="00781345"/>
    <w:rsid w:val="00784E57"/>
    <w:rsid w:val="00787306"/>
    <w:rsid w:val="0079749C"/>
    <w:rsid w:val="007A6460"/>
    <w:rsid w:val="007B0ADD"/>
    <w:rsid w:val="007B515F"/>
    <w:rsid w:val="007C21FB"/>
    <w:rsid w:val="007E198F"/>
    <w:rsid w:val="007E5A9A"/>
    <w:rsid w:val="007F5D6B"/>
    <w:rsid w:val="007F6EE3"/>
    <w:rsid w:val="007F6EF7"/>
    <w:rsid w:val="00801A29"/>
    <w:rsid w:val="008220A3"/>
    <w:rsid w:val="008244C0"/>
    <w:rsid w:val="008336E7"/>
    <w:rsid w:val="00836E94"/>
    <w:rsid w:val="008440DB"/>
    <w:rsid w:val="00847AD3"/>
    <w:rsid w:val="00851FE1"/>
    <w:rsid w:val="008624E8"/>
    <w:rsid w:val="0088720B"/>
    <w:rsid w:val="008A16D8"/>
    <w:rsid w:val="008B6738"/>
    <w:rsid w:val="008B7AF2"/>
    <w:rsid w:val="008C0D30"/>
    <w:rsid w:val="008C4231"/>
    <w:rsid w:val="008C4BFB"/>
    <w:rsid w:val="008D49BD"/>
    <w:rsid w:val="008F69B9"/>
    <w:rsid w:val="00905C96"/>
    <w:rsid w:val="009174DA"/>
    <w:rsid w:val="00933061"/>
    <w:rsid w:val="00933087"/>
    <w:rsid w:val="00945B27"/>
    <w:rsid w:val="009540E4"/>
    <w:rsid w:val="00974186"/>
    <w:rsid w:val="00983241"/>
    <w:rsid w:val="009900DE"/>
    <w:rsid w:val="009A41AA"/>
    <w:rsid w:val="009B3707"/>
    <w:rsid w:val="009C2C98"/>
    <w:rsid w:val="009C2D77"/>
    <w:rsid w:val="009C562E"/>
    <w:rsid w:val="009D10D1"/>
    <w:rsid w:val="009F37F4"/>
    <w:rsid w:val="009F4DB0"/>
    <w:rsid w:val="00A06971"/>
    <w:rsid w:val="00A242CE"/>
    <w:rsid w:val="00A30052"/>
    <w:rsid w:val="00A34FC4"/>
    <w:rsid w:val="00A445DF"/>
    <w:rsid w:val="00A521C4"/>
    <w:rsid w:val="00A5415F"/>
    <w:rsid w:val="00A60A37"/>
    <w:rsid w:val="00A60FBF"/>
    <w:rsid w:val="00A67305"/>
    <w:rsid w:val="00A726C3"/>
    <w:rsid w:val="00A7412B"/>
    <w:rsid w:val="00A9644D"/>
    <w:rsid w:val="00AB1DC2"/>
    <w:rsid w:val="00AD1AFD"/>
    <w:rsid w:val="00AE6CD6"/>
    <w:rsid w:val="00AF2612"/>
    <w:rsid w:val="00AF5FC8"/>
    <w:rsid w:val="00B022E5"/>
    <w:rsid w:val="00B06EAB"/>
    <w:rsid w:val="00B43836"/>
    <w:rsid w:val="00B47F61"/>
    <w:rsid w:val="00B50891"/>
    <w:rsid w:val="00B53594"/>
    <w:rsid w:val="00B602CF"/>
    <w:rsid w:val="00B60F58"/>
    <w:rsid w:val="00B70F5B"/>
    <w:rsid w:val="00B70F88"/>
    <w:rsid w:val="00B753A8"/>
    <w:rsid w:val="00B84862"/>
    <w:rsid w:val="00B903E5"/>
    <w:rsid w:val="00BA743D"/>
    <w:rsid w:val="00BB1111"/>
    <w:rsid w:val="00BB73C0"/>
    <w:rsid w:val="00BE5C43"/>
    <w:rsid w:val="00C202E4"/>
    <w:rsid w:val="00C3152B"/>
    <w:rsid w:val="00C354D9"/>
    <w:rsid w:val="00C365A8"/>
    <w:rsid w:val="00C458C2"/>
    <w:rsid w:val="00C666AC"/>
    <w:rsid w:val="00C97F7B"/>
    <w:rsid w:val="00CA5624"/>
    <w:rsid w:val="00CC3123"/>
    <w:rsid w:val="00CC3530"/>
    <w:rsid w:val="00CC37B3"/>
    <w:rsid w:val="00CE21D5"/>
    <w:rsid w:val="00CE45D7"/>
    <w:rsid w:val="00CF099E"/>
    <w:rsid w:val="00D10EB4"/>
    <w:rsid w:val="00D14EEC"/>
    <w:rsid w:val="00D22282"/>
    <w:rsid w:val="00D42266"/>
    <w:rsid w:val="00D60A92"/>
    <w:rsid w:val="00D64FA4"/>
    <w:rsid w:val="00D650E2"/>
    <w:rsid w:val="00D7373E"/>
    <w:rsid w:val="00D74A82"/>
    <w:rsid w:val="00D85532"/>
    <w:rsid w:val="00D9208E"/>
    <w:rsid w:val="00D95BC6"/>
    <w:rsid w:val="00D966FF"/>
    <w:rsid w:val="00D97B4B"/>
    <w:rsid w:val="00DA3B4D"/>
    <w:rsid w:val="00DA3BD5"/>
    <w:rsid w:val="00DA5C0D"/>
    <w:rsid w:val="00DA5D7A"/>
    <w:rsid w:val="00DB55BA"/>
    <w:rsid w:val="00DE199D"/>
    <w:rsid w:val="00DE1B54"/>
    <w:rsid w:val="00DE27BA"/>
    <w:rsid w:val="00E02AB3"/>
    <w:rsid w:val="00E05EEE"/>
    <w:rsid w:val="00E14AAE"/>
    <w:rsid w:val="00E20351"/>
    <w:rsid w:val="00E2036F"/>
    <w:rsid w:val="00E3207D"/>
    <w:rsid w:val="00E3507E"/>
    <w:rsid w:val="00E6065F"/>
    <w:rsid w:val="00E7132A"/>
    <w:rsid w:val="00E83E60"/>
    <w:rsid w:val="00E86C78"/>
    <w:rsid w:val="00E948BD"/>
    <w:rsid w:val="00EA1AF3"/>
    <w:rsid w:val="00EC012E"/>
    <w:rsid w:val="00ED2EC7"/>
    <w:rsid w:val="00EE35F8"/>
    <w:rsid w:val="00EF1263"/>
    <w:rsid w:val="00F01966"/>
    <w:rsid w:val="00F03257"/>
    <w:rsid w:val="00F20884"/>
    <w:rsid w:val="00F21123"/>
    <w:rsid w:val="00F21419"/>
    <w:rsid w:val="00F21BAD"/>
    <w:rsid w:val="00F23144"/>
    <w:rsid w:val="00F240E9"/>
    <w:rsid w:val="00F30E33"/>
    <w:rsid w:val="00F31222"/>
    <w:rsid w:val="00F462C7"/>
    <w:rsid w:val="00F754C5"/>
    <w:rsid w:val="00F92545"/>
    <w:rsid w:val="00F93A56"/>
    <w:rsid w:val="00FA792D"/>
    <w:rsid w:val="00FC2D38"/>
    <w:rsid w:val="00FC5300"/>
    <w:rsid w:val="00FD6F18"/>
    <w:rsid w:val="00FE5604"/>
    <w:rsid w:val="00FF245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48F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50D01"/>
    <w:pPr>
      <w:spacing w:after="0" w:line="260" w:lineRule="exact"/>
    </w:pPr>
    <w:rPr>
      <w:rFonts w:ascii="Arial" w:eastAsia="Times New Roman" w:hAnsi="Arial" w:cs="Times New Roman"/>
      <w:sz w:val="20"/>
      <w:szCs w:val="24"/>
    </w:rPr>
  </w:style>
  <w:style w:type="paragraph" w:styleId="Naslov1">
    <w:name w:val="heading 1"/>
    <w:basedOn w:val="Navaden"/>
    <w:next w:val="Navaden"/>
    <w:link w:val="Naslov1Znak"/>
    <w:uiPriority w:val="9"/>
    <w:qFormat/>
    <w:rsid w:val="0039662C"/>
    <w:pPr>
      <w:autoSpaceDE w:val="0"/>
      <w:autoSpaceDN w:val="0"/>
      <w:adjustRightInd w:val="0"/>
      <w:spacing w:after="240" w:line="240" w:lineRule="auto"/>
      <w:outlineLvl w:val="0"/>
    </w:pPr>
    <w:rPr>
      <w:b/>
      <w:bCs/>
      <w:sz w:val="28"/>
      <w:szCs w:val="28"/>
    </w:rPr>
  </w:style>
  <w:style w:type="paragraph" w:styleId="Naslov2">
    <w:name w:val="heading 2"/>
    <w:basedOn w:val="Navaden"/>
    <w:next w:val="Navaden"/>
    <w:link w:val="Naslov2Znak"/>
    <w:uiPriority w:val="9"/>
    <w:unhideWhenUsed/>
    <w:qFormat/>
    <w:rsid w:val="005E1ABB"/>
    <w:pPr>
      <w:autoSpaceDE w:val="0"/>
      <w:autoSpaceDN w:val="0"/>
      <w:adjustRightInd w:val="0"/>
      <w:spacing w:after="240" w:line="240" w:lineRule="auto"/>
      <w:contextualSpacing/>
      <w:outlineLvl w:val="1"/>
    </w:pPr>
    <w:rPr>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APEK-4,Header Char Char,Header Char1 Char Char,Header Char Char Char Char,Header Char1 Char Char Char Char,Header Char Char Char Char Char Char,Header Char1 Char Char Char Char Char Char,Header Char Char Char Char Char Char Char Char"/>
    <w:basedOn w:val="Navaden"/>
    <w:link w:val="GlavaZnak"/>
    <w:uiPriority w:val="99"/>
    <w:rsid w:val="00750D01"/>
    <w:pPr>
      <w:tabs>
        <w:tab w:val="center" w:pos="4320"/>
        <w:tab w:val="right" w:pos="8640"/>
      </w:tabs>
    </w:pPr>
  </w:style>
  <w:style w:type="character" w:customStyle="1" w:styleId="GlavaZnak">
    <w:name w:val="Glava Znak"/>
    <w:aliases w:val="APEK-4 Znak,Header Char Char Znak,Header Char1 Char Char Znak,Header Char Char Char Char Znak,Header Char1 Char Char Char Char Znak,Header Char Char Char Char Char Char Znak,Header Char1 Char Char Char Char Char Char Znak"/>
    <w:basedOn w:val="Privzetapisavaodstavka"/>
    <w:link w:val="Glava"/>
    <w:uiPriority w:val="99"/>
    <w:rsid w:val="00750D01"/>
    <w:rPr>
      <w:rFonts w:ascii="Arial" w:eastAsia="Times New Roman" w:hAnsi="Arial" w:cs="Times New Roman"/>
      <w:sz w:val="20"/>
      <w:szCs w:val="24"/>
    </w:rPr>
  </w:style>
  <w:style w:type="paragraph" w:styleId="Noga">
    <w:name w:val="footer"/>
    <w:basedOn w:val="Navaden"/>
    <w:link w:val="NogaZnak"/>
    <w:rsid w:val="00750D01"/>
    <w:pPr>
      <w:tabs>
        <w:tab w:val="center" w:pos="4320"/>
        <w:tab w:val="right" w:pos="8640"/>
      </w:tabs>
    </w:pPr>
  </w:style>
  <w:style w:type="character" w:customStyle="1" w:styleId="NogaZnak">
    <w:name w:val="Noga Znak"/>
    <w:basedOn w:val="Privzetapisavaodstavka"/>
    <w:link w:val="Noga"/>
    <w:rsid w:val="00750D01"/>
    <w:rPr>
      <w:rFonts w:ascii="Arial" w:eastAsia="Times New Roman" w:hAnsi="Arial" w:cs="Times New Roman"/>
      <w:sz w:val="20"/>
      <w:szCs w:val="24"/>
    </w:rPr>
  </w:style>
  <w:style w:type="character" w:styleId="tevilkastrani">
    <w:name w:val="page number"/>
    <w:basedOn w:val="Privzetapisavaodstavka"/>
    <w:rsid w:val="00750D01"/>
  </w:style>
  <w:style w:type="paragraph" w:styleId="Naslov">
    <w:name w:val="Title"/>
    <w:basedOn w:val="Navaden"/>
    <w:next w:val="Navaden"/>
    <w:link w:val="NaslovZnak"/>
    <w:uiPriority w:val="10"/>
    <w:qFormat/>
    <w:rsid w:val="009D10D1"/>
    <w:pPr>
      <w:spacing w:before="480" w:after="240" w:line="240" w:lineRule="auto"/>
      <w:contextualSpacing/>
    </w:pPr>
    <w:rPr>
      <w:rFonts w:eastAsiaTheme="majorEastAsia" w:cs="Arial"/>
      <w:spacing w:val="-10"/>
      <w:kern w:val="28"/>
      <w:szCs w:val="20"/>
    </w:rPr>
  </w:style>
  <w:style w:type="character" w:customStyle="1" w:styleId="NaslovZnak">
    <w:name w:val="Naslov Znak"/>
    <w:basedOn w:val="Privzetapisavaodstavka"/>
    <w:link w:val="Naslov"/>
    <w:uiPriority w:val="10"/>
    <w:rsid w:val="009D10D1"/>
    <w:rPr>
      <w:rFonts w:ascii="Arial" w:eastAsiaTheme="majorEastAsia" w:hAnsi="Arial" w:cs="Arial"/>
      <w:spacing w:val="-10"/>
      <w:kern w:val="28"/>
      <w:sz w:val="20"/>
      <w:szCs w:val="20"/>
    </w:rPr>
  </w:style>
  <w:style w:type="character" w:customStyle="1" w:styleId="Naslov1Znak">
    <w:name w:val="Naslov 1 Znak"/>
    <w:basedOn w:val="Privzetapisavaodstavka"/>
    <w:link w:val="Naslov1"/>
    <w:uiPriority w:val="9"/>
    <w:rsid w:val="0039662C"/>
    <w:rPr>
      <w:rFonts w:ascii="Arial" w:eastAsia="Times New Roman" w:hAnsi="Arial" w:cs="Times New Roman"/>
      <w:b/>
      <w:bCs/>
      <w:sz w:val="28"/>
      <w:szCs w:val="28"/>
    </w:rPr>
  </w:style>
  <w:style w:type="paragraph" w:customStyle="1" w:styleId="DatumSZJ">
    <w:name w:val="Datum SZJ"/>
    <w:basedOn w:val="Navaden"/>
    <w:next w:val="Navaden"/>
    <w:link w:val="DatumSZJZnak"/>
    <w:qFormat/>
    <w:rsid w:val="00A7412B"/>
    <w:pPr>
      <w:autoSpaceDE w:val="0"/>
      <w:autoSpaceDN w:val="0"/>
      <w:adjustRightInd w:val="0"/>
      <w:spacing w:after="360" w:line="240" w:lineRule="auto"/>
    </w:pPr>
  </w:style>
  <w:style w:type="character" w:customStyle="1" w:styleId="Naslov2Znak">
    <w:name w:val="Naslov 2 Znak"/>
    <w:basedOn w:val="Privzetapisavaodstavka"/>
    <w:link w:val="Naslov2"/>
    <w:uiPriority w:val="9"/>
    <w:rsid w:val="005E1ABB"/>
    <w:rPr>
      <w:rFonts w:ascii="Arial" w:eastAsia="Times New Roman" w:hAnsi="Arial" w:cs="Times New Roman"/>
      <w:b/>
      <w:bCs/>
      <w:sz w:val="20"/>
      <w:szCs w:val="24"/>
    </w:rPr>
  </w:style>
  <w:style w:type="character" w:customStyle="1" w:styleId="DatumSZJZnak">
    <w:name w:val="Datum SZJ Znak"/>
    <w:basedOn w:val="Privzetapisavaodstavka"/>
    <w:link w:val="DatumSZJ"/>
    <w:rsid w:val="00A7412B"/>
    <w:rPr>
      <w:rFonts w:ascii="Arial" w:eastAsia="Times New Roman" w:hAnsi="Arial" w:cs="Times New Roman"/>
      <w:sz w:val="20"/>
      <w:szCs w:val="24"/>
    </w:rPr>
  </w:style>
  <w:style w:type="paragraph" w:customStyle="1" w:styleId="Vir">
    <w:name w:val="Vir"/>
    <w:basedOn w:val="Navaden"/>
    <w:next w:val="Navaden"/>
    <w:link w:val="VirZnak"/>
    <w:qFormat/>
    <w:rsid w:val="00110B8F"/>
    <w:pPr>
      <w:autoSpaceDE w:val="0"/>
      <w:autoSpaceDN w:val="0"/>
      <w:adjustRightInd w:val="0"/>
      <w:spacing w:before="240" w:after="360" w:line="240" w:lineRule="auto"/>
    </w:pPr>
  </w:style>
  <w:style w:type="paragraph" w:styleId="Odstavekseznama">
    <w:name w:val="List Paragraph"/>
    <w:basedOn w:val="Navaden"/>
    <w:uiPriority w:val="34"/>
    <w:qFormat/>
    <w:rsid w:val="00203F5F"/>
    <w:pPr>
      <w:numPr>
        <w:numId w:val="1"/>
      </w:numPr>
      <w:contextualSpacing/>
    </w:pPr>
  </w:style>
  <w:style w:type="character" w:customStyle="1" w:styleId="VirZnak">
    <w:name w:val="Vir Znak"/>
    <w:basedOn w:val="Privzetapisavaodstavka"/>
    <w:link w:val="Vir"/>
    <w:rsid w:val="00110B8F"/>
    <w:rPr>
      <w:rFonts w:ascii="Arial" w:eastAsia="Times New Roman" w:hAnsi="Arial" w:cs="Times New Roman"/>
      <w:sz w:val="20"/>
      <w:szCs w:val="24"/>
    </w:rPr>
  </w:style>
  <w:style w:type="character" w:styleId="Hiperpovezava">
    <w:name w:val="Hyperlink"/>
    <w:basedOn w:val="Privzetapisavaodstavka"/>
    <w:uiPriority w:val="99"/>
    <w:unhideWhenUsed/>
    <w:rsid w:val="0074396D"/>
    <w:rPr>
      <w:color w:val="0563C1" w:themeColor="hyperlink"/>
      <w:u w:val="single"/>
    </w:rPr>
  </w:style>
  <w:style w:type="paragraph" w:styleId="Golobesedilo">
    <w:name w:val="Plain Text"/>
    <w:basedOn w:val="Navaden"/>
    <w:link w:val="GolobesediloZnak"/>
    <w:uiPriority w:val="99"/>
    <w:unhideWhenUsed/>
    <w:rsid w:val="0074396D"/>
    <w:pPr>
      <w:spacing w:line="240" w:lineRule="auto"/>
    </w:pPr>
    <w:rPr>
      <w:rFonts w:ascii="Calibri" w:eastAsiaTheme="minorHAnsi" w:hAnsi="Calibri" w:cs="Calibri"/>
      <w:sz w:val="22"/>
      <w:szCs w:val="22"/>
    </w:rPr>
  </w:style>
  <w:style w:type="character" w:customStyle="1" w:styleId="GolobesediloZnak">
    <w:name w:val="Golo besedilo Znak"/>
    <w:basedOn w:val="Privzetapisavaodstavka"/>
    <w:link w:val="Golobesedilo"/>
    <w:uiPriority w:val="99"/>
    <w:rsid w:val="0074396D"/>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808705">
      <w:bodyDiv w:val="1"/>
      <w:marLeft w:val="0"/>
      <w:marRight w:val="0"/>
      <w:marTop w:val="0"/>
      <w:marBottom w:val="0"/>
      <w:divBdr>
        <w:top w:val="none" w:sz="0" w:space="0" w:color="auto"/>
        <w:left w:val="none" w:sz="0" w:space="0" w:color="auto"/>
        <w:bottom w:val="none" w:sz="0" w:space="0" w:color="auto"/>
        <w:right w:val="none" w:sz="0" w:space="0" w:color="auto"/>
      </w:divBdr>
    </w:div>
    <w:div w:id="2100175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si/novice/2025-12-19-slovenija-oddala-peti-zahtevek-za-placilo-sredstev-iz-mehanizma-za-okrevanje-in-odpornos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Standard 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5D5117429E6D7418C58FC90322A8638" ma:contentTypeVersion="3" ma:contentTypeDescription="Create a new document." ma:contentTypeScope="" ma:versionID="af7836002ab36a4cf9d574b9cf62edcf">
  <xsd:schema xmlns:xsd="http://www.w3.org/2001/XMLSchema" xmlns:xs="http://www.w3.org/2001/XMLSchema" xmlns:p="http://schemas.microsoft.com/office/2006/metadata/properties" xmlns:ns3="eb582466-1b59-4d29-8755-2962c9164f84" targetNamespace="http://schemas.microsoft.com/office/2006/metadata/properties" ma:root="true" ma:fieldsID="8f3c0790d4e523edad3a139ab2c0a08f" ns3:_="">
    <xsd:import namespace="eb582466-1b59-4d29-8755-2962c9164f84"/>
    <xsd:element name="properties">
      <xsd:complexType>
        <xsd:sequence>
          <xsd:element name="documentManagement">
            <xsd:complexType>
              <xsd:all>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582466-1b59-4d29-8755-2962c9164f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4DDD5E-BF2A-42E4-BF83-F29C09BA9F1D}">
  <ds:schemaRefs>
    <ds:schemaRef ds:uri="http://schemas.microsoft.com/sharepoint/v3/contenttype/forms"/>
  </ds:schemaRefs>
</ds:datastoreItem>
</file>

<file path=customXml/itemProps2.xml><?xml version="1.0" encoding="utf-8"?>
<ds:datastoreItem xmlns:ds="http://schemas.openxmlformats.org/officeDocument/2006/customXml" ds:itemID="{2C695D88-41D0-4D94-8F20-06CCAE564D2D}">
  <ds:schemaRefs>
    <ds:schemaRef ds:uri="eb582466-1b59-4d29-8755-2962c9164f84"/>
    <ds:schemaRef ds:uri="http://schemas.openxmlformats.org/package/2006/metadata/core-properties"/>
    <ds:schemaRef ds:uri="http://www.w3.org/XML/1998/namespace"/>
    <ds:schemaRef ds:uri="http://purl.org/dc/terms/"/>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0CA01A8C-74B0-4B71-BCE1-F6503D59E079}">
  <ds:schemaRefs>
    <ds:schemaRef ds:uri="http://schemas.openxmlformats.org/officeDocument/2006/bibliography"/>
  </ds:schemaRefs>
</ds:datastoreItem>
</file>

<file path=customXml/itemProps4.xml><?xml version="1.0" encoding="utf-8"?>
<ds:datastoreItem xmlns:ds="http://schemas.openxmlformats.org/officeDocument/2006/customXml" ds:itemID="{6B5584C5-23D0-42C4-903E-C12EFBD15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582466-1b59-4d29-8755-2962c9164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3549</Words>
  <Characters>20233</Characters>
  <Application>Microsoft Office Word</Application>
  <DocSecurity>0</DocSecurity>
  <Lines>168</Lines>
  <Paragraphs>47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2026-02-16T15:28:00Z</dcterms:created>
  <dcterms:modified xsi:type="dcterms:W3CDTF">2026-02-17T12:48:00Z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0x010100E5D5117429E6D7418C58FC90322A8638</vt:lpwstr>
  </property>
</Properties>
</file>