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7CD05821" w:rsidR="0073796B" w:rsidRPr="0039662C" w:rsidRDefault="00D74A82" w:rsidP="0039662C">
      <w:pPr>
        <w:pStyle w:val="Naslov1"/>
      </w:pPr>
      <w:r>
        <w:t>1</w:t>
      </w:r>
      <w:r w:rsidR="00CC3530">
        <w:t>9</w:t>
      </w:r>
      <w:r w:rsidR="00EA1AF3">
        <w:t>1</w:t>
      </w:r>
      <w:r w:rsidR="0073796B" w:rsidRPr="0039662C">
        <w:t xml:space="preserve">. </w:t>
      </w:r>
      <w:r>
        <w:t>red</w:t>
      </w:r>
      <w:r w:rsidR="00F03257">
        <w:t xml:space="preserve">na </w:t>
      </w:r>
      <w:r w:rsidR="0073796B" w:rsidRPr="0039662C">
        <w:t>seja Vlade Republike Slovenije</w:t>
      </w:r>
    </w:p>
    <w:p w14:paraId="27F30B92" w14:textId="104CF7F6" w:rsidR="0073796B" w:rsidRDefault="00EA1AF3" w:rsidP="008B7AF2">
      <w:pPr>
        <w:pStyle w:val="DatumSZJ"/>
      </w:pPr>
      <w:r>
        <w:t>10</w:t>
      </w:r>
      <w:r w:rsidR="002856E5">
        <w:t>.</w:t>
      </w:r>
      <w:r w:rsidR="008220A3">
        <w:t xml:space="preserve"> </w:t>
      </w:r>
      <w:r w:rsidR="00CC3530">
        <w:t>febr</w:t>
      </w:r>
      <w:r w:rsidR="00F03257">
        <w:t>uar</w:t>
      </w:r>
      <w:r w:rsidR="00DA3B4D">
        <w:t xml:space="preserve"> </w:t>
      </w:r>
      <w:r w:rsidR="0073796B" w:rsidRPr="008B7AF2">
        <w:t>202</w:t>
      </w:r>
      <w:r w:rsidR="00F03257">
        <w:t>6</w:t>
      </w:r>
    </w:p>
    <w:p w14:paraId="75881B05" w14:textId="7B821474" w:rsidR="003B3A10" w:rsidRDefault="004D5838" w:rsidP="004D5838">
      <w:pPr>
        <w:pStyle w:val="Naslov2"/>
      </w:pPr>
      <w:r>
        <w:t>U</w:t>
      </w:r>
      <w:r w:rsidR="003B3A10">
        <w:t>redb</w:t>
      </w:r>
      <w:r>
        <w:t>a</w:t>
      </w:r>
      <w:r w:rsidR="003B3A10">
        <w:t xml:space="preserve"> o rudarski pravici za izkoriščanje mineralne surovine tehnični kamen dolomit v občini Sodražica</w:t>
      </w:r>
    </w:p>
    <w:p w14:paraId="73CD0311" w14:textId="4E3D0FC3" w:rsidR="004D5838" w:rsidRDefault="004D5838" w:rsidP="004D5838">
      <w:r>
        <w:t xml:space="preserve">Vlada je izdala Uredbo o rudarski pravici za izkoriščanje mineralne surovine tehnični kamen dolomit v pridobivalnem prostoru </w:t>
      </w:r>
      <w:proofErr w:type="gramStart"/>
      <w:r>
        <w:t>Mala gora</w:t>
      </w:r>
      <w:proofErr w:type="gramEnd"/>
      <w:r>
        <w:t xml:space="preserve"> 3 v občini Sodražica. Ministrstvo za naravne vire in prostor vladi predlagalo, da podeli rudarsko pravico za izkoriščanje mineralne surovine v pridobivalnem prostoru </w:t>
      </w:r>
      <w:proofErr w:type="gramStart"/>
      <w:r>
        <w:t>Mala gora</w:t>
      </w:r>
      <w:proofErr w:type="gramEnd"/>
      <w:r>
        <w:t xml:space="preserve"> 3 v občini Sodražica. Predmet rudarske pravice je izkoriščanje mineralne surovine tehnični kamen dolomit. Pridobivalni prostor </w:t>
      </w:r>
      <w:proofErr w:type="gramStart"/>
      <w:r>
        <w:t>Mala gora</w:t>
      </w:r>
      <w:proofErr w:type="gramEnd"/>
      <w:r>
        <w:t xml:space="preserve"> 3 je nov pridobivalni prostor, ki zajema pretežni del pridobivalnega prostora Mala gora 2.</w:t>
      </w:r>
    </w:p>
    <w:p w14:paraId="74D4118E" w14:textId="77777777" w:rsidR="004D5838" w:rsidRPr="004D5838" w:rsidRDefault="004D5838" w:rsidP="004D5838">
      <w:pPr>
        <w:pStyle w:val="Vir"/>
        <w:rPr>
          <w:rStyle w:val="VirZnak"/>
        </w:rPr>
      </w:pPr>
      <w:r w:rsidRPr="004D5838">
        <w:t>Vir: Ministrstvo za naravne vire in prostor</w:t>
      </w:r>
    </w:p>
    <w:p w14:paraId="5FA3C3CE" w14:textId="007492F3" w:rsidR="003B3A10" w:rsidRDefault="004D5838" w:rsidP="004D5838">
      <w:pPr>
        <w:pStyle w:val="Naslov2"/>
      </w:pPr>
      <w:r>
        <w:t>Uredba</w:t>
      </w:r>
      <w:r w:rsidR="003B3A10">
        <w:t xml:space="preserve"> o rudarski pravici za izkoriščanje mineralne surovine roženec v občini Mirna</w:t>
      </w:r>
    </w:p>
    <w:p w14:paraId="7664CA66" w14:textId="45F5E391" w:rsidR="004D5838" w:rsidRDefault="004D5838" w:rsidP="004D5838">
      <w:r>
        <w:t xml:space="preserve">Vlada je izdala Uredbo o rudarski pravici za izkoriščanje mineralne surovine roženec v pridobivalnem prostoru </w:t>
      </w:r>
      <w:proofErr w:type="spellStart"/>
      <w:r>
        <w:t>Jersovec</w:t>
      </w:r>
      <w:proofErr w:type="spellEnd"/>
      <w:r>
        <w:t xml:space="preserve"> </w:t>
      </w:r>
      <w:proofErr w:type="spellStart"/>
      <w:r>
        <w:t>IIb</w:t>
      </w:r>
      <w:proofErr w:type="spellEnd"/>
      <w:r>
        <w:t xml:space="preserve"> v občini Mirna.</w:t>
      </w:r>
    </w:p>
    <w:p w14:paraId="13B59F6C" w14:textId="77777777" w:rsidR="004D5838" w:rsidRDefault="004D5838" w:rsidP="004D5838"/>
    <w:p w14:paraId="5493F006" w14:textId="47530BA7" w:rsidR="004D5838" w:rsidRDefault="004D5838" w:rsidP="004D5838">
      <w:r>
        <w:t xml:space="preserve">Ministrstvo za naravne vire in prostor je vladi predlagalo, da podeli rudarsko pravico za izkoriščanje mineralne surovine v pridobivalnem prostoru </w:t>
      </w:r>
      <w:proofErr w:type="spellStart"/>
      <w:r>
        <w:t>Jersovec</w:t>
      </w:r>
      <w:proofErr w:type="spellEnd"/>
      <w:r>
        <w:t xml:space="preserve"> </w:t>
      </w:r>
      <w:proofErr w:type="spellStart"/>
      <w:r>
        <w:t>IIb</w:t>
      </w:r>
      <w:proofErr w:type="spellEnd"/>
      <w:r>
        <w:t xml:space="preserve"> v občini Mirna. Predmet rudarske pravice je izkoriščanje mineralne surovine roženec. Pridobivalni prostor </w:t>
      </w:r>
      <w:proofErr w:type="spellStart"/>
      <w:r>
        <w:t>Jersovec</w:t>
      </w:r>
      <w:proofErr w:type="spellEnd"/>
      <w:r>
        <w:t xml:space="preserve"> </w:t>
      </w:r>
      <w:proofErr w:type="spellStart"/>
      <w:r>
        <w:t>IIb</w:t>
      </w:r>
      <w:proofErr w:type="spellEnd"/>
      <w:r>
        <w:t xml:space="preserve"> pomeni širitev pridobivalnega prostora </w:t>
      </w:r>
      <w:proofErr w:type="spellStart"/>
      <w:r>
        <w:t>Jersovec</w:t>
      </w:r>
      <w:proofErr w:type="spellEnd"/>
      <w:r>
        <w:t xml:space="preserve"> II.</w:t>
      </w:r>
    </w:p>
    <w:p w14:paraId="289B98E5" w14:textId="53BC1990" w:rsidR="003B3A10" w:rsidRDefault="004D5838" w:rsidP="004D5838">
      <w:pPr>
        <w:pStyle w:val="Vir"/>
      </w:pPr>
      <w:r w:rsidRPr="004D5838">
        <w:t>Vir: Ministrstvo za naravne vire in prostor</w:t>
      </w:r>
    </w:p>
    <w:p w14:paraId="74454D13" w14:textId="3F54729D" w:rsidR="003B3A10" w:rsidRDefault="00051DF6" w:rsidP="004D5838">
      <w:pPr>
        <w:pStyle w:val="Naslov2"/>
      </w:pPr>
      <w:r>
        <w:t>S</w:t>
      </w:r>
      <w:r w:rsidR="003B3A10">
        <w:t>prememb</w:t>
      </w:r>
      <w:r>
        <w:t>a</w:t>
      </w:r>
      <w:r w:rsidR="003B3A10">
        <w:t xml:space="preserve"> Uredbe o podelitvi rudarske pravice za izkoriščanje mineralne surovine tehnični kamen – dolomit v občini Rečica ob Savinji</w:t>
      </w:r>
    </w:p>
    <w:p w14:paraId="13B138D2" w14:textId="50D46679" w:rsidR="00051DF6" w:rsidRDefault="00051DF6" w:rsidP="00051DF6">
      <w:r>
        <w:t xml:space="preserve">Vlada je izdala Uredbo o spremembi Uredbe o rudarski pravici za izkoriščanje mineralne surovine tehnični kamen dolomit v pridobivalnem prostoru Poljane 2 v občini Rečica ob Savinji. Ministrstvo za naravne vire in prostor je vladi predlagalo, da podeli rudarsko pravico za izkoriščanje mineralne surovine v pridobivalnem prostoru Poljane 2 v občini Rečica ob Savinji. Predmet rudarske pravice je izkoriščanje mineralne surovine tehnični kamen dolomit. </w:t>
      </w:r>
    </w:p>
    <w:p w14:paraId="18A4EE2A" w14:textId="77777777" w:rsidR="00166315" w:rsidRDefault="00166315" w:rsidP="00051DF6">
      <w:pPr>
        <w:jc w:val="both"/>
        <w:rPr>
          <w:rFonts w:cs="Arial"/>
          <w:szCs w:val="20"/>
        </w:rPr>
      </w:pPr>
    </w:p>
    <w:p w14:paraId="0FB50129" w14:textId="6F5485FB" w:rsidR="00051DF6" w:rsidRDefault="00051DF6" w:rsidP="00051DF6">
      <w:pPr>
        <w:jc w:val="both"/>
        <w:rPr>
          <w:rFonts w:cs="Arial"/>
          <w:szCs w:val="20"/>
        </w:rPr>
      </w:pPr>
      <w:r>
        <w:rPr>
          <w:rFonts w:cs="Arial"/>
          <w:szCs w:val="20"/>
        </w:rPr>
        <w:t>V postopku podelitve koncesije, pred sklenitvijo koncesijske pogodbe, je bilo ugotovljeno, da določba uredbe, ki določa rok trajanja koncesije, ni ustrezna. V uredbi je namreč v sedmem odstavku 9. člena določeno, da se koncesija za izkoriščanje podeli za deset let in da se podaljšanje koncesije in rudarske pravice lahko izvede pod pogoji, ki jih določa Zakon o rudarstvu. Ugotovljeno je bilo, da občinski dokument urejanja prostora na tem območju</w:t>
      </w:r>
      <w:proofErr w:type="gramStart"/>
      <w:r>
        <w:rPr>
          <w:rFonts w:cs="Arial"/>
          <w:szCs w:val="20"/>
        </w:rPr>
        <w:t xml:space="preserve"> in</w:t>
      </w:r>
      <w:proofErr w:type="gramEnd"/>
      <w:r>
        <w:rPr>
          <w:rFonts w:cs="Arial"/>
          <w:szCs w:val="20"/>
        </w:rPr>
        <w:t xml:space="preserve"> sicer Občinski podrobni prostorski načrt Tišlerjev </w:t>
      </w:r>
      <w:proofErr w:type="spellStart"/>
      <w:r>
        <w:rPr>
          <w:rFonts w:cs="Arial"/>
          <w:szCs w:val="20"/>
        </w:rPr>
        <w:t>pruh</w:t>
      </w:r>
      <w:proofErr w:type="spellEnd"/>
      <w:r>
        <w:rPr>
          <w:rFonts w:cs="Arial"/>
          <w:szCs w:val="20"/>
        </w:rPr>
        <w:t xml:space="preserve"> v tretjem odstavku 7. člena določa, da se izkoriščanje mineralne surovine zaključi najkasneje do konca leta 2032. Ker 48. člen ZRud-1 določa, da čas veljavnosti rudarske pravice začne teči z dnem, ko koncesijsko pogodbo podpišeta obe pogodbeni stranki, določba v uredbi o desetletnem trajanju koncesije ni ustrezna in skladna z občinskim podrobnim prostorskim načrtom. Iz tega razloga se predlaga sprememba uredbe in njena uskladitev z dokumentom urejanja prostora – občinskim podrobnim prostorskim načrtom.</w:t>
      </w:r>
    </w:p>
    <w:p w14:paraId="78658145" w14:textId="10DD79F4" w:rsidR="00051DF6" w:rsidRPr="00051DF6" w:rsidRDefault="00051DF6" w:rsidP="00051DF6">
      <w:pPr>
        <w:pStyle w:val="Vir"/>
        <w:rPr>
          <w:rStyle w:val="VirZnak"/>
        </w:rPr>
      </w:pPr>
      <w:r>
        <w:lastRenderedPageBreak/>
        <w:t>Vir: Ministrstvo za naravne vire in prostor</w:t>
      </w:r>
    </w:p>
    <w:p w14:paraId="2ECD0444" w14:textId="5E979F32" w:rsidR="003B3A10" w:rsidRDefault="00B25538" w:rsidP="004F5771">
      <w:pPr>
        <w:pStyle w:val="Naslov2"/>
      </w:pPr>
      <w:r>
        <w:t>S</w:t>
      </w:r>
      <w:r w:rsidR="003B3A10">
        <w:t>prememb</w:t>
      </w:r>
      <w:r>
        <w:t xml:space="preserve">e </w:t>
      </w:r>
      <w:r w:rsidR="003B3A10">
        <w:t>Odloka o ustanovitvi Generalnega sekretariata Vlade Republike Slovenije</w:t>
      </w:r>
    </w:p>
    <w:p w14:paraId="743EC922" w14:textId="703489BC" w:rsidR="00B25538" w:rsidRDefault="00B25538" w:rsidP="00B25538">
      <w:r>
        <w:t>Vlada Republike Slovenije je na današnji seji izdala Odlok o spremembah Odloka o ustanovitvi Generalnega sekretariata Vlade Republike Slovenije.</w:t>
      </w:r>
    </w:p>
    <w:p w14:paraId="27B71131" w14:textId="77777777" w:rsidR="00B25538" w:rsidRDefault="00B25538" w:rsidP="00B25538"/>
    <w:p w14:paraId="351B57BF" w14:textId="77777777" w:rsidR="00B25538" w:rsidRDefault="00B25538" w:rsidP="00B25538">
      <w:r>
        <w:t xml:space="preserve">S spremembo Odloka o ustanovitvi Generalnega sekretariata Vlade Republike Slovenije se med naloge Generalnega sekretariata Vlade Republike Slovenije doda izvajanje nalog Klicnega </w:t>
      </w:r>
      <w:proofErr w:type="gramStart"/>
      <w:r>
        <w:t>centra</w:t>
      </w:r>
      <w:proofErr w:type="gramEnd"/>
      <w:r>
        <w:t xml:space="preserve"> 114 za informiranje državljanov.</w:t>
      </w:r>
    </w:p>
    <w:p w14:paraId="75021725" w14:textId="77777777" w:rsidR="00B25538" w:rsidRDefault="00B25538" w:rsidP="00B25538"/>
    <w:p w14:paraId="6C3EE1B2" w14:textId="77777777" w:rsidR="00B25538" w:rsidRDefault="00B25538" w:rsidP="00B25538">
      <w:r>
        <w:t xml:space="preserve">Klicni </w:t>
      </w:r>
      <w:proofErr w:type="gramStart"/>
      <w:r>
        <w:t>center</w:t>
      </w:r>
      <w:proofErr w:type="gramEnd"/>
      <w:r>
        <w:t xml:space="preserve"> 114 na podlagi sklepa Vlade Republike Slovenije od 6. septembra 2023 deluje kot projektna skupina, vzpostavljena kot hitri odziv na izredne razmere po poplavah avgusta 2023. Med delovanjem se je izkazalo, da pomeni glavno državno kontaktno točko za informiranje državljanov, ki omogoča neposredni dostop do informacij o ukrepih države, postopkih in storitvah javne uprave. </w:t>
      </w:r>
    </w:p>
    <w:p w14:paraId="43656239" w14:textId="77777777" w:rsidR="00B25538" w:rsidRDefault="00B25538" w:rsidP="00B25538"/>
    <w:p w14:paraId="23760897" w14:textId="77777777" w:rsidR="00B25538" w:rsidRDefault="00B25538" w:rsidP="00B25538">
      <w:r>
        <w:t xml:space="preserve">V okviru delovanja klicnega </w:t>
      </w:r>
      <w:proofErr w:type="gramStart"/>
      <w:r>
        <w:t>centra</w:t>
      </w:r>
      <w:proofErr w:type="gramEnd"/>
      <w:r>
        <w:t xml:space="preserve"> 114 so državljanom na voljo preverjene, zanesljive in usklajene informacije, ki jih v okviru svojih pristojnosti zagotavljajo ministrstva, vladne službe in drugi državni organi. Informacije se sporočajo na enoten, razumljiv in praktično usmerjen način z namenom pomoči posameznikom pri uveljavljanju pravic, izpolnjevanju obveznosti in razumevanju postopkov. Klicni </w:t>
      </w:r>
      <w:proofErr w:type="gramStart"/>
      <w:r>
        <w:t>center</w:t>
      </w:r>
      <w:proofErr w:type="gramEnd"/>
      <w:r>
        <w:t xml:space="preserve"> 114 državljanom zagotavlja informacije z več področij, predvsem o veljavnih državnih ukrepih, reformah in drugih temah v pristojnosti države, pri čemer deluje kot enotna kontaktna točka, ki državljanom omogoča pridobivanje celovitih informacij ne glede na vsebinsko področje ali pristojni organ ter zmanjšuje potrebo po iskanju informacij pri posameznih organih. </w:t>
      </w:r>
    </w:p>
    <w:p w14:paraId="02344135" w14:textId="77777777" w:rsidR="00B25538" w:rsidRDefault="00B25538" w:rsidP="00B25538"/>
    <w:p w14:paraId="29B63225" w14:textId="77777777" w:rsidR="00B25538" w:rsidRDefault="00B25538" w:rsidP="00B25538">
      <w:r>
        <w:t xml:space="preserve">Kakor kažejo izkušnje, ta funkcija presega okvir začasne ali projektne organiziranosti in pomeni stalno podporno infrastrukturo za izvajanje nalog državne uprave na področju informiranja prebivalstva, ki razbremenjuje ministrstva in druge organe neposrednega odgovarjanja na individualne poizvedbe državljanov. Na podlagi navedenega se ugotavlja, da je izvajanje nalog klicnega </w:t>
      </w:r>
      <w:proofErr w:type="gramStart"/>
      <w:r>
        <w:t>centra</w:t>
      </w:r>
      <w:proofErr w:type="gramEnd"/>
      <w:r>
        <w:t xml:space="preserve"> 114 smiselno organizacijsko trajneje urediti, pri čemer je glede na vsebino nalog in njihovo naravo utemeljena umestitev v Generalni sekretariat Vlade Republike Slovenije. </w:t>
      </w:r>
    </w:p>
    <w:p w14:paraId="4DAE8F82" w14:textId="77777777" w:rsidR="00B25538" w:rsidRDefault="00B25538" w:rsidP="00B25538"/>
    <w:p w14:paraId="3CC44572" w14:textId="77777777" w:rsidR="00B25538" w:rsidRDefault="00B25538" w:rsidP="00B25538">
      <w:r>
        <w:t xml:space="preserve">Spremembe odloka tako zagotavljajo trajnejšo, organizacijsko jasno in operativno učinkovito ureditev klicnega </w:t>
      </w:r>
      <w:proofErr w:type="gramStart"/>
      <w:r>
        <w:t>centra</w:t>
      </w:r>
      <w:proofErr w:type="gramEnd"/>
      <w:r>
        <w:t xml:space="preserve"> 114, ki se je v praksi izkazal kot pomemben del sodobnega delovanja državne uprave na področju informiranja državljanov. S tem se zagotovijo jasna organizacijska ureditev in razmejitev odgovornosti, neprekinjenost izvajanja nalog ter učinkovito in prožno sodelovanje z ministrstvi in vladnimi službami, posebej ob povečanem obsegu dela ali izrednih dogodkih.</w:t>
      </w:r>
    </w:p>
    <w:p w14:paraId="50A8EA60" w14:textId="77777777" w:rsidR="00B25538" w:rsidRDefault="00B25538" w:rsidP="00B25538"/>
    <w:p w14:paraId="7B34350C" w14:textId="1120DB90" w:rsidR="00B25538" w:rsidRDefault="00B25538" w:rsidP="00B25538">
      <w:r>
        <w:t>Spremembe odloka so potrebne tudi zaradi uskladitve z Zakonom o Vladi Republike Slovenije, ki po novem določa, da ima generalni sekretar vlade največ dva namestnika, ki generalnega sekretarja vlade nadomeščata pri opravljanju posameznih njegovih nalog. Na predlog generalnega sekretarja vlade njegova namestnika imenuje in razrešuje vlada. Namestniku generalnega sekretarja vlade preneha funkcija z razrešitvijo, odstopom ali prenehanjem funkcije generalnega sekretarja vlade.</w:t>
      </w:r>
    </w:p>
    <w:p w14:paraId="1CE3F4D6" w14:textId="2B693319" w:rsidR="00B25538" w:rsidRDefault="00B25538" w:rsidP="00B25538">
      <w:pPr>
        <w:pStyle w:val="Vir"/>
      </w:pPr>
      <w:r w:rsidRPr="00B25538">
        <w:t>Vir: Generalni sekretariat vlade</w:t>
      </w:r>
    </w:p>
    <w:p w14:paraId="26B6D183" w14:textId="427914D5" w:rsidR="0011446B" w:rsidRDefault="0011446B" w:rsidP="0011446B">
      <w:pPr>
        <w:pStyle w:val="Naslov2"/>
      </w:pPr>
      <w:r>
        <w:t xml:space="preserve">Vlada izdala Uredbo o spremembah in dopolnitvah Uredbe o </w:t>
      </w:r>
      <w:proofErr w:type="gramStart"/>
      <w:r>
        <w:t>kriterijih</w:t>
      </w:r>
      <w:proofErr w:type="gramEnd"/>
      <w:r>
        <w:t xml:space="preserve"> za razporejanje državljanov</w:t>
      </w:r>
    </w:p>
    <w:p w14:paraId="123755D7" w14:textId="77777777" w:rsidR="0011446B" w:rsidRDefault="0011446B" w:rsidP="0011446B">
      <w:r>
        <w:t xml:space="preserve">Vlada Republike Slovenije je na današnji seji izdala Uredbo o spremembah in dopolnitvah Uredbe o </w:t>
      </w:r>
      <w:proofErr w:type="gramStart"/>
      <w:r>
        <w:t>kriterijih</w:t>
      </w:r>
      <w:proofErr w:type="gramEnd"/>
      <w:r>
        <w:t xml:space="preserve"> za razporejanje državljanov. Objavljena bo v Uradnem listu Republike Slovenije.</w:t>
      </w:r>
    </w:p>
    <w:p w14:paraId="6FE4C277" w14:textId="77777777" w:rsidR="0011446B" w:rsidRDefault="0011446B" w:rsidP="0011446B"/>
    <w:p w14:paraId="36053343" w14:textId="77777777" w:rsidR="0011446B" w:rsidRDefault="0011446B" w:rsidP="0011446B">
      <w:r>
        <w:lastRenderedPageBreak/>
        <w:t xml:space="preserve">Z uredbo se uvajajo nekatere nove rešitve, ki omogočajo učinkovitejše razporejanje državljanov na obrambne dolžnosti oziroma v Civilno zaščito. Med drugim se rešitev, ki je </w:t>
      </w:r>
      <w:proofErr w:type="gramStart"/>
      <w:r>
        <w:t>do sedaj</w:t>
      </w:r>
      <w:proofErr w:type="gramEnd"/>
      <w:r>
        <w:t xml:space="preserve"> omogočala razporeditev na delovno dolžnost državljanov, zaposlenih pri zunanjih izvajalcih storitev, le v gospodarski družbi, zavodu ali organizaciji, ki izdelujejo obrambni načrt, širi na vse nosilce obrambnega načrtovanja (ministrstva, vladne službe, gospodarske družbe, zavodi in organizacije, katerih dejavnost je posebnega pomena za obrambno, banka Slovenije, upravne enote in občine). </w:t>
      </w:r>
    </w:p>
    <w:p w14:paraId="008C57B4" w14:textId="77777777" w:rsidR="0011446B" w:rsidRDefault="0011446B" w:rsidP="0011446B"/>
    <w:p w14:paraId="230D3702" w14:textId="77777777" w:rsidR="0011446B" w:rsidRDefault="0011446B" w:rsidP="0011446B">
      <w:r>
        <w:t xml:space="preserve">Z vključevanjem navedene kategorije državljanov v izvajanje prednostnih nalog nosilcev obrambnega načrtovanja bo omogočeno njihovo neprekinjeno delovanje v vojnem ali izrednem stanju. Z istim namenom se urejajo tudi dvojni razporedi pri vseh nosilcih obrambnega načrtovanja. </w:t>
      </w:r>
    </w:p>
    <w:p w14:paraId="4D041E6B" w14:textId="77777777" w:rsidR="0011446B" w:rsidRDefault="0011446B" w:rsidP="0011446B"/>
    <w:p w14:paraId="320FDA48" w14:textId="77777777" w:rsidR="0011446B" w:rsidRDefault="0011446B" w:rsidP="0011446B">
      <w:r>
        <w:t>Skladno z izhodišči pravne ureditve na področju varstva pred naravnimi in drugimi nesrečami se ustrezneje opredeljuje in deloma razširja krog državljanov, ki se</w:t>
      </w:r>
      <w:proofErr w:type="gramStart"/>
      <w:r>
        <w:t xml:space="preserve"> jih</w:t>
      </w:r>
      <w:proofErr w:type="gramEnd"/>
      <w:r>
        <w:t xml:space="preserve"> ne razporeja na obrambne dolžnosti zaradi opravljanja njihovih dolžnosti ali nalog v Civilni zaščiti oziroma na področju zaščite, reševanja in pomoči. </w:t>
      </w:r>
    </w:p>
    <w:p w14:paraId="2535D16D" w14:textId="77777777" w:rsidR="0011446B" w:rsidRDefault="0011446B" w:rsidP="0011446B"/>
    <w:p w14:paraId="1CB01133" w14:textId="77777777" w:rsidR="0011446B" w:rsidRDefault="0011446B" w:rsidP="0011446B">
      <w:r>
        <w:t xml:space="preserve">Na preglednejši način se ureja prednostno razporejanje na delovno dolžnost vojaškega obveznika, če je vodja (direktor) ali namestnik vodje priprav civilne obrambe oziroma če je imenovan za upravitelja ali namestnika upravitelja obrambnega načrta ali obrambnih dokumentov. </w:t>
      </w:r>
    </w:p>
    <w:p w14:paraId="299099C3" w14:textId="77777777" w:rsidR="0011446B" w:rsidRDefault="0011446B" w:rsidP="0011446B"/>
    <w:p w14:paraId="62191E4A" w14:textId="2B678537" w:rsidR="003B3A10" w:rsidRDefault="0011446B" w:rsidP="0011446B">
      <w:r>
        <w:t>Učinkoviteje se določijo tudi postopki pozivanja za izvajanje delovne dolžnosti.</w:t>
      </w:r>
    </w:p>
    <w:p w14:paraId="78ABDD50" w14:textId="3FBF596A" w:rsidR="003B3A10" w:rsidRDefault="0011446B" w:rsidP="0011446B">
      <w:pPr>
        <w:pStyle w:val="Vir"/>
      </w:pPr>
      <w:r>
        <w:t>Vir: Ministrstvo za obrambo</w:t>
      </w:r>
    </w:p>
    <w:p w14:paraId="6D9FB9E8" w14:textId="6E45D892" w:rsidR="0011446B" w:rsidRDefault="0011446B" w:rsidP="0011446B">
      <w:pPr>
        <w:pStyle w:val="Naslov2"/>
      </w:pPr>
      <w:r>
        <w:t>Vlada sprejela Strategijo za odpornost kritičnih subjektov</w:t>
      </w:r>
    </w:p>
    <w:p w14:paraId="6E84AA41" w14:textId="77777777" w:rsidR="0011446B" w:rsidRDefault="0011446B" w:rsidP="0011446B">
      <w:r>
        <w:t xml:space="preserve">Vlada Republike Slovenije je na današnji seji sprejela Strategijo za odpornost kritičnih subjektov. Z uveljavitvijo novega Zakona o </w:t>
      </w:r>
      <w:proofErr w:type="gramStart"/>
      <w:r>
        <w:t>kritični infrastrukturi</w:t>
      </w:r>
      <w:proofErr w:type="gramEnd"/>
      <w:r>
        <w:t xml:space="preserve"> se je spremenil tudi način določanja kritičnih subjektov, ki opravljajo bistvene storitve. Osnovni dokument, na katerem temelji zagotavljanje </w:t>
      </w:r>
      <w:proofErr w:type="gramStart"/>
      <w:r>
        <w:t xml:space="preserve">odpornosti  </w:t>
      </w:r>
      <w:proofErr w:type="gramEnd"/>
      <w:r>
        <w:t xml:space="preserve">kritičnih subjektov, je Strategija za odpornost kritičnih subjektov (strategija), ki jo sprejme Vlada RS. Strategija predstavlja strateški okvir za celovit pristop h krepitvi odpornosti kritičnih subjektov ter podlago za krepitev odpornosti </w:t>
      </w:r>
      <w:proofErr w:type="gramStart"/>
      <w:r>
        <w:t>kritične infrastrukture</w:t>
      </w:r>
      <w:proofErr w:type="gramEnd"/>
      <w:r>
        <w:t xml:space="preserve"> Republike Slovenije. </w:t>
      </w:r>
    </w:p>
    <w:p w14:paraId="7284703A" w14:textId="77777777" w:rsidR="0011446B" w:rsidRDefault="0011446B" w:rsidP="0011446B"/>
    <w:p w14:paraId="5DD26192" w14:textId="77777777" w:rsidR="0011446B" w:rsidRDefault="0011446B" w:rsidP="0011446B">
      <w:r>
        <w:t xml:space="preserve">Pripravljena je na podlagi 5. člena Zakona o </w:t>
      </w:r>
      <w:proofErr w:type="gramStart"/>
      <w:r>
        <w:t>kritični infrastrukturi</w:t>
      </w:r>
      <w:proofErr w:type="gramEnd"/>
      <w:r>
        <w:t xml:space="preserve">, ki določa njeno strukturo, čemur sledijo tudi poglavja strategije. </w:t>
      </w:r>
    </w:p>
    <w:p w14:paraId="6AF60BA8" w14:textId="77777777" w:rsidR="0011446B" w:rsidRDefault="0011446B" w:rsidP="0011446B"/>
    <w:p w14:paraId="7C2A2244" w14:textId="77777777" w:rsidR="0011446B" w:rsidRDefault="0011446B" w:rsidP="0011446B">
      <w:r>
        <w:t xml:space="preserve">Namen strategije je spodbujanje vključevanja in prispevanja k razvoju ter krepitvi odpornosti za opravljanje bistvenih storitev. Skupaj z nacionalno oceno tveganja za opravljanje bistvenih storitev bo nacionalni okvir za odpornost kritičnih subjektov in </w:t>
      </w:r>
      <w:proofErr w:type="gramStart"/>
      <w:r>
        <w:t>kritične infrastrukture</w:t>
      </w:r>
      <w:proofErr w:type="gramEnd"/>
      <w:r>
        <w:t>.</w:t>
      </w:r>
    </w:p>
    <w:p w14:paraId="77717CD1" w14:textId="77777777" w:rsidR="0011446B" w:rsidRDefault="0011446B" w:rsidP="0011446B"/>
    <w:p w14:paraId="57CE5057" w14:textId="77777777" w:rsidR="0011446B" w:rsidRDefault="0011446B" w:rsidP="0011446B">
      <w:r>
        <w:t xml:space="preserve">Strategija prek opredeljenih strateških ciljev in prednostnih nalog nakazuje smeri, ki vodijo k večji odpornosti kritičnih subjektov v posameznih sektorjih </w:t>
      </w:r>
      <w:proofErr w:type="gramStart"/>
      <w:r>
        <w:t>kritične infrastrukture</w:t>
      </w:r>
      <w:proofErr w:type="gramEnd"/>
      <w:r>
        <w:t xml:space="preserve">, in pri tem naslavlja pristojne organe in organizacije na področju kritične infrastrukture, in sicer nosilce sektorjev kritične infrastrukture in z njimi sodelujoče državne organe pri opravljanju nalog na področju kritične infrastrukture ter Ministrstvo za obrambo, še zlasti pa kritične subjekte. Ti so ključni za doseganje ciljev in prednostnih nalog strategije. Da bodo sposobni zagotavljati neprekinjeno opravljanje bistvenih storitev in delovanje </w:t>
      </w:r>
      <w:proofErr w:type="gramStart"/>
      <w:r>
        <w:t>kritične infrastrukture</w:t>
      </w:r>
      <w:proofErr w:type="gramEnd"/>
      <w:r>
        <w:t>, morajo krepiti svojo odpornost ter odpornost kritične infrastrukture, ki jo upravljajo. Načrtovani ukrepi za odpornost morajo biti učinkoviti, prilagojeni, skladni, sorazmerni s tveganji, konkretni in preverljivi.</w:t>
      </w:r>
    </w:p>
    <w:p w14:paraId="20ED0189" w14:textId="77777777" w:rsidR="0011446B" w:rsidRDefault="0011446B" w:rsidP="0011446B"/>
    <w:p w14:paraId="3F6095C6" w14:textId="77777777" w:rsidR="0011446B" w:rsidRDefault="0011446B" w:rsidP="0011446B">
      <w:r>
        <w:t xml:space="preserve">Strategija opredeljuje postopek ugotavljanja potencialnih kritičnih subjektov in njihove </w:t>
      </w:r>
      <w:proofErr w:type="gramStart"/>
      <w:r>
        <w:t>kritične infrastrukture</w:t>
      </w:r>
      <w:proofErr w:type="gramEnd"/>
      <w:r>
        <w:t xml:space="preserve"> ter navaja oblike podpore kritičnih subjektov tako nosilcev sektorjev kritične </w:t>
      </w:r>
      <w:r>
        <w:lastRenderedPageBreak/>
        <w:t xml:space="preserve">infrastrukture kot tudi Ministrstva za obrambo. Navaja še druge subjekte, ki bodo neposredno ali posredno sodelovali pri izvajanju strategije in uresničevanju njenih ciljev. </w:t>
      </w:r>
    </w:p>
    <w:p w14:paraId="775E9ED3" w14:textId="77777777" w:rsidR="0011446B" w:rsidRDefault="0011446B" w:rsidP="0011446B"/>
    <w:p w14:paraId="03FFF2F3" w14:textId="77777777" w:rsidR="0011446B" w:rsidRDefault="0011446B" w:rsidP="0011446B">
      <w:r>
        <w:t xml:space="preserve">Opredeljuje usklajevanje med pristojnimi organi in organizacijami na področju </w:t>
      </w:r>
      <w:proofErr w:type="gramStart"/>
      <w:r>
        <w:t>kritične infrastrukture</w:t>
      </w:r>
      <w:proofErr w:type="gramEnd"/>
      <w:r>
        <w:t xml:space="preserve"> pri uresničevanju strateških ciljev in prednostnih nalog in še posebno usklajevanje med Ministrstvom za obrambo in Uradom Vlade Republike Slovenije za informacijsko varnost kot pristojnima nacionalnima organoma na področju kritične infrastrukture oziroma informacijske varnosti. </w:t>
      </w:r>
    </w:p>
    <w:p w14:paraId="0D181625" w14:textId="77777777" w:rsidR="0011446B" w:rsidRDefault="0011446B" w:rsidP="0011446B"/>
    <w:p w14:paraId="70162FF4" w14:textId="77777777" w:rsidR="0011446B" w:rsidRDefault="0011446B" w:rsidP="0011446B">
      <w:r>
        <w:t xml:space="preserve">V strategiji so navedene tudi možnosti v obliki spodbud (določa jih tudi Zakon o </w:t>
      </w:r>
      <w:proofErr w:type="gramStart"/>
      <w:r>
        <w:t>kritični infrastrukturi</w:t>
      </w:r>
      <w:proofErr w:type="gramEnd"/>
      <w:r>
        <w:t>), ki bodo pripomogle k lažjemu izvajanju obveznosti za krepitev odpornosti malih in srednjih podjetij, ki bodo pridobila status kritičnega subjekta.</w:t>
      </w:r>
    </w:p>
    <w:p w14:paraId="1E3A8B6B" w14:textId="77777777" w:rsidR="0011446B" w:rsidRDefault="0011446B" w:rsidP="0011446B"/>
    <w:p w14:paraId="47035160" w14:textId="77777777" w:rsidR="0011446B" w:rsidRDefault="0011446B" w:rsidP="0011446B">
      <w:r>
        <w:t>Pregled in posodobitev strategije sta predvidena vsaka štiri leta oziroma prej, glede na razmere v mednarodnem varnostnem okolju in upoštevanje izzivov prihodnosti, ki bi lahko pomenili tveganja za opravljanje bistvenih storitev.</w:t>
      </w:r>
    </w:p>
    <w:p w14:paraId="74563D7F" w14:textId="2373769C" w:rsidR="003B3A10" w:rsidRDefault="0011446B" w:rsidP="0011446B">
      <w:pPr>
        <w:pStyle w:val="Vir"/>
      </w:pPr>
      <w:r>
        <w:t>Vir: Ministrstvo za obrambo</w:t>
      </w:r>
    </w:p>
    <w:p w14:paraId="0382D513" w14:textId="27AB8109" w:rsidR="001F2768" w:rsidRDefault="001F2768" w:rsidP="001F2768">
      <w:pPr>
        <w:pStyle w:val="Naslov2"/>
      </w:pPr>
      <w:r>
        <w:t>Seznanitev z Informacijo o projektni nalogi z naslovom »Strokovna presoja upravičenosti ponovne vzpostavitve železniške infrastrukture do postajališča Hrušica«</w:t>
      </w:r>
    </w:p>
    <w:p w14:paraId="622C0652" w14:textId="07BB2D07" w:rsidR="001F2768" w:rsidRDefault="001F2768" w:rsidP="001F2768">
      <w:r>
        <w:t xml:space="preserve">Vlada Republike Slovenije se je seznanila z informacijo o izvedbi strokovne presoje upravičenosti ponovne vzpostavitve železniške infrastrukture med Jesenicami do postajališča Hrušica in izvedbe dveh novih postajališč v </w:t>
      </w:r>
      <w:proofErr w:type="spellStart"/>
      <w:r>
        <w:t>Plavžah</w:t>
      </w:r>
      <w:proofErr w:type="spellEnd"/>
      <w:r>
        <w:t xml:space="preserve"> in Hrušici. Cilj projekta je nadgradnja tirnih in postajnih kapacitet za pričakovane zahteve v prihodnosti in vzpostavitev potniškega prometa na progi Jesenice-Hrušica. Nadgradnja je namenjena optimizaciji kakovosti transportnih storitev in tehničnih procesov in zmogljivosti</w:t>
      </w:r>
      <w:r w:rsidR="00206761">
        <w:t>.</w:t>
      </w:r>
    </w:p>
    <w:p w14:paraId="4DFB7452" w14:textId="77777777" w:rsidR="001F2768" w:rsidRDefault="001F2768" w:rsidP="001F2768"/>
    <w:p w14:paraId="42AA4348" w14:textId="77777777" w:rsidR="001F2768" w:rsidRDefault="001F2768" w:rsidP="001F2768">
      <w:r>
        <w:t xml:space="preserve">Na </w:t>
      </w:r>
      <w:proofErr w:type="gramStart"/>
      <w:r>
        <w:t>revitalizirani</w:t>
      </w:r>
      <w:proofErr w:type="gramEnd"/>
      <w:r>
        <w:t xml:space="preserve"> progi sta predvideni dve novi postajališči, Plavž in Hrušica. Obe sta s prostorskega vidika in </w:t>
      </w:r>
      <w:proofErr w:type="gramStart"/>
      <w:r>
        <w:t>migracijskih</w:t>
      </w:r>
      <w:proofErr w:type="gramEnd"/>
      <w:r>
        <w:t xml:space="preserve"> potreb umeščeni optimalno.</w:t>
      </w:r>
    </w:p>
    <w:p w14:paraId="18E404AA" w14:textId="77777777" w:rsidR="001F2768" w:rsidRDefault="001F2768" w:rsidP="001F2768"/>
    <w:p w14:paraId="7E93A99F" w14:textId="77777777" w:rsidR="001F2768" w:rsidRDefault="001F2768" w:rsidP="001F2768">
      <w:r>
        <w:t xml:space="preserve">Lokalnim potniškim vlakom, ki danes začnejo ali končajo vožnjo na postaji Jesenice, je </w:t>
      </w:r>
      <w:proofErr w:type="gramStart"/>
      <w:r>
        <w:t>potrebno</w:t>
      </w:r>
      <w:proofErr w:type="gramEnd"/>
      <w:r>
        <w:t xml:space="preserve"> vlakovno pot podaljšati do Hrušice. Z ustrezno dnevno frekvenco 13 parov potniških vlakov se bodo potniki lažje odločali za potovanje po železnici. Ker je nova proga elektrificirana, bodo po njej lahko vozili tudi novi potniški vlaki.</w:t>
      </w:r>
    </w:p>
    <w:p w14:paraId="01DF3DFD" w14:textId="77777777" w:rsidR="001F2768" w:rsidRDefault="001F2768" w:rsidP="001F2768"/>
    <w:p w14:paraId="6C59C4E3" w14:textId="77777777" w:rsidR="001F2768" w:rsidRDefault="001F2768" w:rsidP="001F2768">
      <w:r>
        <w:t xml:space="preserve">Na podlagi prometno-tehnoloških in tehničnih rešitev, ocene </w:t>
      </w:r>
      <w:proofErr w:type="gramStart"/>
      <w:r>
        <w:t>investicijske</w:t>
      </w:r>
      <w:proofErr w:type="gramEnd"/>
      <w:r>
        <w:t xml:space="preserve"> vrednosti in izkazanega potniškega potenciala, je revitalizacija proge Jesenice-Hrušica po opuščeni trasi primerna in nujno potrebna.</w:t>
      </w:r>
    </w:p>
    <w:p w14:paraId="3A0546E0" w14:textId="4AE3183A" w:rsidR="003B3A10" w:rsidRDefault="001F2768" w:rsidP="001F2768">
      <w:pPr>
        <w:pStyle w:val="Vir"/>
      </w:pPr>
      <w:r>
        <w:t>Vir: Ministrstvo za infrastrukturo</w:t>
      </w:r>
    </w:p>
    <w:p w14:paraId="52F910F5" w14:textId="2CB924E0" w:rsidR="00A615A4" w:rsidRDefault="00A615A4" w:rsidP="00A615A4">
      <w:pPr>
        <w:pStyle w:val="Naslov2"/>
      </w:pPr>
      <w:r>
        <w:t>Seznanitev z informacijo o stanju prostorskega umeščanja avtocestnega priključka Kranj Sever</w:t>
      </w:r>
    </w:p>
    <w:p w14:paraId="508F91C0" w14:textId="77777777" w:rsidR="00A615A4" w:rsidRDefault="00A615A4" w:rsidP="00A615A4">
      <w:r>
        <w:t>Vlada Republike Slovenije se je seznanila z informacijo o stanju prostorskega umeščanja avtocestnega priključka Kranj Sever.</w:t>
      </w:r>
    </w:p>
    <w:p w14:paraId="2ED742C6" w14:textId="77777777" w:rsidR="00A615A4" w:rsidRDefault="00A615A4" w:rsidP="00A615A4"/>
    <w:p w14:paraId="13297F79" w14:textId="77777777" w:rsidR="00A615A4" w:rsidRDefault="00A615A4" w:rsidP="00A615A4">
      <w:r>
        <w:t xml:space="preserve">Za novi avtocestni priključek Kranj sever je v pripravi državni prostorski načrt (DPN).  </w:t>
      </w:r>
    </w:p>
    <w:p w14:paraId="3A0BFAC2" w14:textId="77777777" w:rsidR="00A615A4" w:rsidRDefault="00A615A4" w:rsidP="00A615A4"/>
    <w:p w14:paraId="789FA7FC" w14:textId="668B1E17" w:rsidR="00A615A4" w:rsidRDefault="00A615A4" w:rsidP="00A615A4">
      <w:r>
        <w:t xml:space="preserve">Priključek Kranj sever je načrtovan na avtocesti A2 (Podtabor–Kranj–Ljubljana) na odseku 0607 v km 3+820 in odseku 0007 v km 3+825. Načrtovana je simetrična polovična deteljica z umestitvijo priključnih krakov na severozahodno stran regionalne ceste R1-210, odsek 1107 Preddvor–Kranj. Kraki priključka se na regionalno cesto priključujejo z dvema novima krožnima križiščema. Na </w:t>
      </w:r>
      <w:r>
        <w:lastRenderedPageBreak/>
        <w:t>avtocesti A2 se pred in za priključkom uredijo pospeševalni in zaviralni pasovi širine 4</w:t>
      </w:r>
      <w:proofErr w:type="gramStart"/>
      <w:r>
        <w:t xml:space="preserve"> m</w:t>
      </w:r>
      <w:proofErr w:type="gramEnd"/>
      <w:r>
        <w:t xml:space="preserve"> v dolžini 250 m.</w:t>
      </w:r>
    </w:p>
    <w:p w14:paraId="1FFC61A4" w14:textId="77777777" w:rsidR="00A615A4" w:rsidRDefault="00A615A4" w:rsidP="00A615A4">
      <w:r>
        <w:t xml:space="preserve"> </w:t>
      </w:r>
    </w:p>
    <w:p w14:paraId="303A840E" w14:textId="23E55D5F" w:rsidR="00A615A4" w:rsidRDefault="00A615A4" w:rsidP="00A615A4">
      <w:r>
        <w:t xml:space="preserve">Ocena </w:t>
      </w:r>
      <w:proofErr w:type="gramStart"/>
      <w:r>
        <w:t>investicijske</w:t>
      </w:r>
      <w:proofErr w:type="gramEnd"/>
      <w:r>
        <w:t xml:space="preserve"> vrednosti: 11.584.974 evrov brez DDV.</w:t>
      </w:r>
    </w:p>
    <w:p w14:paraId="4FE8DEC2" w14:textId="77777777" w:rsidR="00A615A4" w:rsidRDefault="00A615A4" w:rsidP="00A615A4"/>
    <w:p w14:paraId="33B691DE" w14:textId="77777777" w:rsidR="00A615A4" w:rsidRDefault="00A615A4" w:rsidP="00A615A4">
      <w:r>
        <w:t xml:space="preserve">Aktivnosti za pripravo DPN so se </w:t>
      </w:r>
      <w:proofErr w:type="gramStart"/>
      <w:r>
        <w:t>pričele</w:t>
      </w:r>
      <w:proofErr w:type="gramEnd"/>
      <w:r>
        <w:t xml:space="preserve"> v maju 2020. V avgustu in septembru 2025 je bila izvedena javna razgrnitev študije variant – utemeljitev rešitve / predinvesticijske zasnove, </w:t>
      </w:r>
      <w:proofErr w:type="gramStart"/>
      <w:r>
        <w:t>okoljskega</w:t>
      </w:r>
      <w:proofErr w:type="gramEnd"/>
      <w:r>
        <w:t xml:space="preserve"> poročila in predloga DPN ter izvedena javna obravnava. Pridobljena so vsa pozitivna mnenja nosilcev urejanja prostora na predlog DPN, vključno z mnenjem Ministrstva za okolje, podnebje in energijo z dne </w:t>
      </w:r>
      <w:proofErr w:type="gramStart"/>
      <w:r>
        <w:t>6. 2. 2026</w:t>
      </w:r>
      <w:proofErr w:type="gramEnd"/>
      <w:r>
        <w:t>.</w:t>
      </w:r>
    </w:p>
    <w:p w14:paraId="7E06BFDF" w14:textId="77777777" w:rsidR="00A615A4" w:rsidRDefault="00A615A4" w:rsidP="00A615A4">
      <w:r>
        <w:t xml:space="preserve">  </w:t>
      </w:r>
    </w:p>
    <w:p w14:paraId="63FBC020" w14:textId="2D4939A3" w:rsidR="00A615A4" w:rsidRDefault="00A615A4" w:rsidP="00A615A4">
      <w:r>
        <w:t xml:space="preserve">Sprejem Uredbe o DPN na vladi bi bil, v primeru hitrega in tekočega poteka vseh </w:t>
      </w:r>
      <w:proofErr w:type="gramStart"/>
      <w:r>
        <w:t>aktivnosti</w:t>
      </w:r>
      <w:proofErr w:type="gramEnd"/>
      <w:r>
        <w:t xml:space="preserve"> možen v roku dveh mesecev. </w:t>
      </w:r>
    </w:p>
    <w:p w14:paraId="777CC6DB" w14:textId="38FCAA4E" w:rsidR="003B3A10" w:rsidRDefault="00A615A4" w:rsidP="004F5771">
      <w:pPr>
        <w:pStyle w:val="Vir"/>
      </w:pPr>
      <w:r>
        <w:t>Vir: Ministrstvo za infrastrukturo</w:t>
      </w:r>
    </w:p>
    <w:p w14:paraId="0CC32EE8" w14:textId="7AD6CB8B" w:rsidR="00EB324B" w:rsidRDefault="00EB324B" w:rsidP="00EB324B">
      <w:pPr>
        <w:pStyle w:val="Naslov2"/>
      </w:pPr>
      <w:r>
        <w:t>V Načrt razvojnih programov uvrščen projekt dobave in montaže angiografa v SB Jesenice</w:t>
      </w:r>
    </w:p>
    <w:p w14:paraId="75759219" w14:textId="47B889A7" w:rsidR="00EB324B" w:rsidRDefault="00EB324B" w:rsidP="00EB324B">
      <w:r>
        <w:t xml:space="preserve">V Načrt razvojnih programov za obdobje 2026–2029 se uvrsti nov projekt </w:t>
      </w:r>
      <w:r w:rsidR="00206761">
        <w:t>d</w:t>
      </w:r>
      <w:r>
        <w:t xml:space="preserve">obava in montaža angiografa v Splošni bolnišnici Jesenice (SB Jesenice).  </w:t>
      </w:r>
    </w:p>
    <w:p w14:paraId="1B3DD9F4" w14:textId="77777777" w:rsidR="00EB324B" w:rsidRDefault="00EB324B" w:rsidP="00EB324B"/>
    <w:p w14:paraId="3A72B1E8" w14:textId="676B5236" w:rsidR="00EB324B" w:rsidRDefault="00EB324B" w:rsidP="00EB324B">
      <w:r>
        <w:t xml:space="preserve">Namen projekta je izgradnja prizidka za namestitev novega rentgenskega angiografskega aparata s </w:t>
      </w:r>
      <w:proofErr w:type="gramStart"/>
      <w:r>
        <w:t>C-lokom</w:t>
      </w:r>
      <w:proofErr w:type="gramEnd"/>
      <w:r>
        <w:t xml:space="preserve"> ter zagotovitev pogojev za izvajanje dejavnosti katetrskega laboratorija v SB Jesenice. </w:t>
      </w:r>
    </w:p>
    <w:p w14:paraId="5D1FEF9D" w14:textId="77777777" w:rsidR="00EB324B" w:rsidRDefault="00EB324B" w:rsidP="00EB324B">
      <w:r>
        <w:t xml:space="preserve">Projekt bo </w:t>
      </w:r>
      <w:proofErr w:type="gramStart"/>
      <w:r>
        <w:t>pacientom</w:t>
      </w:r>
      <w:proofErr w:type="gramEnd"/>
      <w:r>
        <w:t xml:space="preserve"> izboljšal dostopnost do angiografskih preiskav in posegov ter prispeval k zmanjšanju potrebe po premeščanjih, razbremenitvi drugih centrov in krajšanju čakalnih dob.</w:t>
      </w:r>
    </w:p>
    <w:p w14:paraId="43EF763D" w14:textId="77777777" w:rsidR="00EB324B" w:rsidRDefault="00EB324B" w:rsidP="00EB324B"/>
    <w:p w14:paraId="2D384E2D" w14:textId="2EDF348B" w:rsidR="00EB324B" w:rsidRDefault="00EB324B" w:rsidP="00EB324B">
      <w:r>
        <w:t xml:space="preserve">Ocenjena vrednost </w:t>
      </w:r>
      <w:proofErr w:type="gramStart"/>
      <w:r>
        <w:t>investicije</w:t>
      </w:r>
      <w:proofErr w:type="gramEnd"/>
      <w:r>
        <w:t xml:space="preserve"> znaša 5.564.420 evrov z DDV. Sredstva v višini 4.575.000 evrov z DDV bo zagotovil Urad RS za nadzor, kakovost in investicije v zdravstvu (UNKIZ), preostala sredstva pa SB Jesenice.</w:t>
      </w:r>
    </w:p>
    <w:p w14:paraId="641BDCA7" w14:textId="77777777" w:rsidR="00EB324B" w:rsidRDefault="00EB324B" w:rsidP="00EB324B">
      <w:r>
        <w:t>Projekt naj bi bil zaključen do konca leta 2026.</w:t>
      </w:r>
    </w:p>
    <w:p w14:paraId="27F7A820" w14:textId="1BECD760" w:rsidR="003B3A10" w:rsidRPr="003B3A10" w:rsidRDefault="00EB324B" w:rsidP="00EB324B">
      <w:pPr>
        <w:pStyle w:val="Vir"/>
      </w:pPr>
      <w:r>
        <w:t>Vir: Ministrstvo za zdravje</w:t>
      </w:r>
    </w:p>
    <w:sectPr w:rsidR="003B3A10" w:rsidRPr="003B3A10"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9"/>
  </w:num>
  <w:num w:numId="2" w16cid:durableId="984821814">
    <w:abstractNumId w:val="6"/>
  </w:num>
  <w:num w:numId="3" w16cid:durableId="150218247">
    <w:abstractNumId w:val="0"/>
  </w:num>
  <w:num w:numId="4" w16cid:durableId="1026903286">
    <w:abstractNumId w:val="7"/>
  </w:num>
  <w:num w:numId="5" w16cid:durableId="231817878">
    <w:abstractNumId w:val="2"/>
  </w:num>
  <w:num w:numId="6" w16cid:durableId="2110814889">
    <w:abstractNumId w:val="10"/>
  </w:num>
  <w:num w:numId="7" w16cid:durableId="695153758">
    <w:abstractNumId w:val="3"/>
  </w:num>
  <w:num w:numId="8" w16cid:durableId="853298866">
    <w:abstractNumId w:val="5"/>
  </w:num>
  <w:num w:numId="9" w16cid:durableId="1789348953">
    <w:abstractNumId w:val="1"/>
  </w:num>
  <w:num w:numId="10" w16cid:durableId="1415012333">
    <w:abstractNumId w:val="8"/>
  </w:num>
  <w:num w:numId="11" w16cid:durableId="886650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51DF6"/>
    <w:rsid w:val="000610D5"/>
    <w:rsid w:val="00076DF7"/>
    <w:rsid w:val="00085D04"/>
    <w:rsid w:val="00087069"/>
    <w:rsid w:val="00087A14"/>
    <w:rsid w:val="00097B85"/>
    <w:rsid w:val="000D5520"/>
    <w:rsid w:val="000E0657"/>
    <w:rsid w:val="00110932"/>
    <w:rsid w:val="00110B8F"/>
    <w:rsid w:val="00111A16"/>
    <w:rsid w:val="00113F85"/>
    <w:rsid w:val="0011446B"/>
    <w:rsid w:val="0012724F"/>
    <w:rsid w:val="0013016C"/>
    <w:rsid w:val="001602C9"/>
    <w:rsid w:val="0016530C"/>
    <w:rsid w:val="00166315"/>
    <w:rsid w:val="001673A5"/>
    <w:rsid w:val="00173343"/>
    <w:rsid w:val="001B01DD"/>
    <w:rsid w:val="001B42F9"/>
    <w:rsid w:val="001C3560"/>
    <w:rsid w:val="001C5F19"/>
    <w:rsid w:val="001D4277"/>
    <w:rsid w:val="001D69D6"/>
    <w:rsid w:val="001F2768"/>
    <w:rsid w:val="001F51BC"/>
    <w:rsid w:val="001F7F63"/>
    <w:rsid w:val="00203CAB"/>
    <w:rsid w:val="00203F5F"/>
    <w:rsid w:val="00206761"/>
    <w:rsid w:val="00215140"/>
    <w:rsid w:val="00220CDD"/>
    <w:rsid w:val="0022511A"/>
    <w:rsid w:val="00231021"/>
    <w:rsid w:val="002501CE"/>
    <w:rsid w:val="002856E5"/>
    <w:rsid w:val="002C0766"/>
    <w:rsid w:val="002C36A6"/>
    <w:rsid w:val="002D5B5D"/>
    <w:rsid w:val="002E3F96"/>
    <w:rsid w:val="002F3BE7"/>
    <w:rsid w:val="00302938"/>
    <w:rsid w:val="0032428F"/>
    <w:rsid w:val="0033519E"/>
    <w:rsid w:val="00346E22"/>
    <w:rsid w:val="00351E1E"/>
    <w:rsid w:val="00357DC0"/>
    <w:rsid w:val="00361255"/>
    <w:rsid w:val="00381018"/>
    <w:rsid w:val="003847C8"/>
    <w:rsid w:val="003877EB"/>
    <w:rsid w:val="00390DF7"/>
    <w:rsid w:val="0039662C"/>
    <w:rsid w:val="003A3742"/>
    <w:rsid w:val="003B3A10"/>
    <w:rsid w:val="003D64D8"/>
    <w:rsid w:val="003E17B6"/>
    <w:rsid w:val="003E1B89"/>
    <w:rsid w:val="003E6170"/>
    <w:rsid w:val="003F4CC5"/>
    <w:rsid w:val="00415527"/>
    <w:rsid w:val="00431C65"/>
    <w:rsid w:val="00432937"/>
    <w:rsid w:val="00435CF5"/>
    <w:rsid w:val="004403EC"/>
    <w:rsid w:val="00447B57"/>
    <w:rsid w:val="0045565C"/>
    <w:rsid w:val="00455B63"/>
    <w:rsid w:val="00460370"/>
    <w:rsid w:val="00465AB5"/>
    <w:rsid w:val="00472762"/>
    <w:rsid w:val="004A00A8"/>
    <w:rsid w:val="004A7BFC"/>
    <w:rsid w:val="004A7CAD"/>
    <w:rsid w:val="004B4753"/>
    <w:rsid w:val="004B7346"/>
    <w:rsid w:val="004C3F67"/>
    <w:rsid w:val="004C721D"/>
    <w:rsid w:val="004D5838"/>
    <w:rsid w:val="004F5771"/>
    <w:rsid w:val="00514121"/>
    <w:rsid w:val="0052260C"/>
    <w:rsid w:val="00522637"/>
    <w:rsid w:val="00527867"/>
    <w:rsid w:val="00527AA5"/>
    <w:rsid w:val="005314D7"/>
    <w:rsid w:val="00544398"/>
    <w:rsid w:val="005458D4"/>
    <w:rsid w:val="005515BD"/>
    <w:rsid w:val="005740C1"/>
    <w:rsid w:val="0059143B"/>
    <w:rsid w:val="005A570D"/>
    <w:rsid w:val="005B5886"/>
    <w:rsid w:val="005C1523"/>
    <w:rsid w:val="005E1ABB"/>
    <w:rsid w:val="00614FFD"/>
    <w:rsid w:val="00626A98"/>
    <w:rsid w:val="006274BB"/>
    <w:rsid w:val="00634EFA"/>
    <w:rsid w:val="00635D43"/>
    <w:rsid w:val="006367B9"/>
    <w:rsid w:val="0064180E"/>
    <w:rsid w:val="0066249C"/>
    <w:rsid w:val="0067375D"/>
    <w:rsid w:val="00676F03"/>
    <w:rsid w:val="006906AF"/>
    <w:rsid w:val="00693BA3"/>
    <w:rsid w:val="006B3F12"/>
    <w:rsid w:val="006C1B31"/>
    <w:rsid w:val="006C53DE"/>
    <w:rsid w:val="006F29FA"/>
    <w:rsid w:val="0070324C"/>
    <w:rsid w:val="0071171B"/>
    <w:rsid w:val="007120FD"/>
    <w:rsid w:val="007130E1"/>
    <w:rsid w:val="00716545"/>
    <w:rsid w:val="00717E59"/>
    <w:rsid w:val="0073796B"/>
    <w:rsid w:val="00750D01"/>
    <w:rsid w:val="0075264D"/>
    <w:rsid w:val="007643A0"/>
    <w:rsid w:val="007669A3"/>
    <w:rsid w:val="00767A18"/>
    <w:rsid w:val="00781345"/>
    <w:rsid w:val="00784E57"/>
    <w:rsid w:val="0079749C"/>
    <w:rsid w:val="007A6460"/>
    <w:rsid w:val="007B0ADD"/>
    <w:rsid w:val="007B515F"/>
    <w:rsid w:val="007C14FB"/>
    <w:rsid w:val="007C21FB"/>
    <w:rsid w:val="007E198F"/>
    <w:rsid w:val="007F5D6B"/>
    <w:rsid w:val="007F6EF7"/>
    <w:rsid w:val="00801A29"/>
    <w:rsid w:val="008220A3"/>
    <w:rsid w:val="008244C0"/>
    <w:rsid w:val="008336E7"/>
    <w:rsid w:val="00834859"/>
    <w:rsid w:val="00836E94"/>
    <w:rsid w:val="00847AD3"/>
    <w:rsid w:val="00851FE1"/>
    <w:rsid w:val="008624E8"/>
    <w:rsid w:val="00884C5D"/>
    <w:rsid w:val="0088720B"/>
    <w:rsid w:val="008A16D8"/>
    <w:rsid w:val="008B6738"/>
    <w:rsid w:val="008B7AF2"/>
    <w:rsid w:val="008C0D30"/>
    <w:rsid w:val="008C4231"/>
    <w:rsid w:val="008C4BFB"/>
    <w:rsid w:val="008D49BD"/>
    <w:rsid w:val="00905C96"/>
    <w:rsid w:val="009174DA"/>
    <w:rsid w:val="00933061"/>
    <w:rsid w:val="00933087"/>
    <w:rsid w:val="00945B27"/>
    <w:rsid w:val="009540E4"/>
    <w:rsid w:val="00974186"/>
    <w:rsid w:val="00983241"/>
    <w:rsid w:val="009900DE"/>
    <w:rsid w:val="009A41AA"/>
    <w:rsid w:val="009B3707"/>
    <w:rsid w:val="009C2C98"/>
    <w:rsid w:val="009C2D77"/>
    <w:rsid w:val="009C562E"/>
    <w:rsid w:val="009D10D1"/>
    <w:rsid w:val="009F37F4"/>
    <w:rsid w:val="009F4DB0"/>
    <w:rsid w:val="00A06971"/>
    <w:rsid w:val="00A30052"/>
    <w:rsid w:val="00A34FC4"/>
    <w:rsid w:val="00A445DF"/>
    <w:rsid w:val="00A521C4"/>
    <w:rsid w:val="00A5415F"/>
    <w:rsid w:val="00A60A37"/>
    <w:rsid w:val="00A60FBF"/>
    <w:rsid w:val="00A615A4"/>
    <w:rsid w:val="00A67305"/>
    <w:rsid w:val="00A726C3"/>
    <w:rsid w:val="00A7412B"/>
    <w:rsid w:val="00AB1DC2"/>
    <w:rsid w:val="00AD1AFD"/>
    <w:rsid w:val="00AE6CD6"/>
    <w:rsid w:val="00AF5FC8"/>
    <w:rsid w:val="00B022E5"/>
    <w:rsid w:val="00B06EAB"/>
    <w:rsid w:val="00B25538"/>
    <w:rsid w:val="00B43836"/>
    <w:rsid w:val="00B47F61"/>
    <w:rsid w:val="00B53594"/>
    <w:rsid w:val="00B602CF"/>
    <w:rsid w:val="00B60F58"/>
    <w:rsid w:val="00B70F5B"/>
    <w:rsid w:val="00B753A8"/>
    <w:rsid w:val="00B84862"/>
    <w:rsid w:val="00B903E5"/>
    <w:rsid w:val="00BA743D"/>
    <w:rsid w:val="00BB1111"/>
    <w:rsid w:val="00BB73C0"/>
    <w:rsid w:val="00BE5C43"/>
    <w:rsid w:val="00C3152B"/>
    <w:rsid w:val="00C354D9"/>
    <w:rsid w:val="00C365A8"/>
    <w:rsid w:val="00C458C2"/>
    <w:rsid w:val="00C666AC"/>
    <w:rsid w:val="00C97F7B"/>
    <w:rsid w:val="00CA5624"/>
    <w:rsid w:val="00CC3123"/>
    <w:rsid w:val="00CC3530"/>
    <w:rsid w:val="00CC37B3"/>
    <w:rsid w:val="00CE21D5"/>
    <w:rsid w:val="00CE45D7"/>
    <w:rsid w:val="00CF099E"/>
    <w:rsid w:val="00D10EB4"/>
    <w:rsid w:val="00D14EEC"/>
    <w:rsid w:val="00D22282"/>
    <w:rsid w:val="00D42266"/>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E199D"/>
    <w:rsid w:val="00DE1B54"/>
    <w:rsid w:val="00DE27BA"/>
    <w:rsid w:val="00E02AB3"/>
    <w:rsid w:val="00E05EEE"/>
    <w:rsid w:val="00E14AAE"/>
    <w:rsid w:val="00E20351"/>
    <w:rsid w:val="00E2036F"/>
    <w:rsid w:val="00E3207D"/>
    <w:rsid w:val="00E3507E"/>
    <w:rsid w:val="00E6065F"/>
    <w:rsid w:val="00E7132A"/>
    <w:rsid w:val="00E83E60"/>
    <w:rsid w:val="00E86C78"/>
    <w:rsid w:val="00E948BD"/>
    <w:rsid w:val="00EA1AF3"/>
    <w:rsid w:val="00EB324B"/>
    <w:rsid w:val="00EC012E"/>
    <w:rsid w:val="00ED2EC7"/>
    <w:rsid w:val="00EE35F8"/>
    <w:rsid w:val="00EF1263"/>
    <w:rsid w:val="00F01966"/>
    <w:rsid w:val="00F03257"/>
    <w:rsid w:val="00F20884"/>
    <w:rsid w:val="00F21123"/>
    <w:rsid w:val="00F21419"/>
    <w:rsid w:val="00F21BAD"/>
    <w:rsid w:val="00F23144"/>
    <w:rsid w:val="00F240E9"/>
    <w:rsid w:val="00F30E33"/>
    <w:rsid w:val="00F31222"/>
    <w:rsid w:val="00F462C7"/>
    <w:rsid w:val="00F71760"/>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2230</Words>
  <Characters>12711</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2026-02-09T14:36:00Z</dcterms:created>
  <dcterms:modified xsi:type="dcterms:W3CDTF">2026-02-10T09:53:00Z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