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415F57" w14:textId="17ADCAE4" w:rsidR="00F01966" w:rsidRDefault="00F01966" w:rsidP="0073796B">
      <w:pPr>
        <w:autoSpaceDE w:val="0"/>
        <w:autoSpaceDN w:val="0"/>
        <w:adjustRightInd w:val="0"/>
        <w:spacing w:line="240" w:lineRule="auto"/>
        <w:ind w:left="-1701"/>
        <w:sectPr w:rsidR="00F01966" w:rsidSect="00F01966">
          <w:headerReference w:type="default" r:id="rId11"/>
          <w:headerReference w:type="first" r:id="rId12"/>
          <w:pgSz w:w="11906" w:h="16838"/>
          <w:pgMar w:top="1128" w:right="1701" w:bottom="1134" w:left="1701" w:header="0" w:footer="794" w:gutter="0"/>
          <w:cols w:space="708"/>
          <w:titlePg/>
          <w:docGrid w:linePitch="360"/>
        </w:sectPr>
      </w:pPr>
    </w:p>
    <w:p w14:paraId="09ADF517" w14:textId="22D4F179" w:rsidR="0073796B" w:rsidRPr="009D10D1" w:rsidRDefault="0073796B" w:rsidP="009D10D1">
      <w:pPr>
        <w:pStyle w:val="Naslov"/>
      </w:pPr>
      <w:r w:rsidRPr="009D10D1">
        <w:t>SPOROČILO ZA JAVNOST</w:t>
      </w:r>
    </w:p>
    <w:p w14:paraId="6AD96446" w14:textId="77777777" w:rsidR="00231021" w:rsidRDefault="00231021" w:rsidP="0039662C">
      <w:pPr>
        <w:pStyle w:val="Naslov1"/>
      </w:pPr>
    </w:p>
    <w:p w14:paraId="71A02687" w14:textId="4ACD36F6" w:rsidR="0073796B" w:rsidRDefault="00223A7C" w:rsidP="0039662C">
      <w:pPr>
        <w:pStyle w:val="Naslov1"/>
      </w:pPr>
      <w:r>
        <w:t>4</w:t>
      </w:r>
      <w:r w:rsidR="00780AEF">
        <w:t>1</w:t>
      </w:r>
      <w:r w:rsidR="00AD7048">
        <w:t>8</w:t>
      </w:r>
      <w:r w:rsidR="0073796B" w:rsidRPr="0039662C">
        <w:t xml:space="preserve">. </w:t>
      </w:r>
      <w:r w:rsidR="00F03257">
        <w:t xml:space="preserve">dopisna </w:t>
      </w:r>
      <w:r w:rsidR="0073796B" w:rsidRPr="0039662C">
        <w:t>seja Vlade Republike Slovenije</w:t>
      </w:r>
    </w:p>
    <w:p w14:paraId="235188A3" w14:textId="77777777" w:rsidR="007F4D5C" w:rsidRDefault="007F4D5C" w:rsidP="007F4D5C"/>
    <w:p w14:paraId="126F8C58" w14:textId="00E2FF40" w:rsidR="00277476" w:rsidRDefault="00277476" w:rsidP="00277476">
      <w:pPr>
        <w:pStyle w:val="Naslov2"/>
      </w:pPr>
      <w:r>
        <w:t>Vlada izdala Uredbo o državnem prostorskem načrtu za ekodukt na odseku avtoceste Unec–Postojna</w:t>
      </w:r>
    </w:p>
    <w:p w14:paraId="15A66D61" w14:textId="499BA604" w:rsidR="00277476" w:rsidRDefault="00277476" w:rsidP="00277476">
      <w:r>
        <w:t>Vlada je na dopisni seji izdala uredbo, s katero je v skladu s prvim odstavkom 97. člena Zakona o urejanju prostora (ZUreP-3) potrdila državni prostorski načrt (DPN) za načrtovano državno prostorsko ureditev.</w:t>
      </w:r>
    </w:p>
    <w:p w14:paraId="63159465" w14:textId="77777777" w:rsidR="00277476" w:rsidRDefault="00277476" w:rsidP="00277476"/>
    <w:p w14:paraId="2CBEDB1C" w14:textId="2112A375" w:rsidR="00277476" w:rsidRDefault="00277476" w:rsidP="00277476">
      <w:r>
        <w:t>Sprejeta uredba predstavlja ključno pravno podlago za nadaljnje postopke, vključno z izdajo gradbenega dovoljenja v skladu s predpisi, ki urejajo graditev.</w:t>
      </w:r>
    </w:p>
    <w:p w14:paraId="3F9DBB1E" w14:textId="77777777" w:rsidR="00AC4F27" w:rsidRDefault="00AC4F27" w:rsidP="00277476"/>
    <w:p w14:paraId="30E895D8" w14:textId="77777777" w:rsidR="00277476" w:rsidRDefault="00277476" w:rsidP="00277476">
      <w:r>
        <w:t>Državni prostorski načrt je izvedbeni prostorski akt, s katerim so natančno določene rešitve glede:</w:t>
      </w:r>
    </w:p>
    <w:p w14:paraId="65C93CAF" w14:textId="46809E2F" w:rsidR="00277476" w:rsidRDefault="00277476" w:rsidP="00277476">
      <w:pPr>
        <w:pStyle w:val="Odstavekseznama"/>
        <w:numPr>
          <w:ilvl w:val="0"/>
          <w:numId w:val="31"/>
        </w:numPr>
      </w:pPr>
      <w:r>
        <w:t>tehnične in komunalne ureditve,</w:t>
      </w:r>
    </w:p>
    <w:p w14:paraId="7429EEC5" w14:textId="515D489B" w:rsidR="00277476" w:rsidRDefault="00277476" w:rsidP="00277476">
      <w:pPr>
        <w:pStyle w:val="Odstavekseznama"/>
        <w:numPr>
          <w:ilvl w:val="0"/>
          <w:numId w:val="31"/>
        </w:numPr>
      </w:pPr>
      <w:r>
        <w:t>prometne in druge gospodarske javne infrastrukture,</w:t>
      </w:r>
    </w:p>
    <w:p w14:paraId="07B9FCAC" w14:textId="0A5003C4" w:rsidR="00277476" w:rsidRDefault="00277476" w:rsidP="00277476">
      <w:pPr>
        <w:pStyle w:val="Odstavekseznama"/>
        <w:numPr>
          <w:ilvl w:val="0"/>
          <w:numId w:val="31"/>
        </w:numPr>
      </w:pPr>
      <w:r>
        <w:t>varnostnih in okoljevarstvenih ukrepov,</w:t>
      </w:r>
    </w:p>
    <w:p w14:paraId="051F04C4" w14:textId="5572D2EE" w:rsidR="00277476" w:rsidRDefault="00277476" w:rsidP="00277476">
      <w:pPr>
        <w:pStyle w:val="Odstavekseznama"/>
        <w:numPr>
          <w:ilvl w:val="0"/>
          <w:numId w:val="31"/>
        </w:numPr>
      </w:pPr>
      <w:r>
        <w:t>urbanističnega, arhitekturnega in krajinskega oblikovanja.</w:t>
      </w:r>
    </w:p>
    <w:p w14:paraId="1206821D" w14:textId="77777777" w:rsidR="00277476" w:rsidRDefault="00277476" w:rsidP="00277476">
      <w:r>
        <w:t xml:space="preserve">Rešitve so prikazane tako tekstualno kot grafično. Grafični del vključuje karte ureditvene </w:t>
      </w:r>
      <w:proofErr w:type="gramStart"/>
      <w:r>
        <w:t>situacije</w:t>
      </w:r>
      <w:proofErr w:type="gramEnd"/>
      <w:r>
        <w:t xml:space="preserve"> ter prikaz gospodarske javne infrastrukture in grajenega javnega dobra v merilu 1 : 1000 ter načrt parcel. Tekstualni del uredbe med drugim določa:</w:t>
      </w:r>
    </w:p>
    <w:p w14:paraId="1EBA3AC6" w14:textId="52868A6E" w:rsidR="00277476" w:rsidRDefault="00277476" w:rsidP="00277476">
      <w:pPr>
        <w:pStyle w:val="Odstavekseznama"/>
        <w:numPr>
          <w:ilvl w:val="0"/>
          <w:numId w:val="32"/>
        </w:numPr>
      </w:pPr>
      <w:r>
        <w:t>območje državnega prostorskega načrta,</w:t>
      </w:r>
    </w:p>
    <w:p w14:paraId="696D8629" w14:textId="6E14A5D8" w:rsidR="00277476" w:rsidRDefault="00277476" w:rsidP="00277476">
      <w:pPr>
        <w:pStyle w:val="Odstavekseznama"/>
        <w:numPr>
          <w:ilvl w:val="0"/>
          <w:numId w:val="32"/>
        </w:numPr>
      </w:pPr>
      <w:r>
        <w:t>pogoje glede namembnosti posegov v prostor, njihove lege, velikosti in oblikovanja,</w:t>
      </w:r>
    </w:p>
    <w:p w14:paraId="29C0B0A2" w14:textId="7072717E" w:rsidR="00277476" w:rsidRDefault="00277476" w:rsidP="00277476">
      <w:pPr>
        <w:pStyle w:val="Odstavekseznama"/>
        <w:numPr>
          <w:ilvl w:val="0"/>
          <w:numId w:val="32"/>
        </w:numPr>
      </w:pPr>
      <w:r>
        <w:t>pogoje za križanja in prestavitve infrastrukture ter priključevanje nanjo,</w:t>
      </w:r>
    </w:p>
    <w:p w14:paraId="6044F33E" w14:textId="29CF578B" w:rsidR="00277476" w:rsidRDefault="00277476" w:rsidP="00277476">
      <w:pPr>
        <w:pStyle w:val="Odstavekseznama"/>
        <w:numPr>
          <w:ilvl w:val="0"/>
          <w:numId w:val="32"/>
        </w:numPr>
      </w:pPr>
      <w:r>
        <w:t>merila za parcelacijo,</w:t>
      </w:r>
    </w:p>
    <w:p w14:paraId="50347ACC" w14:textId="34C49174" w:rsidR="00277476" w:rsidRDefault="00277476" w:rsidP="00277476">
      <w:pPr>
        <w:pStyle w:val="Odstavekseznama"/>
        <w:numPr>
          <w:ilvl w:val="0"/>
          <w:numId w:val="32"/>
        </w:numPr>
      </w:pPr>
      <w:r>
        <w:t>pogoje varstva kulturne dediščine, narave, okolja in voda,</w:t>
      </w:r>
    </w:p>
    <w:p w14:paraId="0857C5D2" w14:textId="07D069A3" w:rsidR="00277476" w:rsidRDefault="00277476" w:rsidP="00277476">
      <w:pPr>
        <w:pStyle w:val="Odstavekseznama"/>
        <w:numPr>
          <w:ilvl w:val="0"/>
          <w:numId w:val="32"/>
        </w:numPr>
      </w:pPr>
      <w:r>
        <w:t>ukrepe za varovanje zdravja ljudi ter zaščito pred naravnimi in drugimi nesrečami,</w:t>
      </w:r>
    </w:p>
    <w:p w14:paraId="2A4CB75F" w14:textId="7AF1326A" w:rsidR="00277476" w:rsidRDefault="00277476" w:rsidP="00277476">
      <w:pPr>
        <w:pStyle w:val="Odstavekseznama"/>
        <w:numPr>
          <w:ilvl w:val="0"/>
          <w:numId w:val="32"/>
        </w:numPr>
      </w:pPr>
      <w:r>
        <w:t>etapnost izvedbe,</w:t>
      </w:r>
    </w:p>
    <w:p w14:paraId="5C23862F" w14:textId="799197F5" w:rsidR="00277476" w:rsidRDefault="00277476" w:rsidP="00277476">
      <w:pPr>
        <w:pStyle w:val="Odstavekseznama"/>
        <w:numPr>
          <w:ilvl w:val="0"/>
          <w:numId w:val="32"/>
        </w:numPr>
      </w:pPr>
      <w:r>
        <w:t>dopustna odstopanja ter nadzor nad izvajanjem.</w:t>
      </w:r>
    </w:p>
    <w:p w14:paraId="6A3735AD" w14:textId="77777777" w:rsidR="00277476" w:rsidRDefault="00277476" w:rsidP="00277476"/>
    <w:p w14:paraId="59DFAEA3" w14:textId="77777777" w:rsidR="00277476" w:rsidRDefault="00277476" w:rsidP="00277476">
      <w:r>
        <w:t>Državni prostorski načrt vsebuje tudi spremljajoče gradivo, vključno s stališči do pripomb in predlogov javnosti ter občin, podanih v času javne objave študije variant in predloga DPN.</w:t>
      </w:r>
    </w:p>
    <w:p w14:paraId="08C93E1A" w14:textId="77777777" w:rsidR="00D165AA" w:rsidRDefault="00D165AA" w:rsidP="00277476"/>
    <w:p w14:paraId="753B7CD3" w14:textId="77777777" w:rsidR="00277476" w:rsidRDefault="00277476" w:rsidP="00277476">
      <w:r>
        <w:t xml:space="preserve">S tem je zagotovljena </w:t>
      </w:r>
      <w:proofErr w:type="gramStart"/>
      <w:r>
        <w:t>transparentnost</w:t>
      </w:r>
      <w:proofErr w:type="gramEnd"/>
      <w:r>
        <w:t xml:space="preserve"> postopka in vključevanje lokalnih skupnosti ter strokovne javnosti v proces prostorskega načrtovanja.</w:t>
      </w:r>
    </w:p>
    <w:p w14:paraId="56382EAC" w14:textId="1859ECEA" w:rsidR="007F4D5C" w:rsidRDefault="00277476" w:rsidP="00AC4F27">
      <w:pPr>
        <w:pStyle w:val="Vir"/>
      </w:pPr>
      <w:r>
        <w:t>Vir: Ministrstvo za naravne vire in prostor</w:t>
      </w:r>
    </w:p>
    <w:p w14:paraId="18E0752D" w14:textId="0CE561BE" w:rsidR="00AB0C15" w:rsidRDefault="00AB0C15" w:rsidP="00AB0C15">
      <w:pPr>
        <w:pStyle w:val="Naslov2"/>
      </w:pPr>
      <w:r>
        <w:t>Uredba o spremembah in dopolnitvah Uredbe o financiranju</w:t>
      </w:r>
      <w:r>
        <w:t xml:space="preserve"> </w:t>
      </w:r>
      <w:r>
        <w:t xml:space="preserve">znanstvenoraziskovalne dejavnosti iz Proračuna Republike Slovenije </w:t>
      </w:r>
    </w:p>
    <w:p w14:paraId="61037344" w14:textId="6A3064E1" w:rsidR="00AB0C15" w:rsidRDefault="00AB0C15" w:rsidP="00AB0C15">
      <w:r>
        <w:t>Vlada je na dopisni seji izdala Uredbo o spremembah in dopolnitvah Uredbe o financiranju znanstvenoraziskovalne dejavnosti iz Proračuna Republike Slovenije in jo bo objavila v Uradnem listu Republike Slovenije. Z njo se veljavna Uredba predvsem usklajuje z določbami novele Zakona o znanstvenoraziskovalni in inovacijski dejavnosti. Dodatno pa se dopolnjuje nabor upravičenih stroškov, ki se lahko financirajo iz institucionalnega stebra financiranja posameznega prejemnika stabilnega financiranja.</w:t>
      </w:r>
    </w:p>
    <w:p w14:paraId="31AE82EE" w14:textId="2F568366" w:rsidR="007F4D5C" w:rsidRDefault="00AB0C15" w:rsidP="00AB0C15">
      <w:pPr>
        <w:pStyle w:val="Vir"/>
      </w:pPr>
      <w:r>
        <w:t>Vir: Ministrstvo za visoko šolstvo, znanost in inovacije</w:t>
      </w:r>
    </w:p>
    <w:p w14:paraId="0F4B4145" w14:textId="4B7147A3" w:rsidR="00E00738" w:rsidRDefault="00E00738" w:rsidP="00E00738">
      <w:pPr>
        <w:pStyle w:val="Naslov2"/>
      </w:pPr>
      <w:r>
        <w:lastRenderedPageBreak/>
        <w:t>Uredba o spremembah in dopolnitvah Uredbe o izvajanju uredb (EU) in (Euratom) na področju izvajanja evropske kohezijske politike v obdobju 2021–2027 za cilj naložbe za rast in delovna mesta</w:t>
      </w:r>
    </w:p>
    <w:p w14:paraId="6D969699" w14:textId="77777777" w:rsidR="00E00738" w:rsidRDefault="00E00738" w:rsidP="00E00738">
      <w:r>
        <w:t xml:space="preserve">Predlog Uredbe o izvajanju uredb (EU) in (Euratom) na področju izvajanja evropske kohezijske politike v obdobju 2021–2027 za cilj naložbe za rast in delovna mesta (v nadaljevanju: Uredba) podrobneje ureja izvajanje postopkov pri porabi sredstev evropske kohezijske politike za ESRR, ESS+, KS in SPP. Izvajanje evropske kohezijske politike sicer temelji na neposrednem izvajanju evropskih pravnih podlag, zato nacionalna uredba določil evropskih uredb ne povzema, ampak natančneje določa tista področja, ki so prepuščena državam članicam.  </w:t>
      </w:r>
    </w:p>
    <w:p w14:paraId="451C589A" w14:textId="77777777" w:rsidR="00E00738" w:rsidRDefault="00E00738" w:rsidP="00E00738"/>
    <w:p w14:paraId="6B7FF0DF" w14:textId="77777777" w:rsidR="00E00738" w:rsidRDefault="00E00738" w:rsidP="00E00738">
      <w:r>
        <w:t xml:space="preserve">Predlagane spremembe in dopolnitve uredbe vključujejo redakcijske popravke, tehnično uskladitev z veljavno zakonodajo in vsebinske dopolnitve. Dodaja se novo posredniško telo za izvajanje Sklada za pravični prehod, način za vzpostavitev terjatve za sistemsko nepravilnost, kadar ministrstvo nastopa hkrati v vlogi posredniškega telesa in upravičenca ali kadar v vlogi upravičenca nastopa drug neposredni proračunski uporabnik. </w:t>
      </w:r>
    </w:p>
    <w:p w14:paraId="26488E8E" w14:textId="77777777" w:rsidR="00E00738" w:rsidRDefault="00E00738" w:rsidP="00E00738"/>
    <w:p w14:paraId="02D03E5C" w14:textId="489194A8" w:rsidR="007F4D5C" w:rsidRDefault="00E00738" w:rsidP="00E00738">
      <w:r>
        <w:t>Spremembe prispevajo k večji pravni jasnosti in učinkovitejšemu izvajanju sistema evropske kohezijske politike oziroma učinkovitejšemu izvajanju le-te.</w:t>
      </w:r>
    </w:p>
    <w:p w14:paraId="43A6804B" w14:textId="64801AB1" w:rsidR="00E00738" w:rsidRPr="00E00738" w:rsidRDefault="00E00738" w:rsidP="00E00738">
      <w:pPr>
        <w:pStyle w:val="Vir"/>
        <w:rPr>
          <w:rStyle w:val="VirZnak"/>
        </w:rPr>
      </w:pPr>
      <w:r w:rsidRPr="00E00738">
        <w:t>Vir: Ministrstvo za kohezijo in regionalni razvoj</w:t>
      </w:r>
    </w:p>
    <w:p w14:paraId="669F393D" w14:textId="3FC688EC" w:rsidR="00D833CC" w:rsidRDefault="00D833CC" w:rsidP="00D833CC">
      <w:pPr>
        <w:pStyle w:val="Naslov2"/>
      </w:pPr>
      <w:r>
        <w:t>Vlada Republike Slovenije izdala Uredbo o spremembah Uredbe o organih v sestavi ministrstev</w:t>
      </w:r>
    </w:p>
    <w:p w14:paraId="2ADAD577" w14:textId="77777777" w:rsidR="00D833CC" w:rsidRDefault="00D833CC" w:rsidP="00D833CC">
      <w:r>
        <w:t xml:space="preserve">Vlada Republike Slovenije je izdala Uredbo o spremembah Uredbe o organih v sestavi ministrstev in jo objavi v Uradnem listu Republike Slovenije. </w:t>
      </w:r>
    </w:p>
    <w:p w14:paraId="283C0E20" w14:textId="77777777" w:rsidR="00D833CC" w:rsidRDefault="00D833CC" w:rsidP="00D833CC"/>
    <w:p w14:paraId="22F69793" w14:textId="1C138CEA" w:rsidR="00D833CC" w:rsidRDefault="00D833CC" w:rsidP="00D833CC">
      <w:r>
        <w:t xml:space="preserve">Zaradi ustanovitve nove Javne agencije Republike Slovenije za kakovost v </w:t>
      </w:r>
      <w:proofErr w:type="gramStart"/>
      <w:r>
        <w:t xml:space="preserve">zdravstvu  </w:t>
      </w:r>
      <w:proofErr w:type="gramEnd"/>
      <w:r>
        <w:t>dne 22. 3. 2025, je v Uredbi o organih v sestavi ministrstev treba uskladiti in spremeniti naziv in delovno področje tega urada.</w:t>
      </w:r>
    </w:p>
    <w:p w14:paraId="6921B3D9" w14:textId="77777777" w:rsidR="00D833CC" w:rsidRDefault="00D833CC" w:rsidP="00D833CC"/>
    <w:p w14:paraId="4CFD76AE" w14:textId="77777777" w:rsidR="00D833CC" w:rsidRDefault="00D833CC" w:rsidP="00D833CC">
      <w:r>
        <w:t xml:space="preserve">Javna agencija Republike Slovenije za kakovost v zdravstvu je prevzela naloge s področij zagotavljanja in razvoja kakovosti v zdravstvu in javne uslužbence, ki so v Uradu Republike Slovenije za nadzor, kakovost in </w:t>
      </w:r>
      <w:proofErr w:type="gramStart"/>
      <w:r>
        <w:t>investicije</w:t>
      </w:r>
      <w:proofErr w:type="gramEnd"/>
      <w:r>
        <w:t xml:space="preserve"> v zdravstvu opravljali prenesene naloge.</w:t>
      </w:r>
    </w:p>
    <w:p w14:paraId="168B8E18" w14:textId="32BECBCD" w:rsidR="007F4D5C" w:rsidRDefault="00D833CC" w:rsidP="00D833CC">
      <w:pPr>
        <w:pStyle w:val="Vir"/>
      </w:pPr>
      <w:r>
        <w:t>Vir: Ministrstvo za javno upravo</w:t>
      </w:r>
    </w:p>
    <w:p w14:paraId="54107733" w14:textId="65002E8F" w:rsidR="00010A67" w:rsidRDefault="00010A67" w:rsidP="00010A67">
      <w:pPr>
        <w:pStyle w:val="Naslov2"/>
      </w:pPr>
      <w:r w:rsidRPr="00CA0721">
        <w:t>Vlada se je seznanila z izvajanjem Načrta za okrevanje in odpornost</w:t>
      </w:r>
    </w:p>
    <w:p w14:paraId="16B9D16C" w14:textId="77777777" w:rsidR="00010A67" w:rsidRPr="00010A67" w:rsidRDefault="00010A67" w:rsidP="00010A67">
      <w:pPr>
        <w:jc w:val="both"/>
        <w:rPr>
          <w:rFonts w:cs="Arial"/>
          <w:szCs w:val="20"/>
        </w:rPr>
      </w:pPr>
      <w:r w:rsidRPr="00010A67">
        <w:rPr>
          <w:rFonts w:cs="Arial"/>
          <w:szCs w:val="20"/>
        </w:rPr>
        <w:t>Vlada se je danes seznanila z Informacijo o izvajanju Načrta za okrevanje in odpornost (NOO).</w:t>
      </w:r>
    </w:p>
    <w:p w14:paraId="71A3D34E" w14:textId="77777777" w:rsidR="00010A67" w:rsidRDefault="00010A67" w:rsidP="00010A67">
      <w:pPr>
        <w:jc w:val="both"/>
        <w:rPr>
          <w:rFonts w:cs="Arial"/>
          <w:szCs w:val="20"/>
        </w:rPr>
      </w:pPr>
      <w:r>
        <w:rPr>
          <w:rFonts w:cs="Arial"/>
          <w:szCs w:val="20"/>
        </w:rPr>
        <w:t xml:space="preserve">Od skupno </w:t>
      </w:r>
      <w:r w:rsidRPr="007D27CB">
        <w:rPr>
          <w:rFonts w:cs="Arial"/>
          <w:szCs w:val="20"/>
        </w:rPr>
        <w:t xml:space="preserve">1,54 milijarde evrov </w:t>
      </w:r>
      <w:r>
        <w:rPr>
          <w:rFonts w:cs="Arial"/>
          <w:szCs w:val="20"/>
        </w:rPr>
        <w:t>oziroma</w:t>
      </w:r>
      <w:r w:rsidRPr="007D27CB">
        <w:rPr>
          <w:rFonts w:cs="Arial"/>
          <w:szCs w:val="20"/>
        </w:rPr>
        <w:t xml:space="preserve"> 72 odstotkov vseh razpoložljivih sredstev</w:t>
      </w:r>
      <w:r>
        <w:rPr>
          <w:rFonts w:cs="Arial"/>
          <w:szCs w:val="20"/>
        </w:rPr>
        <w:t xml:space="preserve">, ki jih je Slovenija že prejela </w:t>
      </w:r>
      <w:r w:rsidRPr="007D27CB">
        <w:rPr>
          <w:rFonts w:cs="Arial"/>
          <w:szCs w:val="20"/>
        </w:rPr>
        <w:t>iz Mehanizma za okrevanje in odpornost</w:t>
      </w:r>
      <w:r>
        <w:rPr>
          <w:rFonts w:cs="Arial"/>
          <w:szCs w:val="20"/>
        </w:rPr>
        <w:t xml:space="preserve"> (Mehanizem), je </w:t>
      </w:r>
      <w:r w:rsidRPr="007D27CB">
        <w:rPr>
          <w:rFonts w:cs="Arial"/>
          <w:szCs w:val="20"/>
        </w:rPr>
        <w:t xml:space="preserve">država končnim prejemnikom </w:t>
      </w:r>
      <w:r>
        <w:rPr>
          <w:rFonts w:cs="Arial"/>
          <w:szCs w:val="20"/>
        </w:rPr>
        <w:t xml:space="preserve">za izvedene projektne </w:t>
      </w:r>
      <w:proofErr w:type="gramStart"/>
      <w:r>
        <w:rPr>
          <w:rFonts w:cs="Arial"/>
          <w:szCs w:val="20"/>
        </w:rPr>
        <w:t>aktivnosti</w:t>
      </w:r>
      <w:proofErr w:type="gramEnd"/>
      <w:r>
        <w:rPr>
          <w:rFonts w:cs="Arial"/>
          <w:szCs w:val="20"/>
        </w:rPr>
        <w:t xml:space="preserve"> do danes</w:t>
      </w:r>
      <w:r w:rsidRPr="00F5025B">
        <w:rPr>
          <w:rFonts w:cs="Arial"/>
          <w:szCs w:val="20"/>
        </w:rPr>
        <w:t xml:space="preserve"> </w:t>
      </w:r>
      <w:r w:rsidRPr="00190B8F">
        <w:rPr>
          <w:rFonts w:cs="Arial"/>
          <w:szCs w:val="20"/>
        </w:rPr>
        <w:t xml:space="preserve">izplačala </w:t>
      </w:r>
      <w:r w:rsidRPr="00A148FC">
        <w:rPr>
          <w:rFonts w:cs="Arial"/>
          <w:szCs w:val="20"/>
        </w:rPr>
        <w:t xml:space="preserve">1,36 milijarde evrov. Od tega </w:t>
      </w:r>
      <w:proofErr w:type="gramStart"/>
      <w:r w:rsidRPr="00A148FC">
        <w:rPr>
          <w:rFonts w:cs="Arial"/>
          <w:szCs w:val="20"/>
        </w:rPr>
        <w:t>v letošnjem letu</w:t>
      </w:r>
      <w:proofErr w:type="gramEnd"/>
      <w:r w:rsidRPr="00A148FC">
        <w:rPr>
          <w:rFonts w:cs="Arial"/>
          <w:szCs w:val="20"/>
        </w:rPr>
        <w:t xml:space="preserve"> 47,6 milijona evrov.</w:t>
      </w:r>
    </w:p>
    <w:p w14:paraId="365354AC" w14:textId="77777777" w:rsidR="00010A67" w:rsidRDefault="00010A67" w:rsidP="00010A67">
      <w:pPr>
        <w:jc w:val="both"/>
        <w:rPr>
          <w:rFonts w:cs="Arial"/>
          <w:szCs w:val="20"/>
        </w:rPr>
      </w:pPr>
    </w:p>
    <w:p w14:paraId="34EE4495" w14:textId="77777777" w:rsidR="00010A67" w:rsidRDefault="00010A67" w:rsidP="00010A67">
      <w:pPr>
        <w:jc w:val="both"/>
        <w:rPr>
          <w:rFonts w:cs="Arial"/>
          <w:szCs w:val="20"/>
        </w:rPr>
      </w:pPr>
      <w:r>
        <w:rPr>
          <w:rFonts w:cs="Arial"/>
          <w:szCs w:val="20"/>
        </w:rPr>
        <w:t>Ministrstva, ki so odgovorna za izvedbo naložb in reform, ocenjujejo, da so do zdaj izpolnila 119 mejnikov in ciljev od skupno 181-ih. Od tega je 91</w:t>
      </w:r>
      <w:r w:rsidRPr="004A7125">
        <w:rPr>
          <w:rFonts w:cs="Arial"/>
          <w:szCs w:val="20"/>
        </w:rPr>
        <w:t xml:space="preserve"> formalno izpolnjenih </w:t>
      </w:r>
      <w:r>
        <w:rPr>
          <w:rFonts w:cs="Arial"/>
          <w:szCs w:val="20"/>
        </w:rPr>
        <w:t>(</w:t>
      </w:r>
      <w:r w:rsidRPr="004A7125">
        <w:rPr>
          <w:rFonts w:cs="Arial"/>
          <w:szCs w:val="20"/>
        </w:rPr>
        <w:t xml:space="preserve">del prvih </w:t>
      </w:r>
      <w:r>
        <w:rPr>
          <w:rFonts w:cs="Arial"/>
          <w:szCs w:val="20"/>
        </w:rPr>
        <w:t>štirih</w:t>
      </w:r>
      <w:r w:rsidRPr="004A7125">
        <w:rPr>
          <w:rFonts w:cs="Arial"/>
          <w:szCs w:val="20"/>
        </w:rPr>
        <w:t xml:space="preserve"> že izplačanih zahtevkov</w:t>
      </w:r>
      <w:r>
        <w:rPr>
          <w:rFonts w:cs="Arial"/>
          <w:szCs w:val="20"/>
        </w:rPr>
        <w:t xml:space="preserve"> za plačilo), 16 </w:t>
      </w:r>
      <w:r w:rsidRPr="004A7125">
        <w:rPr>
          <w:rFonts w:cs="Arial"/>
          <w:szCs w:val="20"/>
        </w:rPr>
        <w:t xml:space="preserve">trenutno v pregledu </w:t>
      </w:r>
      <w:r>
        <w:rPr>
          <w:rFonts w:cs="Arial"/>
          <w:szCs w:val="20"/>
        </w:rPr>
        <w:t>na</w:t>
      </w:r>
      <w:r w:rsidRPr="004A7125">
        <w:rPr>
          <w:rFonts w:cs="Arial"/>
          <w:szCs w:val="20"/>
        </w:rPr>
        <w:t xml:space="preserve"> </w:t>
      </w:r>
      <w:r>
        <w:rPr>
          <w:rFonts w:cs="Arial"/>
          <w:szCs w:val="20"/>
        </w:rPr>
        <w:t>Evropski komisiji (EK)</w:t>
      </w:r>
      <w:r w:rsidRPr="004A7125">
        <w:rPr>
          <w:rFonts w:cs="Arial"/>
          <w:szCs w:val="20"/>
        </w:rPr>
        <w:t xml:space="preserve"> </w:t>
      </w:r>
      <w:r>
        <w:rPr>
          <w:rFonts w:cs="Arial"/>
          <w:szCs w:val="20"/>
        </w:rPr>
        <w:t>(</w:t>
      </w:r>
      <w:r w:rsidRPr="004A7125">
        <w:rPr>
          <w:rFonts w:cs="Arial"/>
          <w:szCs w:val="20"/>
        </w:rPr>
        <w:t xml:space="preserve">del </w:t>
      </w:r>
      <w:r>
        <w:rPr>
          <w:rFonts w:cs="Arial"/>
          <w:szCs w:val="20"/>
        </w:rPr>
        <w:t xml:space="preserve">aktualnega </w:t>
      </w:r>
      <w:hyperlink r:id="rId13" w:history="1">
        <w:r>
          <w:rPr>
            <w:rStyle w:val="Hiperpovezava"/>
            <w:rFonts w:cs="Arial"/>
            <w:szCs w:val="20"/>
          </w:rPr>
          <w:t xml:space="preserve">petega </w:t>
        </w:r>
        <w:r w:rsidRPr="0011739D">
          <w:rPr>
            <w:rStyle w:val="Hiperpovezava"/>
            <w:rFonts w:cs="Arial"/>
            <w:szCs w:val="20"/>
          </w:rPr>
          <w:t xml:space="preserve">zahtevka </w:t>
        </w:r>
        <w:proofErr w:type="gramStart"/>
        <w:r w:rsidRPr="0011739D">
          <w:rPr>
            <w:rStyle w:val="Hiperpovezava"/>
            <w:rFonts w:cs="Arial"/>
            <w:szCs w:val="20"/>
          </w:rPr>
          <w:t>za</w:t>
        </w:r>
        <w:proofErr w:type="gramEnd"/>
        <w:r w:rsidRPr="0011739D">
          <w:rPr>
            <w:rStyle w:val="Hiperpovezava"/>
            <w:rFonts w:cs="Arial"/>
            <w:szCs w:val="20"/>
          </w:rPr>
          <w:t xml:space="preserve"> plačilo</w:t>
        </w:r>
      </w:hyperlink>
      <w:r>
        <w:t>)</w:t>
      </w:r>
      <w:r>
        <w:rPr>
          <w:rFonts w:cs="Arial"/>
          <w:szCs w:val="20"/>
        </w:rPr>
        <w:t xml:space="preserve"> in 12</w:t>
      </w:r>
      <w:r w:rsidRPr="004A7125">
        <w:rPr>
          <w:rFonts w:cs="Arial"/>
          <w:szCs w:val="20"/>
        </w:rPr>
        <w:t>, ki bodo vključeni v naslednj</w:t>
      </w:r>
      <w:r>
        <w:rPr>
          <w:rFonts w:cs="Arial"/>
          <w:szCs w:val="20"/>
        </w:rPr>
        <w:t>a</w:t>
      </w:r>
      <w:r w:rsidRPr="004A7125">
        <w:rPr>
          <w:rFonts w:cs="Arial"/>
          <w:szCs w:val="20"/>
        </w:rPr>
        <w:t xml:space="preserve"> zahtevk</w:t>
      </w:r>
      <w:r>
        <w:rPr>
          <w:rFonts w:cs="Arial"/>
          <w:szCs w:val="20"/>
        </w:rPr>
        <w:t>a</w:t>
      </w:r>
      <w:r w:rsidRPr="004A7125">
        <w:rPr>
          <w:rFonts w:cs="Arial"/>
          <w:szCs w:val="20"/>
        </w:rPr>
        <w:t xml:space="preserve"> za plačilo</w:t>
      </w:r>
      <w:r>
        <w:rPr>
          <w:rFonts w:cs="Arial"/>
          <w:szCs w:val="20"/>
        </w:rPr>
        <w:t xml:space="preserve"> preostalih obrokov sredstev iz Mehanizma.</w:t>
      </w:r>
    </w:p>
    <w:p w14:paraId="0A558CB8" w14:textId="77777777" w:rsidR="00010A67" w:rsidRDefault="00010A67" w:rsidP="00010A67">
      <w:pPr>
        <w:jc w:val="both"/>
        <w:rPr>
          <w:rFonts w:cs="Arial"/>
          <w:szCs w:val="20"/>
        </w:rPr>
      </w:pPr>
    </w:p>
    <w:p w14:paraId="33C9DBAD" w14:textId="35E41710" w:rsidR="00010A67" w:rsidRDefault="00010A67" w:rsidP="00010A67">
      <w:pPr>
        <w:jc w:val="both"/>
        <w:rPr>
          <w:rFonts w:cs="Arial"/>
          <w:szCs w:val="20"/>
        </w:rPr>
      </w:pPr>
      <w:r w:rsidRPr="00D8096B">
        <w:rPr>
          <w:rFonts w:cs="Arial"/>
          <w:szCs w:val="20"/>
        </w:rPr>
        <w:t>Oddaja šestega zahtevka</w:t>
      </w:r>
      <w:r>
        <w:rPr>
          <w:rFonts w:cs="Arial"/>
          <w:szCs w:val="20"/>
        </w:rPr>
        <w:t xml:space="preserve"> za plačilo, ki bo vključeval osmi obrok nepovratnih sredstev,</w:t>
      </w:r>
      <w:r w:rsidRPr="00D8096B">
        <w:rPr>
          <w:rFonts w:cs="Arial"/>
          <w:szCs w:val="20"/>
        </w:rPr>
        <w:t xml:space="preserve"> je načrtovan</w:t>
      </w:r>
      <w:r>
        <w:rPr>
          <w:rFonts w:cs="Arial"/>
          <w:szCs w:val="20"/>
        </w:rPr>
        <w:t>a</w:t>
      </w:r>
      <w:r w:rsidRPr="00D8096B">
        <w:rPr>
          <w:rFonts w:cs="Arial"/>
          <w:szCs w:val="20"/>
        </w:rPr>
        <w:t xml:space="preserve"> za letošnjo pomlad</w:t>
      </w:r>
      <w:r>
        <w:rPr>
          <w:rFonts w:cs="Arial"/>
          <w:szCs w:val="20"/>
        </w:rPr>
        <w:t>. Z</w:t>
      </w:r>
      <w:r w:rsidRPr="00D8096B">
        <w:rPr>
          <w:rFonts w:cs="Arial"/>
          <w:szCs w:val="20"/>
        </w:rPr>
        <w:t>adnji oziroma sedmi zahtevek za plačilo</w:t>
      </w:r>
      <w:r>
        <w:rPr>
          <w:rFonts w:cs="Arial"/>
          <w:szCs w:val="20"/>
        </w:rPr>
        <w:t xml:space="preserve">, ki bo vključeval deveti obrok za nepovratna </w:t>
      </w:r>
      <w:r>
        <w:rPr>
          <w:rFonts w:cs="Arial"/>
          <w:szCs w:val="20"/>
        </w:rPr>
        <w:lastRenderedPageBreak/>
        <w:t xml:space="preserve">sredstva in predvidoma četrti obrok posojil, </w:t>
      </w:r>
      <w:r w:rsidRPr="00D8096B">
        <w:rPr>
          <w:rFonts w:cs="Arial"/>
          <w:szCs w:val="20"/>
        </w:rPr>
        <w:t>mora Slovenija v Bruselj posredovati najkasneje do 30. septembra 2026.</w:t>
      </w:r>
    </w:p>
    <w:p w14:paraId="2CA85555" w14:textId="77777777" w:rsidR="00010A67" w:rsidRDefault="00010A67" w:rsidP="00010A67">
      <w:pPr>
        <w:jc w:val="both"/>
        <w:rPr>
          <w:rFonts w:cs="Arial"/>
          <w:szCs w:val="20"/>
        </w:rPr>
      </w:pPr>
    </w:p>
    <w:p w14:paraId="61FD43A1" w14:textId="0F042266" w:rsidR="00010A67" w:rsidRDefault="00010A67" w:rsidP="00010A67">
      <w:pPr>
        <w:jc w:val="both"/>
        <w:rPr>
          <w:rFonts w:cs="Arial"/>
          <w:szCs w:val="20"/>
        </w:rPr>
      </w:pPr>
      <w:r>
        <w:rPr>
          <w:rFonts w:cs="Arial"/>
          <w:szCs w:val="20"/>
        </w:rPr>
        <w:t xml:space="preserve">Na vsebino zahtevkov za plačilo in predvideno časovnico njihove oddaje bo vplivala tudi </w:t>
      </w:r>
      <w:hyperlink r:id="rId14" w:history="1">
        <w:r w:rsidRPr="00C17ABC">
          <w:rPr>
            <w:rStyle w:val="Hiperpovezava"/>
            <w:rFonts w:cs="Arial"/>
            <w:szCs w:val="20"/>
          </w:rPr>
          <w:t>pet</w:t>
        </w:r>
        <w:r>
          <w:rPr>
            <w:rStyle w:val="Hiperpovezava"/>
            <w:rFonts w:cs="Arial"/>
            <w:szCs w:val="20"/>
          </w:rPr>
          <w:t>a</w:t>
        </w:r>
        <w:r w:rsidRPr="00C17ABC">
          <w:rPr>
            <w:rStyle w:val="Hiperpovezava"/>
            <w:rFonts w:cs="Arial"/>
            <w:szCs w:val="20"/>
          </w:rPr>
          <w:t xml:space="preserve"> sprememb</w:t>
        </w:r>
        <w:r>
          <w:rPr>
            <w:rStyle w:val="Hiperpovezava"/>
            <w:rFonts w:cs="Arial"/>
            <w:szCs w:val="20"/>
          </w:rPr>
          <w:t>a</w:t>
        </w:r>
        <w:r w:rsidRPr="00C17ABC">
          <w:rPr>
            <w:rStyle w:val="Hiperpovezava"/>
            <w:rFonts w:cs="Arial"/>
            <w:szCs w:val="20"/>
          </w:rPr>
          <w:t xml:space="preserve"> NOO</w:t>
        </w:r>
      </w:hyperlink>
      <w:r>
        <w:rPr>
          <w:rFonts w:cs="Arial"/>
          <w:szCs w:val="20"/>
        </w:rPr>
        <w:t xml:space="preserve">. Predlog spremembe, ki ga je vlada potrdila nedavno, bo do končne potrditve s strani Sveta Evropske unije predmet usklajevanj z EK. </w:t>
      </w:r>
    </w:p>
    <w:p w14:paraId="4C1851C7" w14:textId="77777777" w:rsidR="00010A67" w:rsidRDefault="00010A67" w:rsidP="00010A67">
      <w:pPr>
        <w:pStyle w:val="Vir"/>
      </w:pPr>
      <w:bookmarkStart w:id="0" w:name="_Hlk195168908"/>
      <w:r>
        <w:t>Vir: Ministrstvo za finance</w:t>
      </w:r>
    </w:p>
    <w:p w14:paraId="29DBC0C0" w14:textId="6729E6C4" w:rsidR="007F4D5C" w:rsidRDefault="000C5456" w:rsidP="000C5456">
      <w:pPr>
        <w:pStyle w:val="Naslov2"/>
      </w:pPr>
      <w:bookmarkStart w:id="1" w:name="_Hlk222840917"/>
      <w:bookmarkEnd w:id="0"/>
      <w:r>
        <w:t>Z</w:t>
      </w:r>
      <w:r w:rsidR="007F4D5C">
        <w:t>agotovit</w:t>
      </w:r>
      <w:r>
        <w:t>ev</w:t>
      </w:r>
      <w:r w:rsidR="007F4D5C">
        <w:t xml:space="preserve"> sredstev za sofinanciranje dvojezičnosti in uresničevanje ustavnih pravic avtohtone italijanske in madžarske narodne skupnosti v letu 2026</w:t>
      </w:r>
    </w:p>
    <w:p w14:paraId="020D9E1F" w14:textId="77777777" w:rsidR="000C5456" w:rsidRDefault="000C5456" w:rsidP="000C5456">
      <w:r>
        <w:t>Vlada Republike Slovenije je izdala odločbo o zagotovitvi sredstev za sofinanciranje dvojezičnosti in</w:t>
      </w:r>
    </w:p>
    <w:p w14:paraId="5F77BE5C" w14:textId="77777777" w:rsidR="000C5456" w:rsidRDefault="000C5456" w:rsidP="000C5456">
      <w:r>
        <w:t>uresničevanje ustavnih pravic avtohtone italijanske in madžarske narodne skupnosti v letu</w:t>
      </w:r>
    </w:p>
    <w:p w14:paraId="3B6B0E15" w14:textId="0FCECAFC" w:rsidR="000C5456" w:rsidRDefault="000C5456" w:rsidP="000C5456">
      <w:r>
        <w:t>2026.</w:t>
      </w:r>
    </w:p>
    <w:p w14:paraId="5ED0B04F" w14:textId="77777777" w:rsidR="000C5456" w:rsidRDefault="000C5456" w:rsidP="000C5456"/>
    <w:p w14:paraId="20E703E3" w14:textId="77777777" w:rsidR="000C5456" w:rsidRPr="000C5456" w:rsidRDefault="000C5456" w:rsidP="000C5456">
      <w:r w:rsidRPr="000C5456">
        <w:t xml:space="preserve">Odločba na podlagi določb uredbe o postopku in merilih vsebuje izračun obsega sredstev, ki v letu 2026 pripadajo posameznim občinam, v katerih živita italijanska oziroma madžarska narodna skupnost, vključno z občinskimi samoupravnimi narodnimi skupnostmi, in obrazložitev izračuna. </w:t>
      </w:r>
    </w:p>
    <w:p w14:paraId="598CD828" w14:textId="77777777" w:rsidR="000C5456" w:rsidRPr="000C5456" w:rsidRDefault="000C5456" w:rsidP="000C5456">
      <w:r w:rsidRPr="000C5456">
        <w:t>V letu 2026 ob višini povprečnine 835,00 evra znaša 0,15</w:t>
      </w:r>
      <w:proofErr w:type="gramStart"/>
      <w:r w:rsidRPr="000C5456">
        <w:t xml:space="preserve"> %</w:t>
      </w:r>
      <w:proofErr w:type="gramEnd"/>
      <w:r w:rsidRPr="000C5456">
        <w:t xml:space="preserve"> skupne primerne porabe občin oziroma obseg z odločbo zagotovljenih sredstev 2.578.464,00 evra.</w:t>
      </w:r>
    </w:p>
    <w:p w14:paraId="0B4D5552" w14:textId="77777777" w:rsidR="000C5456" w:rsidRPr="000C5456" w:rsidRDefault="000C5456" w:rsidP="000C5456"/>
    <w:p w14:paraId="30CED5A6" w14:textId="77777777" w:rsidR="000C5456" w:rsidRPr="000C5456" w:rsidRDefault="000C5456" w:rsidP="000C5456">
      <w:r w:rsidRPr="000C5456">
        <w:t xml:space="preserve">S to odločbo zagotovljena sredstva se bodo Mestni občini Koper in občinam Ankaran, Izola, Piran, Lendava, Moravske Toplice, Dobrovnik, Hodoš, Šalovci ter Madžarski narodni samoupravni skupnosti Občine Šalovci in Madžarski samoupravni narodni skupnosti Občine Dobrovnik, ki sta podali zahtevo za neposredno financiranje, </w:t>
      </w:r>
      <w:proofErr w:type="gramStart"/>
      <w:r w:rsidRPr="000C5456">
        <w:t>nakazala</w:t>
      </w:r>
      <w:proofErr w:type="gramEnd"/>
      <w:r w:rsidRPr="000C5456">
        <w:t xml:space="preserve"> v roku desetih delovnih dni po vročitvi odločbe.</w:t>
      </w:r>
    </w:p>
    <w:p w14:paraId="7088055D" w14:textId="622F4B4C" w:rsidR="000C5456" w:rsidRDefault="000C5456" w:rsidP="000C5456">
      <w:pPr>
        <w:pStyle w:val="Vir"/>
      </w:pPr>
      <w:r w:rsidRPr="000C5456">
        <w:t>Vir: Urad za narodnosti</w:t>
      </w:r>
    </w:p>
    <w:bookmarkEnd w:id="1"/>
    <w:p w14:paraId="7F00EE3A" w14:textId="2A590BE2" w:rsidR="007F4D5C" w:rsidRPr="00C51186" w:rsidRDefault="007F4D5C" w:rsidP="007F4D5C">
      <w:pPr>
        <w:rPr>
          <w:b/>
          <w:bCs/>
        </w:rPr>
      </w:pPr>
      <w:r w:rsidRPr="00C51186">
        <w:rPr>
          <w:b/>
          <w:bCs/>
        </w:rPr>
        <w:t>Program dela državne geodetske službe za leto 2026</w:t>
      </w:r>
    </w:p>
    <w:p w14:paraId="0714DDB3" w14:textId="77777777" w:rsidR="00C51186" w:rsidRDefault="00C51186" w:rsidP="007F4D5C"/>
    <w:p w14:paraId="244FB89C" w14:textId="7BF75CBA" w:rsidR="00462674" w:rsidRDefault="00C51186" w:rsidP="00462674">
      <w:r>
        <w:t xml:space="preserve">Vlada Republike Slovenije je sprejela Program dela državne geodetske službe za leto 2026. </w:t>
      </w:r>
      <w:r w:rsidR="00462674">
        <w:t>Program dela državne geodetske službe za leto 2026 je pripravljen v skladu z Zakonom o geodetski dejavnosti, ki določa, da Geodetska uprava Republike Slovenije pripravi in Vladi Republike Slovenije v sprejem predloži letni program dela. Program vsebuje podrobnejšo opredelitev nalog državne geodetske službe, njihov predvideni obseg ter načrtovana sredstva za njihovo izvajanje.</w:t>
      </w:r>
    </w:p>
    <w:p w14:paraId="23015417" w14:textId="77777777" w:rsidR="00462674" w:rsidRDefault="00462674" w:rsidP="00462674"/>
    <w:p w14:paraId="2169FF7B" w14:textId="5BAD50CB" w:rsidR="00462674" w:rsidRDefault="00462674" w:rsidP="00462674">
      <w:r>
        <w:t>V program so vključene tudi naloge Geodetskega inštituta Slovenije. Sredstva za izvajanje nalog temeljijo na sprejetem proračunu Geodetske uprave Republike Slovenije za leto 2026 ter na sredstvih drugih resorjev, za katere naloge izvaja Geodetski inštitut Slovenije. Pregled načrtovanih sredstev je razviden iz finančne tabele programa.</w:t>
      </w:r>
    </w:p>
    <w:p w14:paraId="797A37D5" w14:textId="77777777" w:rsidR="00462674" w:rsidRDefault="00462674" w:rsidP="00462674"/>
    <w:p w14:paraId="7A7ADE1B" w14:textId="0503AFC1" w:rsidR="00462674" w:rsidRDefault="00462674" w:rsidP="00462674">
      <w:r>
        <w:t xml:space="preserve">V okviru projekta VAIKARDD, ki se financira iz kohezijske politike, je v pripravi sprememba </w:t>
      </w:r>
      <w:proofErr w:type="gramStart"/>
      <w:r>
        <w:t>investicijskega</w:t>
      </w:r>
      <w:proofErr w:type="gramEnd"/>
      <w:r>
        <w:t xml:space="preserve"> načrta, s katero se predvideva prenos neporabljenih sredstev iz leta 2025 v leto 2026. Sredstva bodo zagotovljena s prerazporeditvijo pravic porabe znotraj obstoječih proračunskih postavk, namenjenih podpornim dejavnostim in </w:t>
      </w:r>
      <w:proofErr w:type="gramStart"/>
      <w:r>
        <w:t>administraciji</w:t>
      </w:r>
      <w:proofErr w:type="gramEnd"/>
      <w:r>
        <w:t xml:space="preserve"> Geodetske uprave Republike Slovenije.</w:t>
      </w:r>
    </w:p>
    <w:p w14:paraId="0C8D49A8" w14:textId="56A7BC80" w:rsidR="00C51186" w:rsidRDefault="00462674" w:rsidP="00462674">
      <w:r>
        <w:t>Program dela za leto 2026 zagotavlja stabilno izvajanje temeljnih nalog državne geodetske službe ter nadaljnji razvoj evidenc in storitev, ki so ključne za učinkovito upravljanje prostora in nepremičnin.</w:t>
      </w:r>
    </w:p>
    <w:p w14:paraId="0C312619" w14:textId="25CBBD86" w:rsidR="00C51186" w:rsidRDefault="00C51186" w:rsidP="00C51186">
      <w:pPr>
        <w:pStyle w:val="Vir"/>
      </w:pPr>
      <w:r w:rsidRPr="00C51186">
        <w:t>Vir: Ministrstvo za naravne vire in prostor</w:t>
      </w:r>
    </w:p>
    <w:p w14:paraId="67664B68" w14:textId="560921D5" w:rsidR="00642D21" w:rsidRDefault="00642D21" w:rsidP="00642D21">
      <w:pPr>
        <w:pStyle w:val="Naslov2"/>
      </w:pPr>
      <w:r>
        <w:t>Vlada potrdila oceno škode na kmetijskih pridelkih zaradi posledic suše v letu 2025</w:t>
      </w:r>
    </w:p>
    <w:p w14:paraId="59603BE0" w14:textId="77777777" w:rsidR="00642D21" w:rsidRDefault="00642D21" w:rsidP="00642D21">
      <w:r>
        <w:lastRenderedPageBreak/>
        <w:t xml:space="preserve">Vlada Republike Slovenije je na današnji dopisni seji potrdila oceno škode na kmetijskih pridelkih zaradi posledic suše v letu 2025, ki je povzročila škodo v višini 42.343.846,47 evra. Ocenjena škoda presega 0,3 </w:t>
      </w:r>
      <w:proofErr w:type="gramStart"/>
      <w:r>
        <w:t>promila</w:t>
      </w:r>
      <w:proofErr w:type="gramEnd"/>
      <w:r>
        <w:t xml:space="preserve"> načrtovanih prihodkov državnega proračuna za leto 2025, tako da je dosežen limit za državno pomoč v skladu z Zakonom o odpravi posledic naravnih nesreč. Sestavni del ocene sta prilogi, v katerih so navedene občine ter kulture z več kot 30-odstotno poškodovanostjo in obseg prizadetih površin škode na kmetijskih pridelkih zaradi posledic suše v letu 2025. </w:t>
      </w:r>
    </w:p>
    <w:p w14:paraId="5BE5F809" w14:textId="77777777" w:rsidR="00642D21" w:rsidRDefault="00642D21" w:rsidP="00642D21"/>
    <w:p w14:paraId="20694E2F" w14:textId="77777777" w:rsidR="00642D21" w:rsidRDefault="00642D21" w:rsidP="00642D21">
      <w:r>
        <w:t xml:space="preserve">Ministrstvo za kmetijstvo, gozdarstvo in prehrano bo na podlagi ocene škode na kmetijskih pridelkih zaradi posledic suše v letu 2025 pripravilo program za odpravo posledic škode v skladu z Zakonom o odpravi posledic naravnih nesreč in pri tem upoštevalo ocene ter druge podatke, ki so v prilogah te ocene. Ministrstvo bo pri pripravi programa, podatke o obsegu prizadetih kmetijskih površin in vrsti </w:t>
      </w:r>
      <w:proofErr w:type="gramStart"/>
      <w:r>
        <w:t>kultur</w:t>
      </w:r>
      <w:proofErr w:type="gramEnd"/>
      <w:r>
        <w:t>, za katere je prijavljena škoda zaradi posledic suše 2025, uskladilo s podatki, ki so jih oškodovanci posredovali Agenciji Republike Slovenije za kmetijske trge in razvoj podeželja, ter z drugimi predpisanimi evidencami; rodnost, register namakalnih sistemov, izpad pridelka ter drugimi, ki jih ni bilo mogoče preveriti v postopkih ocenjevanja škode.</w:t>
      </w:r>
    </w:p>
    <w:p w14:paraId="02E91D8C" w14:textId="77777777" w:rsidR="00642D21" w:rsidRDefault="00642D21" w:rsidP="00642D21"/>
    <w:p w14:paraId="441F2760" w14:textId="77777777" w:rsidR="00642D21" w:rsidRDefault="00642D21" w:rsidP="00642D21">
      <w:r>
        <w:t>Uprava Republike Slovenije za zaščito in reševanje bo digitalno predala dokumentacijo o oceni škode na kmetijskih pridelkih zaradi posledic suše v letu 2025 Agenciji Republike Slovenije za kmetijske trge in razvoj podeželja.</w:t>
      </w:r>
    </w:p>
    <w:p w14:paraId="7A366B76" w14:textId="77777777" w:rsidR="00642D21" w:rsidRDefault="00642D21" w:rsidP="00642D21"/>
    <w:p w14:paraId="14C579B1" w14:textId="77777777" w:rsidR="00642D21" w:rsidRDefault="00642D21" w:rsidP="00642D21">
      <w:r>
        <w:t xml:space="preserve">Poročilo obravnava oceno škode na kmetijskih pridelkih zaradi posledic suše, ki je povzročila škodo v Dolenjski, Gorenjski, Koroški, Ljubljanski, Notranjski, Podravski, Pomurski, Posavski, Vzhodnoštajerski in </w:t>
      </w:r>
      <w:proofErr w:type="spellStart"/>
      <w:r>
        <w:t>Zahodnoštajerski</w:t>
      </w:r>
      <w:proofErr w:type="spellEnd"/>
      <w:r>
        <w:t xml:space="preserve"> </w:t>
      </w:r>
      <w:proofErr w:type="gramStart"/>
      <w:r>
        <w:t>regiji</w:t>
      </w:r>
      <w:proofErr w:type="gramEnd"/>
      <w:r>
        <w:t>. Škodo je dne 7. januarja 2026 verificirala Državna komisija za ocenjevanje škode. Vlada Republike Slovenije je potrdila stroške ocenjevanja škode, ki so jo opravile občinske komisije ter Uprava Republike Slovenije za zaščito in reševanje v skupni višini 17.164,00 evra.</w:t>
      </w:r>
    </w:p>
    <w:p w14:paraId="20DB1AC5" w14:textId="76DA3D76" w:rsidR="007F4D5C" w:rsidRDefault="00642D21" w:rsidP="00642D21">
      <w:pPr>
        <w:pStyle w:val="Vir"/>
      </w:pPr>
      <w:r>
        <w:t>Vir: Ministrstvo za obrambo</w:t>
      </w:r>
    </w:p>
    <w:p w14:paraId="050D4E2C" w14:textId="4D8281E2" w:rsidR="00B73A77" w:rsidRDefault="00B73A77" w:rsidP="00B73A77">
      <w:pPr>
        <w:pStyle w:val="Naslov2"/>
      </w:pPr>
      <w:r>
        <w:t>Vlada potrdila oceno škode na trajnih nasadih zaradi posledic pozebe v letu 2025</w:t>
      </w:r>
    </w:p>
    <w:p w14:paraId="4784FD7B" w14:textId="77777777" w:rsidR="00B73A77" w:rsidRDefault="00B73A77" w:rsidP="00B73A77">
      <w:r>
        <w:t xml:space="preserve">Vlada Republike Slovenije je na današnji dopisni seji potrdila oceno škode na trajnih nasadih zaradi posledic pozebe v letu 2025, ki je povzročila škodo v višini 35.194.178,83 evra. Ocenjena škoda presega 0,3 </w:t>
      </w:r>
      <w:proofErr w:type="gramStart"/>
      <w:r>
        <w:t>promila</w:t>
      </w:r>
      <w:proofErr w:type="gramEnd"/>
      <w:r>
        <w:t xml:space="preserve"> načrtovanih prihodkov državnega proračuna za leto 2025, tako da je dosežen limit za državno pomoč v skladu z Zakonom o odpravi posledic naravnih nesreč. Sestavni del ocene sta prilogi, v katerih so navedene občine ter kulture z več kot 30-odstotno poškodovanostjo in obseg prizadetih površin škode na trajnih nasadih zaradi posledic pozebe v letu 2025. </w:t>
      </w:r>
    </w:p>
    <w:p w14:paraId="53FD4587" w14:textId="77777777" w:rsidR="00B73A77" w:rsidRDefault="00B73A77" w:rsidP="00B73A77"/>
    <w:p w14:paraId="366130D3" w14:textId="77777777" w:rsidR="00B73A77" w:rsidRDefault="00B73A77" w:rsidP="00B73A77">
      <w:r>
        <w:t>Ministrstvo za kmetijstvo, gozdarstvo in prehrano bo na podlagi oceno škode na trajnih nasadih zaradi posledic pozebe v letu 2025 pripravilo program za odpravo posledic škode v skladu z Zakonom o odpravi posledic naravnih nesreč in pri tem upoštevalo ocene ter druge podatke, ki so v prilogah te ocene. Ministrstvo bo pri pripravi programa podatke o obsegu prizadetih kmetijskih površin in vrsti kultur, za katere je prijavljena škoda zaradi posledic pozebe 2025, uskladilo s podatki, ki so jih oškodovanci posredovali Agenciji Republike Slovenije za kmetijske trge in razvoj podeželja, ter z drugimi predpisanimi evidencami; rodnost, register pridelovalcev grozdja, register pridelovalcev jabolk in izpad pridelka ter drugimi, ki jih ni bilo mogoče preveriti v postopkih ocenjevanja škode.</w:t>
      </w:r>
    </w:p>
    <w:p w14:paraId="499ACDE4" w14:textId="77777777" w:rsidR="00B73A77" w:rsidRDefault="00B73A77" w:rsidP="00B73A77"/>
    <w:p w14:paraId="52D9895B" w14:textId="77777777" w:rsidR="00B73A77" w:rsidRDefault="00B73A77" w:rsidP="00B73A77">
      <w:r>
        <w:t>Uprava Republike Slovenije za zaščito in reševanje bo digitalno predala dokumentacijo o oceni škode na trajnih nasadih zaradi posledic pozebe v letu 2025 Agenciji Republike Slovenije za kmetijske trge in razvoj podeželja.</w:t>
      </w:r>
    </w:p>
    <w:p w14:paraId="7E77469D" w14:textId="77777777" w:rsidR="00B73A77" w:rsidRDefault="00B73A77" w:rsidP="00B73A77"/>
    <w:p w14:paraId="40DCFE14" w14:textId="77777777" w:rsidR="00B73A77" w:rsidRDefault="00B73A77" w:rsidP="00B73A77">
      <w:r>
        <w:lastRenderedPageBreak/>
        <w:t>Vlada Republike Slovenije je potrdila stroške ocenjevanja škode zaradi posledic pozebe, ki so jo opravile občinske komisije ter Uprava Republike Slovenije za zaščito in reševanje v skupni višini 1.944,00 evra.</w:t>
      </w:r>
    </w:p>
    <w:p w14:paraId="790C27A5" w14:textId="77777777" w:rsidR="00B73A77" w:rsidRDefault="00B73A77" w:rsidP="00B73A77"/>
    <w:p w14:paraId="6259D1BC" w14:textId="77777777" w:rsidR="00B73A77" w:rsidRDefault="00B73A77" w:rsidP="00B73A77">
      <w:r>
        <w:t xml:space="preserve">Poročilo obravnava Oceno škode na trajnih nasadih zaradi posledic pozebe, ki je povzročila škodo v Dolenjski, Gorenjski, Ljubljanski, Notranjski, Podravski, Pomurski, Posavski, </w:t>
      </w:r>
      <w:proofErr w:type="gramStart"/>
      <w:r>
        <w:t>Vzhodno-štajerski</w:t>
      </w:r>
      <w:proofErr w:type="gramEnd"/>
      <w:r>
        <w:t xml:space="preserve">, Zahodno-štajerski in Zasavski regiji, v višini 35.194.178,83 evra. Škodo je dne </w:t>
      </w:r>
      <w:proofErr w:type="gramStart"/>
      <w:r>
        <w:t>7. 1. 2026</w:t>
      </w:r>
      <w:proofErr w:type="gramEnd"/>
      <w:r>
        <w:t xml:space="preserve"> verificirala Državna komisija za ocenjevanje škode.</w:t>
      </w:r>
    </w:p>
    <w:p w14:paraId="5E25678B" w14:textId="2AD00F9C" w:rsidR="000D273D" w:rsidRDefault="00B73A77" w:rsidP="00B73A77">
      <w:pPr>
        <w:pStyle w:val="Vir"/>
      </w:pPr>
      <w:r>
        <w:t>Vir: Ministrstvo za obrambo</w:t>
      </w:r>
    </w:p>
    <w:p w14:paraId="337626C3" w14:textId="3619449F" w:rsidR="007F4D5C" w:rsidRDefault="007F4D5C" w:rsidP="006D56B5">
      <w:pPr>
        <w:pStyle w:val="Naslov2"/>
      </w:pPr>
      <w:r>
        <w:t>Povečanj</w:t>
      </w:r>
      <w:r w:rsidR="006D56B5">
        <w:t>e</w:t>
      </w:r>
      <w:r>
        <w:t xml:space="preserve"> namenskega premoženja in kapitala Stanovanjskega sklada Republike Slovenije</w:t>
      </w:r>
    </w:p>
    <w:p w14:paraId="14B575D1" w14:textId="77777777" w:rsidR="006D56B5" w:rsidRDefault="006D56B5" w:rsidP="006D56B5">
      <w:r w:rsidRPr="006D56B5">
        <w:t xml:space="preserve">Vlada podprla sklep o dokapitalizaciji Stanovanjskega sklada Republike Slovenije v višini 75 milijonov evrov. Republiški sklad bo ta sredstva namenil za programe sofinanciranja gradnje projektov lokalnih skupnosti ter za nakupe primernih zemljišč za svoje projekte sklada in odkupe stanovanj. </w:t>
      </w:r>
    </w:p>
    <w:p w14:paraId="09B7662F" w14:textId="77777777" w:rsidR="006D56B5" w:rsidRDefault="006D56B5" w:rsidP="006D56B5"/>
    <w:p w14:paraId="6E7387BA" w14:textId="107593E5" w:rsidR="006D56B5" w:rsidRPr="006D56B5" w:rsidRDefault="006D56B5" w:rsidP="006D56B5">
      <w:r w:rsidRPr="006D56B5">
        <w:t>Vlada je podprla tudi sklep, ki stanovanjskemu skladu omogoča, da neporabljena sredstva, ki jih je prejel z dokapitalizacijama v letu 2023 in 2024, nameni za nove javne pozive in izvajanje novega programa soinvestitorstva in partnerstva z občinami, lokalnimi stanovanjskimi skladi in neprofitnimi stanovanjskimi organizacijami.</w:t>
      </w:r>
    </w:p>
    <w:p w14:paraId="43F1087F" w14:textId="73D29054" w:rsidR="006D56B5" w:rsidRPr="006D56B5" w:rsidRDefault="006D56B5" w:rsidP="006D56B5">
      <w:pPr>
        <w:pStyle w:val="Vir"/>
      </w:pPr>
      <w:r w:rsidRPr="006D56B5">
        <w:t>Vir: Ministrstvo za solidarno prihodnost</w:t>
      </w:r>
    </w:p>
    <w:p w14:paraId="732EBBF5" w14:textId="4B768D06" w:rsidR="003C2B33" w:rsidRDefault="003C2B33" w:rsidP="003C2B33">
      <w:pPr>
        <w:pStyle w:val="Naslov2"/>
      </w:pPr>
      <w:r>
        <w:t xml:space="preserve">Sklep o podaljšanju financiranja nastanitvenega </w:t>
      </w:r>
      <w:proofErr w:type="gramStart"/>
      <w:r>
        <w:t>centra</w:t>
      </w:r>
      <w:proofErr w:type="gramEnd"/>
      <w:r>
        <w:t xml:space="preserve"> Postojna</w:t>
      </w:r>
    </w:p>
    <w:p w14:paraId="5210F0CC" w14:textId="77777777" w:rsidR="003C2B33" w:rsidRDefault="003C2B33" w:rsidP="003C2B33">
      <w:r>
        <w:t xml:space="preserve">Vlada Republike Slovenije je v letu 2022 v skladu z Zakonom o začasni zaščiti razseljenih oseb za nastanitev prosilcev za začasno zaščito in oseb z začasno zaščito ustanovila Nastanitveni </w:t>
      </w:r>
      <w:proofErr w:type="gramStart"/>
      <w:r>
        <w:t>center</w:t>
      </w:r>
      <w:proofErr w:type="gramEnd"/>
      <w:r>
        <w:t xml:space="preserve"> v Postojni. Omenjeni </w:t>
      </w:r>
      <w:proofErr w:type="gramStart"/>
      <w:r>
        <w:t>center</w:t>
      </w:r>
      <w:proofErr w:type="gramEnd"/>
      <w:r>
        <w:t xml:space="preserve"> je bil ustanovljen v letu 2022, njegovo delovanje se podaljšuje vsako leto in je odvisno od veljavnosti začasne zaščite. Glede na to, da je status začasne zaščite osebam iz Ukrajine priznan do leta 2027, se s sklepom podaljšuje tudi delovanje nastanitvenega centra do </w:t>
      </w:r>
      <w:proofErr w:type="gramStart"/>
      <w:r>
        <w:t>4. 3. 2027</w:t>
      </w:r>
      <w:proofErr w:type="gramEnd"/>
      <w:r>
        <w:t xml:space="preserve">. </w:t>
      </w:r>
    </w:p>
    <w:p w14:paraId="4FE183D8" w14:textId="77777777" w:rsidR="003C2B33" w:rsidRDefault="003C2B33" w:rsidP="003C2B33"/>
    <w:p w14:paraId="6EF29760" w14:textId="1289E9F8" w:rsidR="003C2B33" w:rsidRDefault="003C2B33" w:rsidP="003C2B33">
      <w:r>
        <w:t xml:space="preserve">Trenutno je v </w:t>
      </w:r>
      <w:proofErr w:type="gramStart"/>
      <w:r>
        <w:t>centru</w:t>
      </w:r>
      <w:proofErr w:type="gramEnd"/>
      <w:r>
        <w:t xml:space="preserve"> nastanjenih 109 oseb. </w:t>
      </w:r>
    </w:p>
    <w:p w14:paraId="32A2B3C2" w14:textId="61F92A69" w:rsidR="007F4D5C" w:rsidRDefault="003C2B33" w:rsidP="003C2B33">
      <w:pPr>
        <w:pStyle w:val="Vir"/>
      </w:pPr>
      <w:r>
        <w:t>Vir: Urad Vlade Republike Slovenije za oskrbo in integracijo migrantov</w:t>
      </w:r>
    </w:p>
    <w:p w14:paraId="5487AD16" w14:textId="2590B98D" w:rsidR="00743B38" w:rsidRDefault="00743B38" w:rsidP="00743B38">
      <w:pPr>
        <w:pStyle w:val="Naslov2"/>
      </w:pPr>
      <w:r>
        <w:t>Vlada o prerazporeditvi sredstev direkcije za infrastrukturo</w:t>
      </w:r>
    </w:p>
    <w:p w14:paraId="429B078D" w14:textId="73ED0A59" w:rsidR="007F4D5C" w:rsidRDefault="00743B38" w:rsidP="00743B38">
      <w:r>
        <w:t>Vlada je danes potrdila prerazporeditev pravic porabe znotraj finančnega načrta Direkcije Republike Slovenije za infrastrukturo, in sicer v višini 8,5 milijona evrov. Sredstva bodo namenjena rednemu vzdrževanju državnih cest.</w:t>
      </w:r>
    </w:p>
    <w:p w14:paraId="233A3677" w14:textId="77777777" w:rsidR="00743B38" w:rsidRDefault="00743B38" w:rsidP="00743B38">
      <w:pPr>
        <w:pStyle w:val="Vir"/>
      </w:pPr>
      <w:r>
        <w:t>Vir: Ministrstvo za finance</w:t>
      </w:r>
    </w:p>
    <w:p w14:paraId="341EBC56" w14:textId="7F901C15" w:rsidR="00805872" w:rsidRDefault="00805872" w:rsidP="00805872">
      <w:pPr>
        <w:pStyle w:val="Naslov2"/>
      </w:pPr>
      <w:r>
        <w:t xml:space="preserve">Dodatnih 8.000.000 evrov za sofinanciranje zasebne polnilne infrastrukture za električna vozila </w:t>
      </w:r>
    </w:p>
    <w:p w14:paraId="22E184C8" w14:textId="77777777" w:rsidR="00805872" w:rsidRDefault="00805872" w:rsidP="00805872">
      <w:r>
        <w:t>Vlada Republike Slovenije je v Načrt razvojnih programov 2026–2029 uvrstila nov projekt »Zasebna polnilna infrastruktura za električna vozila v obdobju od 2026 do 2027«. S tem je omogočila izvajanje javnega poziva za spodbude za zasebno polnilno infrastrukturo za električna vozila v vrednosti 8.000.000 evrov, s predvidenim zaključkom 31. decembra 2027.</w:t>
      </w:r>
    </w:p>
    <w:p w14:paraId="40AFB796" w14:textId="77777777" w:rsidR="00805872" w:rsidRDefault="00805872" w:rsidP="00805872"/>
    <w:p w14:paraId="3022C18C" w14:textId="2B78A3B7" w:rsidR="00805872" w:rsidRDefault="00805872" w:rsidP="00805872">
      <w:r>
        <w:lastRenderedPageBreak/>
        <w:t xml:space="preserve">Javni poziv za sofinanciranje zasebne polnilne infrastrukture za električna vozila se financira iz Programa porabe sredstev Podnebnega sklada za leta 2025–2028, in sicer v okviru ukrepa </w:t>
      </w:r>
      <w:proofErr w:type="gramStart"/>
      <w:r>
        <w:t>2.2</w:t>
      </w:r>
      <w:proofErr w:type="gramEnd"/>
      <w:r>
        <w:t xml:space="preserve">. </w:t>
      </w:r>
      <w:r>
        <w:t>Brezemisijska vozila ter polnilna in oskrbovalna infrastruktura za brezemisijska vozila. Javni poziv je pripravilo Ministrstvo za okolje, podnebje in energijo z izvajalcem javnega poziva, družbo Borzen d.</w:t>
      </w:r>
      <w:r>
        <w:t xml:space="preserve"> </w:t>
      </w:r>
      <w:r>
        <w:t>o.</w:t>
      </w:r>
      <w:r>
        <w:t xml:space="preserve"> </w:t>
      </w:r>
      <w:r>
        <w:t>o.</w:t>
      </w:r>
    </w:p>
    <w:p w14:paraId="4067D959" w14:textId="77777777" w:rsidR="00805872" w:rsidRDefault="00805872" w:rsidP="00805872"/>
    <w:p w14:paraId="6B09FBBA" w14:textId="77777777" w:rsidR="00805872" w:rsidRDefault="00805872" w:rsidP="00805872">
      <w:proofErr w:type="gramStart"/>
      <w:r>
        <w:t>Investicija</w:t>
      </w:r>
      <w:proofErr w:type="gramEnd"/>
      <w:r>
        <w:t xml:space="preserve"> bo omogočila povečanje števila zasebnih polnilnih mest običajne moči za najmanj 3.816, in sicer za vsaj 3.200 polnilnih mest pri fizičnih osebah ter najmanj 616 polnilnih mest pri delodajalcih. Polnilna mesta pri delodajalcih bi ob povprečni dnevni porabi 11</w:t>
      </w:r>
      <w:proofErr w:type="gramStart"/>
      <w:r>
        <w:t xml:space="preserve"> kWh</w:t>
      </w:r>
      <w:proofErr w:type="gramEnd"/>
      <w:r>
        <w:t xml:space="preserve"> lahko zadostila za oskrbo do 4.928 električnih vozil.</w:t>
      </w:r>
    </w:p>
    <w:p w14:paraId="790B0AF3" w14:textId="77777777" w:rsidR="00805872" w:rsidRDefault="00805872" w:rsidP="00805872"/>
    <w:p w14:paraId="37AFFA33" w14:textId="77777777" w:rsidR="00805872" w:rsidRDefault="00805872" w:rsidP="00805872">
      <w:r>
        <w:t>Projekt pomembno prispeva k pospeševanju prehoda na brezemisijsko mobilnost, zmanjševanju emisij toplogrednih plinov ter doseganju podnebnih in energetskih ciljev Republike Slovenije.</w:t>
      </w:r>
    </w:p>
    <w:p w14:paraId="4D488A91" w14:textId="77777777" w:rsidR="00805872" w:rsidRDefault="00805872" w:rsidP="004A6F1C">
      <w:pPr>
        <w:pStyle w:val="Vir"/>
      </w:pPr>
      <w:r>
        <w:t>Vir: Ministrstvo za okolje, podnebje in energijo</w:t>
      </w:r>
    </w:p>
    <w:p w14:paraId="0B7C2F64" w14:textId="549C9004" w:rsidR="004A6F1C" w:rsidRDefault="004A6F1C" w:rsidP="004A6F1C">
      <w:pPr>
        <w:pStyle w:val="Naslov2"/>
      </w:pPr>
      <w:r>
        <w:t>Vlada uvrstila projekt Lokomotive in vagoni železniškega prometa v Načrt razvojnih programov 2026–2029</w:t>
      </w:r>
    </w:p>
    <w:p w14:paraId="5276EC62" w14:textId="77777777" w:rsidR="004A6F1C" w:rsidRDefault="004A6F1C" w:rsidP="004A6F1C">
      <w:r>
        <w:t>Vlada je v Načrt razvojnih programov 2026–2029 uvrstila nov projekt Lokomotive in vagoni železniškega prometa.</w:t>
      </w:r>
    </w:p>
    <w:p w14:paraId="375743B8" w14:textId="77777777" w:rsidR="004A6F1C" w:rsidRDefault="004A6F1C" w:rsidP="004A6F1C"/>
    <w:p w14:paraId="29CDB4B3" w14:textId="6389F162" w:rsidR="004A6F1C" w:rsidRDefault="004A6F1C" w:rsidP="004A6F1C">
      <w:r>
        <w:t>Vlada je z družbo SŽ – Potniški promet, d.</w:t>
      </w:r>
      <w:r>
        <w:t xml:space="preserve"> </w:t>
      </w:r>
      <w:r>
        <w:t>o.</w:t>
      </w:r>
      <w:r>
        <w:t xml:space="preserve"> </w:t>
      </w:r>
      <w:r>
        <w:t>o. 13. marca 2017 sklenila Pogodbo o izvajanju obvezne gospodarske javne službe prevoza potnikov v notranjem in čezmejnem regijskem železniškem prometu za obdobje 2017–2031 ter pripadajoče anekse. SŽ – Potniški promet je naročil nov sklop železniških vozil (lokomotive in vagone) za izvajanje mednarodnega potniškega prometa, pri čemer je dobava vozil predvidena do konca leta 2028.</w:t>
      </w:r>
    </w:p>
    <w:p w14:paraId="5399FC1C" w14:textId="77777777" w:rsidR="004A6F1C" w:rsidRDefault="004A6F1C" w:rsidP="004A6F1C"/>
    <w:p w14:paraId="5569AA24" w14:textId="459039A6" w:rsidR="004A6F1C" w:rsidRDefault="004A6F1C" w:rsidP="004A6F1C">
      <w:r>
        <w:t xml:space="preserve">Skupna vrednost investicije znaša 88.867.200,00 </w:t>
      </w:r>
      <w:proofErr w:type="gramStart"/>
      <w:r>
        <w:t>ev</w:t>
      </w:r>
      <w:r w:rsidR="001659CF">
        <w:t>rov</w:t>
      </w:r>
      <w:r>
        <w:t xml:space="preserve"> brez DDV</w:t>
      </w:r>
      <w:proofErr w:type="gramEnd"/>
      <w:r>
        <w:t xml:space="preserve"> oziroma 106.869.000,00 evr</w:t>
      </w:r>
      <w:r w:rsidR="001659CF">
        <w:t>ov</w:t>
      </w:r>
      <w:r>
        <w:t xml:space="preserve"> z DDV. Financiranje je predvideno iz več virov: 17 % predstavljajo lastna sredstva SŽ – Potniški promet, 35 % kredit in 48 % sredstva Podnebnega sklada. Ministrstvo za okolje, podnebje in energijo je sredstva iz Podnebnega sklada načrtovalo skladno z Odlokom o Programu porabe sredstev Podnebnega sklada za leta 2025–2028 v skupni višini 43.920.000,00 </w:t>
      </w:r>
      <w:proofErr w:type="gramStart"/>
      <w:r>
        <w:t>evr</w:t>
      </w:r>
      <w:r w:rsidR="001659CF">
        <w:t>ov</w:t>
      </w:r>
      <w:proofErr w:type="gramEnd"/>
      <w:r>
        <w:t xml:space="preserve"> z DDV, pri čemer je izplačilo predvideno v letu 2028.</w:t>
      </w:r>
    </w:p>
    <w:p w14:paraId="53D451EB" w14:textId="51B11D77" w:rsidR="007F4D5C" w:rsidRDefault="004A6F1C" w:rsidP="004A6F1C">
      <w:pPr>
        <w:pStyle w:val="Vir"/>
      </w:pPr>
      <w:r>
        <w:t>Vir: Ministrstvo za okolje, podnebje in energijo</w:t>
      </w:r>
    </w:p>
    <w:p w14:paraId="1B35610A" w14:textId="71907B8C" w:rsidR="001659CF" w:rsidRDefault="001659CF" w:rsidP="001659CF">
      <w:pPr>
        <w:pStyle w:val="Naslov2"/>
      </w:pPr>
      <w:r>
        <w:t>Vlada potrdila dva projekta za posodobitev elektroenergetske infrastrukture</w:t>
      </w:r>
    </w:p>
    <w:p w14:paraId="2E9F7BDD" w14:textId="77777777" w:rsidR="001659CF" w:rsidRDefault="001659CF" w:rsidP="001659CF">
      <w:r>
        <w:t xml:space="preserve">Vlada Republike Slovenije je v Načrt razvojnih programov 2026–2029 uvrstila dva nova projekta za posodobitev in razvoj prenosnega ter distribucijskega električnega omrežja </w:t>
      </w:r>
    </w:p>
    <w:p w14:paraId="375F99A3" w14:textId="77777777" w:rsidR="001659CF" w:rsidRDefault="001659CF" w:rsidP="001659CF"/>
    <w:p w14:paraId="6995DF93" w14:textId="2CCD8C68" w:rsidR="001659CF" w:rsidRDefault="001659CF" w:rsidP="001659CF">
      <w:pPr>
        <w:pStyle w:val="Odstavekseznama"/>
        <w:numPr>
          <w:ilvl w:val="0"/>
          <w:numId w:val="30"/>
        </w:numPr>
      </w:pPr>
      <w:r>
        <w:t xml:space="preserve">2570-26-1003 </w:t>
      </w:r>
      <w:proofErr w:type="gramStart"/>
      <w:r>
        <w:t>Modernizacija</w:t>
      </w:r>
      <w:proofErr w:type="gramEnd"/>
      <w:r>
        <w:t xml:space="preserve"> </w:t>
      </w:r>
      <w:proofErr w:type="spellStart"/>
      <w:r>
        <w:t>Elektrodis</w:t>
      </w:r>
      <w:proofErr w:type="spellEnd"/>
      <w:r>
        <w:t xml:space="preserve">. </w:t>
      </w:r>
      <w:proofErr w:type="spellStart"/>
      <w:r>
        <w:t>infr</w:t>
      </w:r>
      <w:proofErr w:type="spellEnd"/>
      <w:r>
        <w:t xml:space="preserve">. </w:t>
      </w:r>
      <w:proofErr w:type="gramStart"/>
      <w:r>
        <w:t>RTP Trata</w:t>
      </w:r>
      <w:proofErr w:type="gramEnd"/>
      <w:r>
        <w:t xml:space="preserve"> in Brnik</w:t>
      </w:r>
    </w:p>
    <w:p w14:paraId="35AEF0AE" w14:textId="01371221" w:rsidR="001659CF" w:rsidRDefault="001659CF" w:rsidP="001659CF">
      <w:pPr>
        <w:pStyle w:val="Odstavekseznama"/>
        <w:numPr>
          <w:ilvl w:val="0"/>
          <w:numId w:val="30"/>
        </w:numPr>
      </w:pPr>
      <w:r>
        <w:t xml:space="preserve">2570-26-1004 </w:t>
      </w:r>
      <w:proofErr w:type="gramStart"/>
      <w:r>
        <w:t>Modernizacija</w:t>
      </w:r>
      <w:proofErr w:type="gramEnd"/>
      <w:r>
        <w:t xml:space="preserve"> </w:t>
      </w:r>
      <w:proofErr w:type="spellStart"/>
      <w:r>
        <w:t>Elekt</w:t>
      </w:r>
      <w:proofErr w:type="spellEnd"/>
      <w:r>
        <w:t>. infrastrukture – Elektro Lj.</w:t>
      </w:r>
    </w:p>
    <w:p w14:paraId="13541ABB" w14:textId="77777777" w:rsidR="001659CF" w:rsidRDefault="001659CF" w:rsidP="001659CF"/>
    <w:p w14:paraId="1C923168" w14:textId="77777777" w:rsidR="001659CF" w:rsidRDefault="001659CF" w:rsidP="001659CF">
      <w:r>
        <w:t xml:space="preserve">Namen projektov je modernizirati in nadgraditi obstoječo elektroenergetsko infrastrukturo na lokacijah, kjer se pojavljajo večje potrebe po integraciji obnovljivih virov energije, vključevanju večjih kapacitet baterijskih hranilnikov električne energije ter elektrifikaciji industrijskih procesov in ogrevanja objektov. S tem se </w:t>
      </w:r>
      <w:proofErr w:type="gramStart"/>
      <w:r>
        <w:t>omogoča</w:t>
      </w:r>
      <w:proofErr w:type="gramEnd"/>
      <w:r>
        <w:t xml:space="preserve"> postopno zmanjševanje rabe fosilnih goriv in posledično zmanjševanje izpustov CO</w:t>
      </w:r>
      <w:r>
        <w:rPr>
          <w:rFonts w:ascii="Cambria Math" w:hAnsi="Cambria Math" w:cs="Cambria Math"/>
        </w:rPr>
        <w:t>₂</w:t>
      </w:r>
      <w:r>
        <w:t>.</w:t>
      </w:r>
    </w:p>
    <w:p w14:paraId="2F7E2279" w14:textId="77777777" w:rsidR="001659CF" w:rsidRDefault="001659CF" w:rsidP="001659CF"/>
    <w:p w14:paraId="14FD3E92" w14:textId="77777777" w:rsidR="001659CF" w:rsidRDefault="001659CF" w:rsidP="001659CF">
      <w:r>
        <w:t xml:space="preserve">V zadnjih desetih letih so se močno razširile male </w:t>
      </w:r>
      <w:proofErr w:type="gramStart"/>
      <w:r>
        <w:t>fotovoltaične</w:t>
      </w:r>
      <w:proofErr w:type="gramEnd"/>
      <w:r>
        <w:t xml:space="preserve"> elektrarne za samooskrbo v gospodinjstvih ter za proizvodnjo električne energije v industriji. Elektrodistribucijska podjetja </w:t>
      </w:r>
      <w:r>
        <w:lastRenderedPageBreak/>
        <w:t>zaznavajo eksponentno rast vlog za priključitev novih razpršenih virov energije. Prav tako so se v zadnjih letih močno razširile tehnologije, kot so toplotne črpalke, električna vozila in avtomatizacija procesov v gospodarstvu, kar povečuje potrebe po distribuciji električne energije in zahteva dodatna vlaganja v energetsko infrastrukturo za zagotavljanje zanesljive in kakovostne oskrbe.</w:t>
      </w:r>
    </w:p>
    <w:p w14:paraId="52562CDF" w14:textId="77777777" w:rsidR="001659CF" w:rsidRDefault="001659CF" w:rsidP="001659CF"/>
    <w:p w14:paraId="4F044BF1" w14:textId="77777777" w:rsidR="001659CF" w:rsidRDefault="001659CF" w:rsidP="001659CF">
      <w:r>
        <w:t xml:space="preserve">Projekta sta del Sheme električne energije (del A) in se sofinancirata iz Sklada za </w:t>
      </w:r>
      <w:proofErr w:type="gramStart"/>
      <w:r>
        <w:t>modernizacijo</w:t>
      </w:r>
      <w:proofErr w:type="gramEnd"/>
      <w:r>
        <w:t xml:space="preserve"> v obdobju 2024–2030. Namenjena sta </w:t>
      </w:r>
      <w:proofErr w:type="gramStart"/>
      <w:r>
        <w:t>modernizaciji</w:t>
      </w:r>
      <w:proofErr w:type="gramEnd"/>
      <w:r>
        <w:t xml:space="preserve"> elektroenergetske infrastrukture na območjih z večjimi potrebami po vključevanju obnovljivih virov energije, baterijskih hranilnikov, e-mobilnosti ter elektrifikaciji industrije, s čimer se omogoča postopno zmanjševanje rabe fosilnih goriv in izpustov CO</w:t>
      </w:r>
      <w:r>
        <w:rPr>
          <w:rFonts w:ascii="Cambria Math" w:hAnsi="Cambria Math" w:cs="Cambria Math"/>
        </w:rPr>
        <w:t>₂</w:t>
      </w:r>
      <w:r>
        <w:t>.</w:t>
      </w:r>
    </w:p>
    <w:p w14:paraId="72E229B9" w14:textId="77777777" w:rsidR="001659CF" w:rsidRDefault="001659CF" w:rsidP="001659CF"/>
    <w:p w14:paraId="6967A1DB" w14:textId="4510230F" w:rsidR="001659CF" w:rsidRDefault="001659CF" w:rsidP="001659CF">
      <w:r>
        <w:t xml:space="preserve">Projekt na območju Elektro Gorenjske (RTP Trata in RTP Brnik) je vreden 32.913.584,00 </w:t>
      </w:r>
      <w:r>
        <w:t>evrov</w:t>
      </w:r>
      <w:r>
        <w:t xml:space="preserve"> brez DDV od tega bo financiralo iz lastnih sredstev v višini 17.959.192,00 </w:t>
      </w:r>
      <w:r>
        <w:t>evrov</w:t>
      </w:r>
      <w:r>
        <w:t xml:space="preserve"> in iz Modernizacijskega sklada v višini 14.954.392,00 </w:t>
      </w:r>
      <w:proofErr w:type="gramStart"/>
      <w:r>
        <w:t>evrov</w:t>
      </w:r>
      <w:proofErr w:type="gramEnd"/>
      <w:r>
        <w:t xml:space="preserve">. Zaključek financiranja projekta je </w:t>
      </w:r>
      <w:proofErr w:type="gramStart"/>
      <w:r>
        <w:t>31. 12. 2028</w:t>
      </w:r>
      <w:proofErr w:type="gramEnd"/>
      <w:r>
        <w:t>.</w:t>
      </w:r>
    </w:p>
    <w:p w14:paraId="47B92DF1" w14:textId="77777777" w:rsidR="001659CF" w:rsidRDefault="001659CF" w:rsidP="001659CF"/>
    <w:p w14:paraId="26245929" w14:textId="085C54C6" w:rsidR="001659CF" w:rsidRDefault="001659CF" w:rsidP="001659CF">
      <w:r>
        <w:t xml:space="preserve">Projekt na območju Elektro Ljubljana (RTP Brdo, RTP Logistični center Ljubljana ter posodobitev RTP Bežigrad) je vreden 53.181.000,00 </w:t>
      </w:r>
      <w:r>
        <w:t>evrov</w:t>
      </w:r>
      <w:r>
        <w:t xml:space="preserve"> brez DDV od tega bo financiralo iz lastnih sredstev v višini 33.561.603,98 </w:t>
      </w:r>
      <w:r>
        <w:t>evrov</w:t>
      </w:r>
      <w:r>
        <w:t xml:space="preserve"> in iz Modernizacijskega sklada v višini 19.619.396,02 </w:t>
      </w:r>
      <w:proofErr w:type="gramStart"/>
      <w:r>
        <w:t>evrov</w:t>
      </w:r>
      <w:proofErr w:type="gramEnd"/>
      <w:r>
        <w:t xml:space="preserve">. Zaključek financiranja projekta je </w:t>
      </w:r>
      <w:proofErr w:type="gramStart"/>
      <w:r>
        <w:t>31. 12. 2030</w:t>
      </w:r>
      <w:proofErr w:type="gramEnd"/>
      <w:r>
        <w:t>.</w:t>
      </w:r>
    </w:p>
    <w:p w14:paraId="211B5210" w14:textId="5B7D2EDE" w:rsidR="007F4D5C" w:rsidRDefault="001659CF" w:rsidP="001659CF">
      <w:pPr>
        <w:pStyle w:val="Vir"/>
      </w:pPr>
      <w:r>
        <w:t>Vir: Ministrstvo za okolje, podnebje in energijo</w:t>
      </w:r>
    </w:p>
    <w:p w14:paraId="7D9759CB" w14:textId="6EDB7B5C" w:rsidR="009724A9" w:rsidRDefault="009724A9" w:rsidP="009724A9">
      <w:pPr>
        <w:pStyle w:val="Naslov2"/>
      </w:pPr>
      <w:r>
        <w:t>Vlada v veljavni Načrt razvojnih programov 2026–2029 uvrstila projekt Spodbujanje okolju prijaznejšega prevozništva</w:t>
      </w:r>
    </w:p>
    <w:p w14:paraId="71909546" w14:textId="77777777" w:rsidR="009724A9" w:rsidRDefault="009724A9" w:rsidP="009724A9">
      <w:r>
        <w:t xml:space="preserve">Vlada Republike Slovenije je v veljavni Načrt razvojnih programov 2026–2029 uvrstila projekt Spodbujanje okolju prijaznejšega prevozništva, za celoten ukrep pa je namenjenih pet milijonov evrov. </w:t>
      </w:r>
    </w:p>
    <w:p w14:paraId="52BB7F9C" w14:textId="77777777" w:rsidR="009724A9" w:rsidRDefault="009724A9" w:rsidP="009724A9"/>
    <w:p w14:paraId="7E1B7423" w14:textId="77777777" w:rsidR="009724A9" w:rsidRDefault="009724A9" w:rsidP="009724A9">
      <w:r>
        <w:t xml:space="preserve">Sredstva se namenjajo za naslednje ukrepe: </w:t>
      </w:r>
    </w:p>
    <w:p w14:paraId="7E435534" w14:textId="4E0EF045" w:rsidR="009724A9" w:rsidRDefault="009724A9" w:rsidP="009724A9">
      <w:pPr>
        <w:pStyle w:val="Odstavekseznama"/>
        <w:numPr>
          <w:ilvl w:val="0"/>
          <w:numId w:val="33"/>
        </w:numPr>
      </w:pPr>
      <w:r>
        <w:t xml:space="preserve">nakup ali predelava tovornih vozil in avtobusov na sintetični plin in biometan ter s pogonom na elektriko ali vodik za opravljanje prevozov v cestnem prometu, </w:t>
      </w:r>
    </w:p>
    <w:p w14:paraId="78289AB5" w14:textId="1F21B181" w:rsidR="009724A9" w:rsidRDefault="009724A9" w:rsidP="009724A9">
      <w:pPr>
        <w:pStyle w:val="Odstavekseznama"/>
        <w:numPr>
          <w:ilvl w:val="0"/>
          <w:numId w:val="33"/>
        </w:numPr>
      </w:pPr>
      <w:r>
        <w:t xml:space="preserve">nadgradnja tovornih vozil z aerodinamičnimi deli za zmanjšanje zračnega upora, </w:t>
      </w:r>
    </w:p>
    <w:p w14:paraId="48C40478" w14:textId="13BDA7AF" w:rsidR="009724A9" w:rsidRDefault="009724A9" w:rsidP="009724A9">
      <w:pPr>
        <w:pStyle w:val="Odstavekseznama"/>
        <w:numPr>
          <w:ilvl w:val="0"/>
          <w:numId w:val="33"/>
        </w:numPr>
      </w:pPr>
      <w:r>
        <w:t xml:space="preserve">digitalizacija na področju cestnih prevozov. </w:t>
      </w:r>
    </w:p>
    <w:p w14:paraId="22EC4D08" w14:textId="77777777" w:rsidR="009724A9" w:rsidRDefault="009724A9" w:rsidP="009724A9"/>
    <w:p w14:paraId="5E53F2C9" w14:textId="77777777" w:rsidR="009724A9" w:rsidRDefault="009724A9" w:rsidP="009724A9">
      <w:r>
        <w:t>Objavljena bosta dva javna poziva za nepovratne finančne spodbude. Prvi javni poziv bo namenjen nakupu ali predelavi tovornih vozil in avtobusov na sintetični plin in biometan</w:t>
      </w:r>
      <w:proofErr w:type="gramStart"/>
      <w:r>
        <w:t>,</w:t>
      </w:r>
      <w:proofErr w:type="gramEnd"/>
      <w:r>
        <w:t xml:space="preserve"> ter s pogonom na elektriko ali vodik, za opravljanje prevozov v cestnem prometu ter za nadgradnjo tovornih vozil z aerodinamičnimi deli za zmanjšanje zračnega upora. Drugi javni poziv bo namenjen digitalizaciji na področju cestnih prevozov.</w:t>
      </w:r>
    </w:p>
    <w:p w14:paraId="559602C7" w14:textId="77777777" w:rsidR="009724A9" w:rsidRDefault="009724A9" w:rsidP="009724A9"/>
    <w:p w14:paraId="76F56C7F" w14:textId="77777777" w:rsidR="009724A9" w:rsidRDefault="009724A9" w:rsidP="009724A9">
      <w:r>
        <w:t>Cilj ukrepa v prvem javnem pozivu je namenjen zmanjšanju emisij toplogrednih plinov. Cilj je dokazan s študijo, na podlagi katere je bila razvita metoda izračuna prihrankov C02. Metoda za izračun je bila razvita v okviru študije, ki jo je po naročilu ministrstva izdelal Inštitut Jožef Stefan. Promet je namreč edini sektor, v katerem so se emisije v obdobju 2005-2017 povečale, in sicer za 25,5</w:t>
      </w:r>
      <w:proofErr w:type="gramStart"/>
      <w:r>
        <w:t xml:space="preserve"> %</w:t>
      </w:r>
      <w:proofErr w:type="gramEnd"/>
      <w:r>
        <w:t>. V drugih sektorjih so se emisije v istem obdobju zmanjšale.</w:t>
      </w:r>
    </w:p>
    <w:p w14:paraId="40504D08" w14:textId="77777777" w:rsidR="009724A9" w:rsidRDefault="009724A9" w:rsidP="009724A9"/>
    <w:p w14:paraId="63A80059" w14:textId="77777777" w:rsidR="009724A9" w:rsidRDefault="009724A9" w:rsidP="009724A9">
      <w:r>
        <w:t xml:space="preserve">Cilj ukrepa v drugem javnem pozivu bo prispeval k povečanju varnosti v cestnem prometu, saj se s tem omogoča boljši nadzor nad vozniki, vozili in celotnim prometnim sistemom. Z uporabo digitalnih tahografov in telematskih sistemov se zmanjšuje tveganje za utrujenost voznikov ter spremlja način vožnje, napredni asistenčni sistemi in stalni nadzor tehničnega stanja vozil pa preprečujejo nesreče zaradi človeških napak ali tehničnih okvar. Digitalne rešitve izboljšujejo tudi upravljanje voznih parkov, optimizacijo poti in hitrejše odzivanje v izrednih razmerah, hkrati pa povečujejo preglednost, kar skupaj </w:t>
      </w:r>
      <w:r>
        <w:lastRenderedPageBreak/>
        <w:t xml:space="preserve">vodi k zmanjšanju števila prometnih nesreč in večji prometni varnosti na cestah za vse udeležence v prometu. </w:t>
      </w:r>
    </w:p>
    <w:p w14:paraId="1C66C339" w14:textId="3F224B5F" w:rsidR="00952CB1" w:rsidRDefault="009724A9" w:rsidP="009724A9">
      <w:pPr>
        <w:pStyle w:val="Vir"/>
      </w:pPr>
      <w:r>
        <w:t>Vir: Ministrstvo za infrastrukturo</w:t>
      </w:r>
    </w:p>
    <w:p w14:paraId="71344789" w14:textId="67904166" w:rsidR="0039458F" w:rsidRDefault="0039458F" w:rsidP="0039458F">
      <w:pPr>
        <w:pStyle w:val="Naslov2"/>
      </w:pPr>
      <w:r>
        <w:t>Vlada meni, da ZUTD ni v nasprotju z Ustavo</w:t>
      </w:r>
    </w:p>
    <w:p w14:paraId="608B32B0" w14:textId="77777777" w:rsidR="0039458F" w:rsidRDefault="0039458F" w:rsidP="0039458F">
      <w:r>
        <w:t>Vlada je sprejela Mnenje o zahtevi Državnega sveta RS za oceno ustavnosti prvega odstavka 163. člena Zakona o urejanju trga dela (U-I-186/25) ter ga pošlje Državnemu zboru in Ustavnemu sodišču Republike Slovenije.</w:t>
      </w:r>
    </w:p>
    <w:p w14:paraId="57246DAA" w14:textId="77777777" w:rsidR="0039458F" w:rsidRDefault="0039458F" w:rsidP="0039458F"/>
    <w:p w14:paraId="2B9009E5" w14:textId="77777777" w:rsidR="0039458F" w:rsidRDefault="0039458F" w:rsidP="0039458F">
      <w:r>
        <w:t xml:space="preserve">Državni zbor je Vladi v opredelitev posredoval zahtevo Državnega sveta za oceno ustavnosti prvega odstavka 163. člena Zakona o urejanju trga dela (ZUTD). Po mnenju predlagatelja je prvi odstavek 163. člena ZUTD v neskladju z Ustavo Republike Slovenije, če subjektom, ki delujejo na trgu, ne določa ustreznega roka ali druge možnosti za prilagoditev na novo, razširjeno definicijo izvajanja dejavnosti zagotavljanja dela delavcev uporabniku. </w:t>
      </w:r>
    </w:p>
    <w:p w14:paraId="72EE39A5" w14:textId="77777777" w:rsidR="0039458F" w:rsidRDefault="0039458F" w:rsidP="0039458F"/>
    <w:p w14:paraId="095DB07C" w14:textId="7E9CFB46" w:rsidR="007F4D5C" w:rsidRDefault="0039458F" w:rsidP="0039458F">
      <w:r>
        <w:t>Vlada se v svojem mnenju opredeli do izpostavljene problematike ter tudi do navedb, ki jih predlagatelj izpostavlja v svoji zahtevi. Meni, da predlagatelj neustrezno izpodbija določbe ZUTD, zato predlaga, da Ustavno sodišče RS zahtevo za oceno ustavnosti prvega odstavka 163. člena ZUTD zavrne kot neutemeljeno.</w:t>
      </w:r>
    </w:p>
    <w:p w14:paraId="443BF601" w14:textId="77777777" w:rsidR="0039458F" w:rsidRDefault="0039458F" w:rsidP="0039458F">
      <w:pPr>
        <w:pStyle w:val="Vir"/>
      </w:pPr>
      <w:r>
        <w:t>Vir: Ministrstvo za delo, družino, socialne zadeve in enake možnosti</w:t>
      </w:r>
    </w:p>
    <w:p w14:paraId="3D968A25" w14:textId="531F06D5" w:rsidR="003B0907" w:rsidRDefault="003B0907" w:rsidP="003B0907">
      <w:pPr>
        <w:pStyle w:val="Naslov2"/>
      </w:pPr>
      <w:r>
        <w:t xml:space="preserve">Mnenje </w:t>
      </w:r>
      <w:r>
        <w:t>v</w:t>
      </w:r>
      <w:r>
        <w:t xml:space="preserve">lade k zahtevi za oceno ustavnosti določb nekaterih členov Zakona o zaščiti živali ter Zakona o spremembah in dopolnitvah Zakona o zaščiti živali </w:t>
      </w:r>
    </w:p>
    <w:p w14:paraId="55F8189F" w14:textId="77777777" w:rsidR="003B0907" w:rsidRDefault="003B0907" w:rsidP="003B0907">
      <w:r>
        <w:t xml:space="preserve">Vlada je sprejela Mnenje o Zahtevi Državnega sveta Republike Slovenije za oceno ustavnosti </w:t>
      </w:r>
      <w:proofErr w:type="spellStart"/>
      <w:r>
        <w:t>6.c</w:t>
      </w:r>
      <w:proofErr w:type="spellEnd"/>
      <w:r>
        <w:t xml:space="preserve"> in </w:t>
      </w:r>
      <w:proofErr w:type="spellStart"/>
      <w:r>
        <w:t>6.č</w:t>
      </w:r>
      <w:proofErr w:type="spellEnd"/>
      <w:r>
        <w:t xml:space="preserve"> člena ter triindvajsete alineje prvega odstavka 15. člena Zakona o zaščiti živali, </w:t>
      </w:r>
      <w:proofErr w:type="spellStart"/>
      <w:proofErr w:type="gramStart"/>
      <w:r>
        <w:t>6.</w:t>
      </w:r>
      <w:proofErr w:type="gramEnd"/>
      <w:r>
        <w:t>b</w:t>
      </w:r>
      <w:proofErr w:type="spellEnd"/>
      <w:r>
        <w:t xml:space="preserve">, </w:t>
      </w:r>
      <w:proofErr w:type="spellStart"/>
      <w:r>
        <w:t>6.c</w:t>
      </w:r>
      <w:proofErr w:type="spellEnd"/>
      <w:r>
        <w:t xml:space="preserve"> in </w:t>
      </w:r>
      <w:proofErr w:type="spellStart"/>
      <w:r>
        <w:t>6.č</w:t>
      </w:r>
      <w:proofErr w:type="spellEnd"/>
      <w:r>
        <w:t xml:space="preserve"> člena Zakona o zaščiti živali ter šestega odstavka 32. člena in četrtega odstavka 36. člena Zakona o spremembah in dopolnitvah Zakona o zaščiti živali ter ga pošlje Državnemu zboru Republike Slovenije in Ustavnemu sodišču Republike Slovenije.</w:t>
      </w:r>
    </w:p>
    <w:p w14:paraId="29D57F9A" w14:textId="77777777" w:rsidR="003B0907" w:rsidRDefault="003B0907" w:rsidP="003B0907"/>
    <w:p w14:paraId="7E8D09BD" w14:textId="77777777" w:rsidR="003B0907" w:rsidRDefault="003B0907" w:rsidP="003B0907">
      <w:r>
        <w:t xml:space="preserve">Vlada meni, da izpodbijane določbe omenjenih členov Zakona o zaščiti živali in Zakona o spremembah in dopolnitvah Zakona o zaščiti živali niso v nasprotju z Ustavo Republike Slovenije. </w:t>
      </w:r>
    </w:p>
    <w:p w14:paraId="03BB8CDA" w14:textId="77777777" w:rsidR="003B0907" w:rsidRDefault="003B0907" w:rsidP="003B0907">
      <w:r>
        <w:t xml:space="preserve">Poudarja, da je bil Zakon o zaščiti živali v izpodbijanih delih noveliran z namenom varstva </w:t>
      </w:r>
      <w:proofErr w:type="gramStart"/>
      <w:r>
        <w:t>dobrobiti</w:t>
      </w:r>
      <w:proofErr w:type="gramEnd"/>
      <w:r>
        <w:t xml:space="preserve"> živali, zdravja in varnosti ljudi ter varstva narave, kar so cilji, ki jih Ustava priznava kot legitimne javne interese. Lastninska pravica in svobodna gospodarska pobuda nista absolutni pravici in sta že po ustaljeni ustavnosodni presoji dopustno omejeni, kadar je omejitev zakonita, sorazmerna in zasleduje legitimen cilj.</w:t>
      </w:r>
    </w:p>
    <w:p w14:paraId="4D173DF8" w14:textId="77777777" w:rsidR="003B0907" w:rsidRDefault="003B0907" w:rsidP="003B0907"/>
    <w:p w14:paraId="0FB12478" w14:textId="77777777" w:rsidR="003B0907" w:rsidRDefault="003B0907" w:rsidP="003B0907">
      <w:r>
        <w:t xml:space="preserve">Leta 2021 je Slovenija uvedla omejitev posedovanja eksotičnih živali, ki je temeljila na seznamu prepovedanih vrst in seznamu dovoljenih vrst. Ta način </w:t>
      </w:r>
      <w:proofErr w:type="gramStart"/>
      <w:r>
        <w:t xml:space="preserve">se  </w:t>
      </w:r>
      <w:proofErr w:type="gramEnd"/>
      <w:r>
        <w:t xml:space="preserve">je v praksi že ob sprejemanju seznama prepovedanih in seznama dovoljenih vrst živali izkazal za nepreglednega in težje izvedljivega. Zato je bil leta 2025 način omejitve spremenjen tako, da se je uvedel le seznam dovoljenih vrst živali, ki določa, katere vrste živali je dovoljeno posedovati vsakomur, preostale vrste pa lahko posedujejo pravne ali fizične osebe, ki izpolnjujejo dodatne predpisane pogoje. Ta pristop je preglednejši, bolj predvidljiv in omogoča učinkovitejši nadzor. Tak pristop iz omejitve posedovanja izključuje živalske vrtove, zatočišča in registrirane gojitelje. Trgovanje z živalmi ostaja dovoljeno, v okviru predpisanih omejitev. Ureditev po presoji Vlade ustrezno varuje javni interes – </w:t>
      </w:r>
      <w:proofErr w:type="gramStart"/>
      <w:r>
        <w:t>dobrobit</w:t>
      </w:r>
      <w:proofErr w:type="gramEnd"/>
      <w:r>
        <w:t xml:space="preserve"> živali, zdravje in varnost ljudi ter naravo – in predstavlja sorazmeren poseg v primerjavi z zasebnim interesom posedovanja zahtevnih ali nevarnih eksotičnih živali. Prav tako omogoča, da se na podlagi strokovnih meril </w:t>
      </w:r>
      <w:proofErr w:type="gramStart"/>
      <w:r>
        <w:t>kadarkoli</w:t>
      </w:r>
      <w:proofErr w:type="gramEnd"/>
      <w:r>
        <w:t xml:space="preserve"> predlaga uvrstitev novih vrst na seznam.</w:t>
      </w:r>
    </w:p>
    <w:p w14:paraId="19D0CD1D" w14:textId="77777777" w:rsidR="003B0907" w:rsidRDefault="003B0907" w:rsidP="003B0907"/>
    <w:p w14:paraId="7A5989E1" w14:textId="77777777" w:rsidR="003B0907" w:rsidRDefault="003B0907" w:rsidP="003B0907">
      <w:r>
        <w:t xml:space="preserve">Eksotične živali iz družin medvedov, mačk in psov, ki niso na seznamu dovoljenih vrst, so najbolj problematične z vidika </w:t>
      </w:r>
      <w:proofErr w:type="gramStart"/>
      <w:r>
        <w:t>dobrobiti</w:t>
      </w:r>
      <w:proofErr w:type="gramEnd"/>
      <w:r>
        <w:t xml:space="preserve">. Zato morajo biti v šestih mesecih po uveljavitvi seznama oddane v zatočišče, živalski vrt ali k drugi osebi, ki izpolnjuje predpisane pogoje. Če skrbnik pogoje iz </w:t>
      </w:r>
      <w:proofErr w:type="spellStart"/>
      <w:r>
        <w:t>6.č</w:t>
      </w:r>
      <w:proofErr w:type="spellEnd"/>
      <w:r>
        <w:t xml:space="preserve"> člena izpolnjuje, lahko žival še naprej obdrži. V primeru neoddaje</w:t>
      </w:r>
      <w:proofErr w:type="gramStart"/>
      <w:r>
        <w:t>,</w:t>
      </w:r>
      <w:proofErr w:type="gramEnd"/>
      <w:r>
        <w:t xml:space="preserve"> se žival odvzame in namesti v eno od ustreznih ustanov, usmrtitev pa pride v poštev le, če nobena namestitev ni mogoča.</w:t>
      </w:r>
    </w:p>
    <w:p w14:paraId="580B6D5B" w14:textId="77777777" w:rsidR="003B0907" w:rsidRDefault="003B0907" w:rsidP="003B0907"/>
    <w:p w14:paraId="496F1632" w14:textId="77777777" w:rsidR="003B0907" w:rsidRDefault="003B0907" w:rsidP="003B0907">
      <w:r>
        <w:t>Vlada meni, da je prehodno obdobje po Zakonu o spremembah in dopolnitvah Zakona o zaščiti živali zadostno, da se lahko vsi imetniki, ki ne izpolnjujejo pogojev, pravočasno prilagodijo in izpolnijo zahteve za zakonito posedovanje živali. Prehodne določbe nove in stare ureditve pa so za že obstoječe živali omogočile, da jih lahko skrbniki obdržijo do njihove naravne smrti, če izpolnjujejo predpisane pogoje.</w:t>
      </w:r>
    </w:p>
    <w:p w14:paraId="45B369B6" w14:textId="77777777" w:rsidR="003B0907" w:rsidRDefault="003B0907" w:rsidP="003B0907"/>
    <w:p w14:paraId="0EEB3407" w14:textId="77777777" w:rsidR="003B0907" w:rsidRDefault="003B0907" w:rsidP="003B0907">
      <w:r>
        <w:t xml:space="preserve">Vlada podpira prepoved privezovanja psov, vendar je že ob sprejemu novele 2023, ki je črtala določene izjeme glede privezovanja psov, opozorila, da bi odprava teh izjem (privezovanje psov s širokimi ovratnicami, ki niso na </w:t>
      </w:r>
      <w:proofErr w:type="gramStart"/>
      <w:r>
        <w:t>zateg</w:t>
      </w:r>
      <w:proofErr w:type="gramEnd"/>
      <w:r>
        <w:t>, ali z oprsnicami na vodoravno vodilo, ki je dolgo najmanj pet metrov in je najmanj dva metra nad tlemi, s privezom, ki psu omogoča najmanj štiri metre gibanja v obe stranski smeri od vodoravnega vodila) brez ustreznih prehodnih in vsebinskih varovalk, lahko pomenila poseg, ki ni nujno skladen z ustavnimi zahtevami sorazmernosti, predvidljivosti in enake obravnave.</w:t>
      </w:r>
    </w:p>
    <w:p w14:paraId="6F0685DA" w14:textId="703799E7" w:rsidR="007F4D5C" w:rsidRDefault="003B0907" w:rsidP="003B0907">
      <w:pPr>
        <w:pStyle w:val="Vir"/>
      </w:pPr>
      <w:r>
        <w:t>Vir: Ministrstvo za kmetijstvo, gozdarstvo in prehrano</w:t>
      </w:r>
    </w:p>
    <w:p w14:paraId="5EA8B5A6" w14:textId="549B1904" w:rsidR="00357E26" w:rsidRDefault="00357E26" w:rsidP="00357E26">
      <w:pPr>
        <w:pStyle w:val="Naslov2"/>
      </w:pPr>
      <w:r>
        <w:t>Vlada o predlogu Varuha človekovih pravic za začasno zadržanje izvrševanja Šutarjevega zakona</w:t>
      </w:r>
    </w:p>
    <w:p w14:paraId="7DC77D1C" w14:textId="4D129217" w:rsidR="00357E26" w:rsidRDefault="00357E26" w:rsidP="00357E26">
      <w:r>
        <w:t xml:space="preserve">Vlada je sprejela </w:t>
      </w:r>
      <w:r>
        <w:t>m</w:t>
      </w:r>
      <w:r>
        <w:t>nenje o predlogu Varuha človekovih pravic za začasno zadržanje izvrševanja 8. člena Zakona o nujnih ukrepih za zagotavljanje javne varnosti (ZNUZJV) v javnosti</w:t>
      </w:r>
      <w:r>
        <w:t>,</w:t>
      </w:r>
      <w:r>
        <w:t xml:space="preserve"> znanega kot Šutarjev zakon. Vlada se s predlogom ne strinja in meni, da bi v primeru zadržanja nastale neposredne škodljive posledice, če bi se v ustavno sodni presoji izkazalo, da je izpodbijana določba v skladu z </w:t>
      </w:r>
      <w:r>
        <w:t>u</w:t>
      </w:r>
      <w:r>
        <w:t>stavo.</w:t>
      </w:r>
    </w:p>
    <w:p w14:paraId="6917893D" w14:textId="77777777" w:rsidR="00357E26" w:rsidRDefault="00357E26" w:rsidP="00357E26"/>
    <w:p w14:paraId="46F8E2EB" w14:textId="00875D49" w:rsidR="00357E26" w:rsidRDefault="00357E26" w:rsidP="00357E26">
      <w:r>
        <w:t>Varuh človekovih pravic (v nadaljevanju: predlagatelj) je vložil zahtevo za oceno ustavnosti 8. člena ZNUZJV, ker je ta po njegovi presoji med drugim v neskladju z ustavo in Evropsko konvencijo o človekovih pravicah. Predlagatelj predlaga tudi začasno zadržanje izvrševanja izpodbijane določbe</w:t>
      </w:r>
      <w:r>
        <w:t>,</w:t>
      </w:r>
      <w:r>
        <w:t xml:space="preserve"> ker meni, da bi bile posledice nadaljnjega izvrševanja protiustavne zakonske ureditve nedvomno bistveno hujše od posledic</w:t>
      </w:r>
      <w:proofErr w:type="gramStart"/>
      <w:r>
        <w:t>, ki bi nastale</w:t>
      </w:r>
      <w:proofErr w:type="gramEnd"/>
      <w:r>
        <w:t>, če bi se izvrševanje te ureditve do končne odločitve Ustavnega sodišča zadržalo, kasneje pa bi se izkazalo, da ni protiustavna.</w:t>
      </w:r>
    </w:p>
    <w:p w14:paraId="55263194" w14:textId="77777777" w:rsidR="00357E26" w:rsidRDefault="00357E26" w:rsidP="00357E26"/>
    <w:p w14:paraId="3548DD4C" w14:textId="77777777" w:rsidR="00357E26" w:rsidRDefault="00357E26" w:rsidP="00357E26">
      <w:r>
        <w:t xml:space="preserve">Vlada se ne strinja z oceno predlagatelja glede posledic, ki bi nastale, če se izpodbijana določba ne zadrži. Prihodek države iz naslova izterjanih glob ni in ni bil interes države za uvedbo izpodbijane določbe. Cilj zakonodajnih sprememb je bil doseči zmanjšanje splošne kriminalitete na področju kaznivih dejanj in prekrškov ter ponovno vzpostavitev javnega reda in miru v lokalnem okolju. Z začasnim zadržanjem 8. člena ZNUZJV ne bi bil dosežen ta cilj oziroma namen, ki je tudi v odvračanju od izvrševanja </w:t>
      </w:r>
      <w:proofErr w:type="gramStart"/>
      <w:r>
        <w:t>ponavljajočih</w:t>
      </w:r>
      <w:proofErr w:type="gramEnd"/>
      <w:r>
        <w:t xml:space="preserve"> prekrškov zoper javni red in mir, prometnih prekrškov, prekrškov, če starši ne zagotovijo, da otrok izpolnjuje osnovnošolsko obveznost, in drugih prekrškov. Pomembno je upoštevati, da prekrške storijo storilci s </w:t>
      </w:r>
      <w:proofErr w:type="gramStart"/>
      <w:r>
        <w:t>ponavljajočimi</w:t>
      </w:r>
      <w:proofErr w:type="gramEnd"/>
      <w:r>
        <w:t xml:space="preserve"> ravnanji kršenja predpisov, kar pomeni, da bi se s spremembo svojega ravnanja lahko izognili kaznim za te prekrške in iz njih izhajajočim pravnim posledicam, posledicam izvršbe na določene socialne prejemke.</w:t>
      </w:r>
    </w:p>
    <w:p w14:paraId="475E80FA" w14:textId="77777777" w:rsidR="00357E26" w:rsidRDefault="00357E26" w:rsidP="00357E26"/>
    <w:p w14:paraId="0F86E4E5" w14:textId="77777777" w:rsidR="00357E26" w:rsidRDefault="00357E26" w:rsidP="00357E26">
      <w:r>
        <w:t xml:space="preserve">Storilci ponavljajočih prekrškov, ki ne plačajo globe in stroškov postopka in se zoper njih vodi neuspešna prisilna izterjava, </w:t>
      </w:r>
      <w:proofErr w:type="gramStart"/>
      <w:r>
        <w:t>zbujajo</w:t>
      </w:r>
      <w:proofErr w:type="gramEnd"/>
      <w:r>
        <w:t xml:space="preserve"> vtis, da mora družba takšno njihovo ravnanje tolerirati kot </w:t>
      </w:r>
      <w:r>
        <w:lastRenderedPageBreak/>
        <w:t xml:space="preserve">sprejemljivo. Ponavljanje prekrškov spodbuja občutek neenakosti in zmanjšujejo zaupanje v pravni red in ravnanje v skladu z njim. </w:t>
      </w:r>
    </w:p>
    <w:p w14:paraId="4507D226" w14:textId="77777777" w:rsidR="00357E26" w:rsidRDefault="00357E26" w:rsidP="00357E26"/>
    <w:p w14:paraId="5815D50B" w14:textId="77777777" w:rsidR="00357E26" w:rsidRDefault="00357E26" w:rsidP="00357E26">
      <w:r>
        <w:t>Zaradi teh razlogov vlada meni, da bi v primeru začasnega zadržanja nastale neposredne škodljive posledice, če bi se v ustavno sodni presoji izkazalo, da je izpodbijana določba v skladu z ustavo, v nasprotnem primeru, tj. če Ustavno sodišče začasno ne zadrži izvrševanja 8. člena ZNUZJV, pa težko popravljive posledice glede na navedeno ne morejo nastati.</w:t>
      </w:r>
    </w:p>
    <w:p w14:paraId="589AEDA6" w14:textId="77777777" w:rsidR="00357E26" w:rsidRDefault="00357E26" w:rsidP="00357E26"/>
    <w:p w14:paraId="4A9BCD4D" w14:textId="77777777" w:rsidR="00357E26" w:rsidRDefault="00357E26" w:rsidP="00357E26">
      <w:r>
        <w:t>Vlada meni, da določba drugega odstavka 8. člena ZNUZJV v zadostni meri varuje prejemnike denarne socialne pomoči, ki bi zaradi rubeža sredstev dejansko bili v preživetveni stiski, saj tem omogoča zagotavljanje eksistenčnega minimuma z dodelitvijo te pomoči v naravi, s čimer so preprečene nepopravljive posledice določbe, če bi se izkazala za protiustavno. Poleg tega pa imajo dolžniki glob tako možnosti podaljšanega obročnega odplačevanja dolga. Višina zneska (najmanj 20 evrov) je edini formalni pogoj za odobritev obročnega plačila globe, pri čemer se socialni položaj ali premoženje storilca oziroma njegovih družinskih članov ne preverjajo.</w:t>
      </w:r>
    </w:p>
    <w:p w14:paraId="561FCE33" w14:textId="77777777" w:rsidR="00357E26" w:rsidRDefault="00357E26" w:rsidP="00357E26"/>
    <w:p w14:paraId="1D366275" w14:textId="77777777" w:rsidR="00357E26" w:rsidRDefault="00357E26" w:rsidP="00357E26">
      <w:r>
        <w:t xml:space="preserve">O očitkih glede ustavne neskladnosti se bo vlada opredelila naknadno. </w:t>
      </w:r>
    </w:p>
    <w:p w14:paraId="575A7290" w14:textId="4A6BD382" w:rsidR="007F4D5C" w:rsidRDefault="00357E26" w:rsidP="00357E26">
      <w:pPr>
        <w:pStyle w:val="Vir"/>
      </w:pPr>
      <w:r>
        <w:t>Vir: Ministrstvo za finance</w:t>
      </w:r>
    </w:p>
    <w:p w14:paraId="43E9F287" w14:textId="7DDEDBE7" w:rsidR="007F4D5C" w:rsidRDefault="000D273D" w:rsidP="000D273D">
      <w:pPr>
        <w:pStyle w:val="Naslov2"/>
      </w:pPr>
      <w:r>
        <w:t>S</w:t>
      </w:r>
      <w:r w:rsidR="007F4D5C">
        <w:t>tališč</w:t>
      </w:r>
      <w:r>
        <w:t>e</w:t>
      </w:r>
      <w:r w:rsidR="007F4D5C">
        <w:t xml:space="preserve"> Slovenije do </w:t>
      </w:r>
      <w:r>
        <w:t>p</w:t>
      </w:r>
      <w:r w:rsidR="007F4D5C">
        <w:t xml:space="preserve">redloga </w:t>
      </w:r>
      <w:r>
        <w:t>U</w:t>
      </w:r>
      <w:r w:rsidR="007F4D5C">
        <w:t>redbe Evropskega parlamenta in Sveta o vzpostavitvi evropskih poslovnih denarnic</w:t>
      </w:r>
    </w:p>
    <w:p w14:paraId="5576D255" w14:textId="77777777" w:rsidR="000D273D" w:rsidRDefault="000D273D" w:rsidP="000D273D">
      <w:r>
        <w:t>Vlada Republike Slovenije je na današnji seji sprejela stališče k predlogu uredbe o vzpostavitvi evropskih poslovnih denarnic. Gre za ključni digitalni okvir, ki bo podjetjem omogočil varno identifikacijo, digitalno izkazovanje pooblastil in pravno veljavno komunikacijo z organi javnega sektorja v Evropski uniji.</w:t>
      </w:r>
    </w:p>
    <w:p w14:paraId="7DE9C8ED" w14:textId="77777777" w:rsidR="000D273D" w:rsidRDefault="000D273D" w:rsidP="000D273D"/>
    <w:p w14:paraId="4A6FDD45" w14:textId="1FF7BBBB" w:rsidR="000D273D" w:rsidRDefault="000D273D" w:rsidP="000D273D">
      <w:r>
        <w:t xml:space="preserve">Evropska poslovna denarnica bo delovala kot horizontalna digitalna infrastruktura, ki nadgrajuje obstoječo uredbo </w:t>
      </w:r>
      <w:proofErr w:type="spellStart"/>
      <w:r>
        <w:t>eIDAS</w:t>
      </w:r>
      <w:proofErr w:type="spellEnd"/>
      <w:r>
        <w:t>. Za gospodarske subjekte bo uporaba prostovoljna, javnemu sektorju pa bo naložila obvezno sprejemanje tega digitalnega kanala, kar bo po ocenah Evropske komisije prineslo do 150 milijard EUR letnih prihrankov za gospodarstvo. Slovenija se v svojem stališču zavzema, da se denarnica prednostno uvede za področje čezmejnih javnih naročil, s čimer bi malim in srednjim podjetjem olajšali dostop do tujih razpisov.</w:t>
      </w:r>
    </w:p>
    <w:p w14:paraId="5A55D0DD" w14:textId="77777777" w:rsidR="000D273D" w:rsidRDefault="000D273D" w:rsidP="000D273D"/>
    <w:p w14:paraId="0109F452" w14:textId="0CCE1DB1" w:rsidR="007F4D5C" w:rsidRDefault="000D273D" w:rsidP="000D273D">
      <w:r>
        <w:t xml:space="preserve">Ob podpori digitalizaciji Slovenija izpostavlja zaščito nacionalnih rešitev, saj vztraja pri ohranitvi uveljavljenih sistemov za </w:t>
      </w:r>
      <w:proofErr w:type="gramStart"/>
      <w:r>
        <w:t>e-vročanje</w:t>
      </w:r>
      <w:proofErr w:type="gramEnd"/>
      <w:r>
        <w:t xml:space="preserve"> in posredniških platform, kot je sistem Pladenj. Vlada prav tako nasprotuje nižanju varnostnih standardov pri dostopu do občutljivih podatkov in predlaga podaljšanje roka za implementacijo uredbe na 18 mesecev. Poleg dolgoročne racionalizacije javnih storitev bo uvedba poslovnih denarnic pozitivno vplivala tudi na okolje, saj bo zaradi zmanjšanja papirnega poslovanja in fizičnih obiskov organov neposredno prispevala k nižjim emisijam in učinkovitejši rabi virov.</w:t>
      </w:r>
    </w:p>
    <w:p w14:paraId="24348D89" w14:textId="4DDF32EA" w:rsidR="000D273D" w:rsidRDefault="000D273D" w:rsidP="000D273D">
      <w:pPr>
        <w:pStyle w:val="Vir"/>
      </w:pPr>
      <w:r w:rsidRPr="000D273D">
        <w:t>Vir: Ministrstvo za digitalno preobrazbo</w:t>
      </w:r>
    </w:p>
    <w:p w14:paraId="4DFCC5B4" w14:textId="517943E3" w:rsidR="00743B38" w:rsidRDefault="00743B38" w:rsidP="00743B38">
      <w:pPr>
        <w:pStyle w:val="Naslov2"/>
      </w:pPr>
      <w:r>
        <w:t>Vlada o predlogu evropske uredbe o vseevropskem osebnem pokojninskem produktu</w:t>
      </w:r>
    </w:p>
    <w:p w14:paraId="387E9DCF" w14:textId="77777777" w:rsidR="00743B38" w:rsidRDefault="00743B38" w:rsidP="00743B38">
      <w:r>
        <w:t>Vlada Republike Slovenije je sprejela predlog stališča Republike Slovenije k predlogu uredbe Evropskega parlamenta in Sveta o spremembi Uredbe o vseevropskem osebnem pokojninskem produktu (PEPP).</w:t>
      </w:r>
    </w:p>
    <w:p w14:paraId="6C78E7BC" w14:textId="77777777" w:rsidR="00743B38" w:rsidRDefault="00743B38" w:rsidP="00743B38"/>
    <w:p w14:paraId="755F19D2" w14:textId="77777777" w:rsidR="00743B38" w:rsidRDefault="00743B38" w:rsidP="00743B38">
      <w:r>
        <w:t xml:space="preserve">Zakonodajni predlog za spremembo uredbe o PEPP med drugim cilja na bolj privlačen, bolj dostopen in cenovno ugoden PEPP za varčevalce. </w:t>
      </w:r>
    </w:p>
    <w:p w14:paraId="5C6E7750" w14:textId="77777777" w:rsidR="00743B38" w:rsidRDefault="00743B38" w:rsidP="00743B38"/>
    <w:p w14:paraId="14E412CE" w14:textId="77777777" w:rsidR="00743B38" w:rsidRDefault="00743B38" w:rsidP="00743B38">
      <w:r>
        <w:t xml:space="preserve">Slovenija podpira krepitev dodatnih prostovoljnih pokojninskih zavarovanj v državah članicah EU, saj le-te zagotavljajo varno starostno obdobje prebivalcem držav članic EU in hkrati dolgoročna sredstva spodbujajo varčevanje in </w:t>
      </w:r>
      <w:proofErr w:type="gramStart"/>
      <w:r>
        <w:t>investicije</w:t>
      </w:r>
      <w:proofErr w:type="gramEnd"/>
      <w:r>
        <w:t xml:space="preserve">. Slovenija hkrati opozarja, da je treba upoštevati kompleksnost pokojninskih sistemov v različnih državah članicah in specifike ponudnikov na manj razvitih trgih dodatnih prostovoljnih pokojninskih zavarovanj, ki primerjalno zaostajajo za ponudniki, kjer je sektor dodatnih prostovoljnih pokojninskih zavarovanj bolj razvit. </w:t>
      </w:r>
    </w:p>
    <w:p w14:paraId="0CB21B0B" w14:textId="77777777" w:rsidR="00743B38" w:rsidRDefault="00743B38" w:rsidP="00743B38"/>
    <w:p w14:paraId="27C41CEF" w14:textId="77777777" w:rsidR="00743B38" w:rsidRDefault="00743B38" w:rsidP="00743B38">
      <w:r>
        <w:t xml:space="preserve">V tem okviru bo Slovenija podpirala rešitve, ki so v neposredni </w:t>
      </w:r>
      <w:proofErr w:type="gramStart"/>
      <w:r>
        <w:t>prid</w:t>
      </w:r>
      <w:proofErr w:type="gramEnd"/>
      <w:r>
        <w:t xml:space="preserve"> varčevalcem in krepijo njihovo zaupanje v dolgoročno varčevanje, hkrati pa ponudnikom omogočajo dovolj operativnega prostora za razvoj. </w:t>
      </w:r>
    </w:p>
    <w:p w14:paraId="75EEA801" w14:textId="2996CF8C" w:rsidR="007F4D5C" w:rsidRDefault="00743B38" w:rsidP="00743B38">
      <w:pPr>
        <w:pStyle w:val="Vir"/>
      </w:pPr>
      <w:r>
        <w:t>Vir: Ministrstvo za finance</w:t>
      </w:r>
    </w:p>
    <w:p w14:paraId="749DC55D" w14:textId="445343B9" w:rsidR="0003393D" w:rsidRDefault="0003393D" w:rsidP="0003393D">
      <w:pPr>
        <w:pStyle w:val="Naslov2"/>
      </w:pPr>
      <w:r>
        <w:t>S</w:t>
      </w:r>
      <w:r w:rsidRPr="0003393D">
        <w:t>tališč</w:t>
      </w:r>
      <w:r>
        <w:t>e</w:t>
      </w:r>
      <w:r w:rsidRPr="0003393D">
        <w:t xml:space="preserve"> Slovenije do osnutka skupnega stališča EU za začasno zaprtje poglavja 21 (vseevropska omrežja) za Črno goro</w:t>
      </w:r>
    </w:p>
    <w:p w14:paraId="38E9A17D" w14:textId="4681977F" w:rsidR="0003393D" w:rsidRDefault="0003393D" w:rsidP="0003393D">
      <w:r>
        <w:t>Vlada Republike Slovenije soglaša z osnutkom skupnega stališča EU za začasno zaprtje poglavja 21 (vseevropska omrežja) za Črno goro in ga posreduje Državnemu zboru Republike Slovenije.</w:t>
      </w:r>
    </w:p>
    <w:p w14:paraId="75E51BFD" w14:textId="77777777" w:rsidR="0003393D" w:rsidRDefault="0003393D" w:rsidP="0003393D"/>
    <w:p w14:paraId="716FA21B" w14:textId="77777777" w:rsidR="0003393D" w:rsidRDefault="0003393D" w:rsidP="0003393D">
      <w:r>
        <w:t xml:space="preserve">Črna gora v pogajalskem stališču CONF-ME 20/14 in </w:t>
      </w:r>
      <w:proofErr w:type="spellStart"/>
      <w:r>
        <w:t>adendumu</w:t>
      </w:r>
      <w:proofErr w:type="spellEnd"/>
      <w:r>
        <w:t xml:space="preserve"> AD 04/6 CONF-ME 4 sprejema pravni red EU in ustrezne evropske standarde iz tega poglavja. </w:t>
      </w:r>
    </w:p>
    <w:p w14:paraId="62AAE6E9" w14:textId="77777777" w:rsidR="0003393D" w:rsidRDefault="0003393D" w:rsidP="0003393D"/>
    <w:p w14:paraId="51695149" w14:textId="77777777" w:rsidR="0003393D" w:rsidRDefault="0003393D" w:rsidP="0003393D">
      <w:r>
        <w:t xml:space="preserve">Črna gora je 29. januarja 2026 predložila "Pogajalsko izhodišče o poglavju 21 – vseevropska omrežja." V dokumentu predstavlja ukrepe in dejavnosti, namenjene izpolnjevanju obveznosti Črne gore iz poglavja 21 in izpolnjevanju meril za zaprtje poglavja, kot so bila določena v skupnem stališču EU AD 4/6 CONF-ME 4. </w:t>
      </w:r>
    </w:p>
    <w:p w14:paraId="506032CA" w14:textId="77777777" w:rsidR="0003393D" w:rsidRDefault="0003393D" w:rsidP="0003393D"/>
    <w:p w14:paraId="15893DFC" w14:textId="77777777" w:rsidR="0003393D" w:rsidRDefault="0003393D" w:rsidP="0003393D">
      <w:r>
        <w:t xml:space="preserve">Črna gora ne zahteva odstopanj ali prehodnih obdobij za izvajanje pravnega reda EU in ustreznih evropskih standardov iz tega poglavja. </w:t>
      </w:r>
    </w:p>
    <w:p w14:paraId="4D1BB4C7" w14:textId="77777777" w:rsidR="0003393D" w:rsidRDefault="0003393D" w:rsidP="0003393D"/>
    <w:p w14:paraId="3AF31407" w14:textId="77777777" w:rsidR="0003393D" w:rsidRDefault="0003393D" w:rsidP="0003393D">
      <w:r>
        <w:t xml:space="preserve">Osnutek skupnega stališča EU ugotavlja, da lahko Črna gora začasno zapre poglavje 21 (vseevropska omrežja), Slovenija s tem soglaša. </w:t>
      </w:r>
    </w:p>
    <w:p w14:paraId="1A54334D" w14:textId="77777777" w:rsidR="0003393D" w:rsidRDefault="0003393D" w:rsidP="0003393D"/>
    <w:p w14:paraId="2B40D3E3" w14:textId="77777777" w:rsidR="0003393D" w:rsidRDefault="0003393D" w:rsidP="0003393D">
      <w:r>
        <w:t>Dokument ni predlog zakonodajnega akta EU, temveč gre za delovni dokument, ki se obravnava na Delovni skupini Sveta za širitev, ter bo v končni fazi potrjen na zasedanju Sveta.</w:t>
      </w:r>
    </w:p>
    <w:p w14:paraId="710D66CE" w14:textId="77777777" w:rsidR="0003393D" w:rsidRDefault="0003393D" w:rsidP="0003393D"/>
    <w:p w14:paraId="2A2DE7A5" w14:textId="574525B6" w:rsidR="0003393D" w:rsidRDefault="0003393D" w:rsidP="0003393D">
      <w:r>
        <w:t>Vlada predlaga, da gradivo obravnava pristojno delovno telo Državnega zbora RS.</w:t>
      </w:r>
    </w:p>
    <w:p w14:paraId="6C26B932" w14:textId="62508816" w:rsidR="0003393D" w:rsidRDefault="0003393D" w:rsidP="0003393D">
      <w:pPr>
        <w:pStyle w:val="Vir"/>
      </w:pPr>
      <w:r>
        <w:t>Vir: Ministrstvo za zunanje in evropske zadeve Republike Slovenije</w:t>
      </w:r>
    </w:p>
    <w:p w14:paraId="2CB653B9" w14:textId="5237C3AD" w:rsidR="002C3EB4" w:rsidRDefault="002C3EB4" w:rsidP="008952C6">
      <w:pPr>
        <w:pStyle w:val="Naslov2"/>
      </w:pPr>
      <w:r>
        <w:t>Uredba o ratifikaciji Memoranduma o soglasju med Vlado Republike Slovenije in Svetovno zdravstveno organizacijo po Regionalnem uradu za Evropo za skupno organizacijo srečanja na visoki ravni Pobude malih držav SZO</w:t>
      </w:r>
    </w:p>
    <w:p w14:paraId="21CCF2E1" w14:textId="77777777" w:rsidR="002C3EB4" w:rsidRDefault="002C3EB4" w:rsidP="002C3EB4">
      <w:r>
        <w:t xml:space="preserve">Vlada Republike Slovenije je izdala Uredbo o ratifikaciji Memoranduma o soglasju med Vlado Republike Slovenije in Svetovno zdravstveno organizacijo po Regionalnem uradu za Evropo za skupno organizacijo srečanja na visoki ravni Pobude malih držav SZO, Bled, Slovenija, 11.–13. maj 2025, podpisanega v Ljubljani 7. maja 2025. </w:t>
      </w:r>
    </w:p>
    <w:p w14:paraId="4E8E62B3" w14:textId="77777777" w:rsidR="002C3EB4" w:rsidRDefault="002C3EB4" w:rsidP="002C3EB4"/>
    <w:p w14:paraId="476D5960" w14:textId="3A5AD256" w:rsidR="002C3EB4" w:rsidRDefault="002C3EB4" w:rsidP="002C3EB4">
      <w:r>
        <w:t xml:space="preserve">Regionalni urad Svetovne zdravstvene organizacije za Evropo (SZO) je leta 2013 (na 63. zasedanju Regionalnega odbora SZO v Turčiji) podal pobudo za tesnejše sodelovanje majhnih držav, ki imajo </w:t>
      </w:r>
      <w:r>
        <w:lastRenderedPageBreak/>
        <w:t>manj kot milijon prebivalcev, v evropski regiji SZO (</w:t>
      </w:r>
      <w:proofErr w:type="gramStart"/>
      <w:r>
        <w:t>ang</w:t>
      </w:r>
      <w:proofErr w:type="gramEnd"/>
      <w:r>
        <w:t xml:space="preserve">. Small </w:t>
      </w:r>
      <w:proofErr w:type="spellStart"/>
      <w:r>
        <w:t>Countries</w:t>
      </w:r>
      <w:proofErr w:type="spellEnd"/>
      <w:r>
        <w:t xml:space="preserve"> </w:t>
      </w:r>
      <w:proofErr w:type="spellStart"/>
      <w:r>
        <w:t>Initiative</w:t>
      </w:r>
      <w:proofErr w:type="spellEnd"/>
      <w:r>
        <w:t xml:space="preserve"> – SCI). Pobudi se je pridružilo osem držav: Andora, Ciper, Islandija, Luksemburg, Malta, Monako, Črna gora in San Marino. </w:t>
      </w:r>
    </w:p>
    <w:p w14:paraId="490A8460" w14:textId="77777777" w:rsidR="002C3EB4" w:rsidRDefault="002C3EB4" w:rsidP="002C3EB4"/>
    <w:p w14:paraId="3385422C" w14:textId="77777777" w:rsidR="002C3EB4" w:rsidRDefault="002C3EB4" w:rsidP="002C3EB4">
      <w:r>
        <w:t xml:space="preserve">Cilj pobude je bil zagotoviti strokovno in tehnično podporo državam, ki imajo podobne značilnosti in mehanizme upravljanja. Delovanje pobude majhnih držav je bilo osredotočeno na strateške cilje evropske zdravstvene strategije SZO »Zdravje 2020« in Agende za trajnostni razvoj do leta 2030, da bi izboljšali zdravje in blagostanje prebivalstva, zmanjšali neenakosti v zdravju in oblikovali bolj pravične, povezane in trajnostne družbe. </w:t>
      </w:r>
    </w:p>
    <w:p w14:paraId="1A487006" w14:textId="77777777" w:rsidR="002C3EB4" w:rsidRDefault="002C3EB4" w:rsidP="002C3EB4"/>
    <w:p w14:paraId="67FE4814" w14:textId="77777777" w:rsidR="002C3EB4" w:rsidRDefault="002C3EB4" w:rsidP="002C3EB4">
      <w:r>
        <w:t xml:space="preserve">Za izvajanje memoranduma skrbi ministrstvo, pristojno za zdravje. </w:t>
      </w:r>
    </w:p>
    <w:p w14:paraId="05BDA4F8" w14:textId="57E5579F" w:rsidR="007F4D5C" w:rsidRDefault="002C3EB4" w:rsidP="008952C6">
      <w:pPr>
        <w:pStyle w:val="Vir"/>
      </w:pPr>
      <w:r>
        <w:t>Vir: Ministrstvo za zunanje in evropske zadeve Republike Slovenije</w:t>
      </w:r>
    </w:p>
    <w:p w14:paraId="04368368" w14:textId="3CA3F14F" w:rsidR="009A031B" w:rsidRDefault="009A031B" w:rsidP="009A031B">
      <w:pPr>
        <w:pStyle w:val="Naslov2"/>
      </w:pPr>
      <w:r>
        <w:t xml:space="preserve">Vlada se je seznanila s poročilom o izvedenih aktivnostih na svetovni razstavi </w:t>
      </w:r>
      <w:proofErr w:type="gramStart"/>
      <w:r>
        <w:t>EXPO Osaka</w:t>
      </w:r>
      <w:proofErr w:type="gramEnd"/>
      <w:r>
        <w:t xml:space="preserve"> 2025</w:t>
      </w:r>
    </w:p>
    <w:p w14:paraId="70CE401F" w14:textId="77777777" w:rsidR="009A031B" w:rsidRDefault="009A031B" w:rsidP="009A031B">
      <w:r>
        <w:t xml:space="preserve">Vlada Republike Slovenije se je seznanila z Obdobnim poročilom o izvedenih aktivnostih na svetovni razstavi </w:t>
      </w:r>
      <w:proofErr w:type="gramStart"/>
      <w:r>
        <w:t>EXPO Osaka</w:t>
      </w:r>
      <w:proofErr w:type="gramEnd"/>
      <w:r>
        <w:t xml:space="preserve"> 2025. Razstava je potekala med 13. aprilom in 13. oktobrom 2025 ter v 184 dneh privabila skoraj 28 milijonov obiskovalcev. </w:t>
      </w:r>
    </w:p>
    <w:p w14:paraId="51CA6820" w14:textId="77777777" w:rsidR="009A031B" w:rsidRDefault="009A031B" w:rsidP="009A031B"/>
    <w:p w14:paraId="337ED98D" w14:textId="6A581FD7" w:rsidR="009A031B" w:rsidRDefault="009A031B" w:rsidP="009A031B">
      <w:r>
        <w:t xml:space="preserve">Republika Slovenija je sodelovala v skupnem razstavnem prostoru Commons C v tematskem sklopu </w:t>
      </w:r>
      <w:proofErr w:type="spellStart"/>
      <w:r>
        <w:t>Saving</w:t>
      </w:r>
      <w:proofErr w:type="spellEnd"/>
      <w:r>
        <w:t xml:space="preserve"> </w:t>
      </w:r>
      <w:proofErr w:type="spellStart"/>
      <w:r>
        <w:t>Lives</w:t>
      </w:r>
      <w:proofErr w:type="spellEnd"/>
      <w:r>
        <w:t xml:space="preserve">, z namenom krepitve mednarodne prepoznavnosti ter utrjevanja javne in kulturne diplomacije ter dolgoročnih političnih in gospodarskih odnosov, zlasti z Japonsko in širšo </w:t>
      </w:r>
      <w:proofErr w:type="spellStart"/>
      <w:r>
        <w:t>indo</w:t>
      </w:r>
      <w:proofErr w:type="spellEnd"/>
      <w:r>
        <w:t xml:space="preserve">-pacifiško </w:t>
      </w:r>
      <w:proofErr w:type="gramStart"/>
      <w:r>
        <w:t>regijo</w:t>
      </w:r>
      <w:proofErr w:type="gramEnd"/>
      <w:r>
        <w:t>.</w:t>
      </w:r>
    </w:p>
    <w:p w14:paraId="4F5FCCE4" w14:textId="77777777" w:rsidR="009A031B" w:rsidRDefault="009A031B" w:rsidP="009A031B"/>
    <w:p w14:paraId="246CCC78" w14:textId="5D09787A" w:rsidR="009A031B" w:rsidRDefault="009A031B" w:rsidP="009A031B">
      <w:r>
        <w:t xml:space="preserve">Slovenska predstavitev je temeljila na vsebinah trajnosti, zdravja, inovacij, kulture, športa in čebelarstva. Podprta je bila z </w:t>
      </w:r>
      <w:proofErr w:type="gramStart"/>
      <w:r>
        <w:t>multimedijskimi</w:t>
      </w:r>
      <w:proofErr w:type="gramEnd"/>
      <w:r>
        <w:t xml:space="preserve"> in interaktivnimi rešitvami, vključno z VR-vsebinami ter aplikacijo umetne inteligence AI GAIA. Med osrednjimi poudarki sta izstopala dogodek ob Svetovnem dnevu čebel ter Nacionalni dan Republike Slovenije, ki je bil 26. septembra 2025 izveden ob prisotnosti več kot 450 gostov in na visoki protokolarni ter umetniški ravni.</w:t>
      </w:r>
    </w:p>
    <w:p w14:paraId="36C864BB" w14:textId="77777777" w:rsidR="009A031B" w:rsidRDefault="009A031B" w:rsidP="009A031B"/>
    <w:p w14:paraId="7CECCDB0" w14:textId="2944283D" w:rsidR="009A031B" w:rsidRDefault="009A031B" w:rsidP="009A031B">
      <w:r>
        <w:t>V času razstave so bile organizirane štiri uradne gospodarske delegacije s področij logistike, novih tehnologij, informacijskih rešitev, medicinske tehnologije, trajnosti in športa, v katerih je sodelovalo več kot 50 slovenskih podjetij. Slovenski razstavni prostor je skupno obiskalo več kot 3,6 milijona obiskovalcev, izvedenih je bilo 23 organiziranih dogodkov ter več kot 70 bilateralnih in multilateralnih srečanj.</w:t>
      </w:r>
    </w:p>
    <w:p w14:paraId="1C141B6C" w14:textId="77777777" w:rsidR="009A031B" w:rsidRDefault="009A031B" w:rsidP="009A031B"/>
    <w:p w14:paraId="239BDEB0" w14:textId="40CD3918" w:rsidR="009A031B" w:rsidRDefault="009A031B" w:rsidP="009A031B">
      <w:r>
        <w:t>EXPO Osaka 2025 je Sloveniji služil kot pomembno orodje za internacionalizacijo slovenskega gospodarstva, promocijo Slovenije kot zelene, varne in gostoljubne države, krepitev gospodarske diplomacije ter predstavitev slovenske kulture in znanosti. Hkrati je predstavljal dragoceno referenco za prihodnje nastope na svetovnih razstavah, med drugim na prihajajočem Expu</w:t>
      </w:r>
      <w:proofErr w:type="gramStart"/>
      <w:r>
        <w:t xml:space="preserve"> Rijad</w:t>
      </w:r>
      <w:proofErr w:type="gramEnd"/>
      <w:r>
        <w:t xml:space="preserve"> 2030. </w:t>
      </w:r>
    </w:p>
    <w:p w14:paraId="48FE2CDD" w14:textId="77777777" w:rsidR="009A031B" w:rsidRDefault="009A031B" w:rsidP="009A031B"/>
    <w:p w14:paraId="2DBAC242" w14:textId="4A6CBF92" w:rsidR="009A031B" w:rsidRDefault="009A031B" w:rsidP="009A031B">
      <w:r>
        <w:t xml:space="preserve">Obdobno poročilo o izvedenih aktivnostih na svetovni razstavi </w:t>
      </w:r>
      <w:proofErr w:type="gramStart"/>
      <w:r>
        <w:t>EXPO Osaka</w:t>
      </w:r>
      <w:proofErr w:type="gramEnd"/>
      <w:r>
        <w:t xml:space="preserve"> 2025 je pripravila Javna agencija Republike Slovenije za spodbujanje investicij, podjetništva in internacionalizacije.</w:t>
      </w:r>
    </w:p>
    <w:p w14:paraId="406FBD96" w14:textId="6B38A2AB" w:rsidR="007F4D5C" w:rsidRDefault="009A031B" w:rsidP="009A031B">
      <w:pPr>
        <w:pStyle w:val="Vir"/>
      </w:pPr>
      <w:r>
        <w:t>Vir: Ministrstvo za gospodarstvo, turizem in šport</w:t>
      </w:r>
    </w:p>
    <w:p w14:paraId="19C592B0" w14:textId="5FEC7107" w:rsidR="006145B7" w:rsidRDefault="006145B7" w:rsidP="006145B7">
      <w:pPr>
        <w:pStyle w:val="Naslov2"/>
      </w:pPr>
      <w:r>
        <w:t>Vlada podala soglasje k imenovanju direktorja Geodetskega inštituta Slovenije</w:t>
      </w:r>
    </w:p>
    <w:p w14:paraId="4F37B894" w14:textId="77777777" w:rsidR="006145B7" w:rsidRDefault="006145B7" w:rsidP="006145B7">
      <w:r>
        <w:t>Na podlagi 32. člena Zakona o zavodih ter določb Sklepa o statusnem preoblikovanju Inštituta za geodezijo in fotogrametrijo v Geodetski inštitut Slovenije je Svet Geodetskega inštituta Slovenije za direktorja zavoda imenoval Blaža Barboriča.</w:t>
      </w:r>
    </w:p>
    <w:p w14:paraId="10EFD26B" w14:textId="77777777" w:rsidR="006145B7" w:rsidRDefault="006145B7" w:rsidP="006145B7"/>
    <w:p w14:paraId="27B0F629" w14:textId="136125B2" w:rsidR="006145B7" w:rsidRDefault="006145B7" w:rsidP="006145B7">
      <w:r>
        <w:lastRenderedPageBreak/>
        <w:t>Sedanjemu direktorju mandat poteče 30. junija 2026, zato je bil objavljen javni razpis za delovno mesto direktorja/-</w:t>
      </w:r>
      <w:proofErr w:type="spellStart"/>
      <w:proofErr w:type="gramStart"/>
      <w:r>
        <w:t>ice</w:t>
      </w:r>
      <w:proofErr w:type="spellEnd"/>
      <w:proofErr w:type="gramEnd"/>
      <w:r>
        <w:t>. V razpisnem roku je bila prejeta ena popolna in pravočasna prijava. V nadaljevanju postopka je bilo ugotovljeno, da kandidat Blaž Barborič izpolnjuje vse predpisane pogoje za zasedbo delovnega mesta. Po opravljenem razgovoru so se člani sveta soglasno strinjali, da kandidat izpolnjuje vse pogoje in zahteve ter je strokovno usposobljen za opravljanje funkcije direktorja.</w:t>
      </w:r>
    </w:p>
    <w:p w14:paraId="40105E48" w14:textId="77777777" w:rsidR="006145B7" w:rsidRDefault="006145B7" w:rsidP="006145B7"/>
    <w:p w14:paraId="4AE0480E" w14:textId="5B68018D" w:rsidR="006145B7" w:rsidRDefault="006145B7" w:rsidP="006145B7">
      <w:r>
        <w:t>Svet Geodetskega inštituta Slovenije je na svoji 96. redni seji 2. februarja 2026 soglasno sprejel sklep, s katerim je Blaža Barboriča imenoval za direktorja Geodetskega inštituta Slovenije za naslednje mandatno obdobje.</w:t>
      </w:r>
    </w:p>
    <w:p w14:paraId="7871D65C" w14:textId="77777777" w:rsidR="006145B7" w:rsidRDefault="006145B7" w:rsidP="006145B7"/>
    <w:p w14:paraId="3CCDFEA9" w14:textId="1581AB31" w:rsidR="006145B7" w:rsidRDefault="006145B7" w:rsidP="006145B7">
      <w:r>
        <w:t>Mandat direktorju začne teči 1. julija 2026 in traja štiri leta, do 30. junija 2030. Po poteku mandata je lahko ponovno imenovan.</w:t>
      </w:r>
      <w:r>
        <w:t xml:space="preserve"> </w:t>
      </w:r>
      <w:r>
        <w:t>Vlada Republike Slovenije je k imenovanju podala soglasje, kot to določa akt o ustanovitvi zavoda.</w:t>
      </w:r>
    </w:p>
    <w:p w14:paraId="4D89249D" w14:textId="45AF734F" w:rsidR="007F4D5C" w:rsidRDefault="006145B7" w:rsidP="006145B7">
      <w:pPr>
        <w:pStyle w:val="Vir"/>
      </w:pPr>
      <w:r>
        <w:t>Vir: Ministrstvo za naravne vire in prostor</w:t>
      </w:r>
    </w:p>
    <w:p w14:paraId="2638EE53" w14:textId="03C3E8CD" w:rsidR="001D563D" w:rsidRDefault="001D563D" w:rsidP="001D563D">
      <w:pPr>
        <w:pStyle w:val="Naslov2"/>
      </w:pPr>
      <w:r>
        <w:t>Vlada soglaša z razrešitvijo direktorja Centra šolskih in obšolskih dejavnosti Branka Kumra in imenovanjem novega direktorja Domna Uršiča</w:t>
      </w:r>
    </w:p>
    <w:p w14:paraId="711BB533" w14:textId="77777777" w:rsidR="001D563D" w:rsidRDefault="001D563D" w:rsidP="001D563D">
      <w:r>
        <w:t>Vlada je dala soglasje k razrešitvi direktorja Centra šolskih in obšolskih dejavnosti Branka Kumra z 28. februarjem 2026.</w:t>
      </w:r>
    </w:p>
    <w:p w14:paraId="50F68D5E" w14:textId="77777777" w:rsidR="001D563D" w:rsidRDefault="001D563D" w:rsidP="001D563D"/>
    <w:p w14:paraId="4F035791" w14:textId="7C43D2AF" w:rsidR="001D563D" w:rsidRDefault="001D563D" w:rsidP="001D563D">
      <w:r>
        <w:t>Svet CŠOD se je 8. decembra lani seznanil z odpovedjo pogodbe o zaposlitvi direktorja Branka Kumra in sprejel njegovo odstopno izjavo. Direktor je zaradi izpolnitve pogojev za upokojitev delodajalcu podal pisno odpoved pogodbe o zaposlitvi z želenim datumom prenehanja delovnega razmerja 28. februarja 2026. Člani sveta CŠOD so med drugim sprejeli sklep o objavi razpisa za imenovanje novega direktorja oziroma direktorice in o imenovanju razpisne komisije. Na podlagi navedenega je 26. januarja 2026 direktor Branko Kumer s svetom CŠOD podpisal Sporazum o prenehanju pogodbe o zaposlitvi zaradi upokojitve.</w:t>
      </w:r>
    </w:p>
    <w:p w14:paraId="4E434133" w14:textId="77777777" w:rsidR="001D563D" w:rsidRDefault="001D563D" w:rsidP="001D563D">
      <w:r>
        <w:t xml:space="preserve"> </w:t>
      </w:r>
    </w:p>
    <w:p w14:paraId="05290E1C" w14:textId="1D9A2A7D" w:rsidR="001D563D" w:rsidRDefault="001D563D" w:rsidP="001D563D">
      <w:r>
        <w:t>Vlada pa je dala tudi soglasje k imenovanju Domna Uršiča za novega direktorja Centra šolskih in obšolskih dejavnosti, za mandatno dobo petih let, in sicer</w:t>
      </w:r>
      <w:proofErr w:type="gramStart"/>
      <w:r>
        <w:t xml:space="preserve"> od</w:t>
      </w:r>
      <w:proofErr w:type="gramEnd"/>
      <w:r>
        <w:t xml:space="preserve"> 1. marca 2026 do 28. februarja 2031.</w:t>
      </w:r>
    </w:p>
    <w:p w14:paraId="130EEDB7" w14:textId="77777777" w:rsidR="001D563D" w:rsidRDefault="001D563D" w:rsidP="001D563D">
      <w:r>
        <w:tab/>
      </w:r>
    </w:p>
    <w:p w14:paraId="3EC23908" w14:textId="77777777" w:rsidR="001D563D" w:rsidRDefault="001D563D" w:rsidP="001D563D">
      <w:r>
        <w:t>Na razpis za direktorja oziroma direktorico CŠOD so namreč pravočasno prispele tri vloge, od katerih je bila popolna samo ena. Na razgovor je bil povabljen Domen Uršič, ki izpolnjuje vse predpisane razpisne pogoje. Svet CŠOD ga je 20. januarja letos soglasno imenoval na delovno mesto direktorja CŠOD.</w:t>
      </w:r>
    </w:p>
    <w:p w14:paraId="3C12C08C" w14:textId="77777777" w:rsidR="001D563D" w:rsidRDefault="001D563D" w:rsidP="001D563D"/>
    <w:p w14:paraId="36719021" w14:textId="77777777" w:rsidR="001D563D" w:rsidRDefault="001D563D" w:rsidP="001D563D">
      <w:r>
        <w:t xml:space="preserve">Domen Uršič je po izobrazbi profesor slovenščine in sociologije. Od leta 2016 naprej je pomočnik </w:t>
      </w:r>
      <w:proofErr w:type="gramStart"/>
      <w:r>
        <w:t>direktorja</w:t>
      </w:r>
      <w:proofErr w:type="gramEnd"/>
      <w:r>
        <w:t xml:space="preserve"> za pedagoško področje – vodja doma CŠOD, Območna enota Cerkno. Ima vodstvene in organizacijske izkušnje ter odlično pozna zakonodajo s področja vzgoje in izobraževanja. Skozi svoje delovanje na področju pedagoškega dela je razvil komunikacijske in mediacijske veščine za delo z zaposlenimi, učitelji, učenci in starši, sposobnost strateškega načrtovanja ter spremljanja kakovosti pedagoškega procesa. Poleg navedenega ima izkušnje na področju </w:t>
      </w:r>
      <w:proofErr w:type="gramStart"/>
      <w:r>
        <w:t>timskega</w:t>
      </w:r>
      <w:proofErr w:type="gramEnd"/>
      <w:r>
        <w:t xml:space="preserve"> vodenja, motiviranja zaposlenih in prostovoljnega dela.  </w:t>
      </w:r>
    </w:p>
    <w:p w14:paraId="0AE68326" w14:textId="3DB31097" w:rsidR="007F4D5C" w:rsidRDefault="001D563D" w:rsidP="000413DF">
      <w:pPr>
        <w:pStyle w:val="Vir"/>
      </w:pPr>
      <w:r>
        <w:t>Vir: Ministrstvo za vzgojo in izobraževanje</w:t>
      </w:r>
    </w:p>
    <w:p w14:paraId="3ECB8BAD" w14:textId="5647EC61" w:rsidR="009C138D" w:rsidRDefault="009C138D" w:rsidP="009C138D">
      <w:pPr>
        <w:pStyle w:val="Naslov2"/>
      </w:pPr>
      <w:r>
        <w:t>Imenovan nov član Sveta Fundacije za financiranje invalidskih in humanitarnih organizacij</w:t>
      </w:r>
    </w:p>
    <w:p w14:paraId="04496902" w14:textId="77777777" w:rsidR="009C138D" w:rsidRDefault="009C138D" w:rsidP="009C138D">
      <w:r>
        <w:t xml:space="preserve">Vlada Republike Slovenije je imenovala Zorana Nikolovskega za člana Sveta Fundacije za financiranje invalidskih in humanitarnih organizacij v Republiki Sloveniji, za obdobje petih let od dneva imenovanja.    </w:t>
      </w:r>
    </w:p>
    <w:p w14:paraId="0F4E1A6A" w14:textId="77777777" w:rsidR="009C138D" w:rsidRDefault="009C138D" w:rsidP="009C138D"/>
    <w:p w14:paraId="42582030" w14:textId="77777777" w:rsidR="009C138D" w:rsidRDefault="009C138D" w:rsidP="009C138D">
      <w:r>
        <w:t>V skladu z 2. točko drugega odstavka 10. člena Zakona o lastninskem preoblikovanju Loterije Slovenije Vlada Republike Slovenije imenuje in razrešuje tri člane sveta fundacije, in sicer enega člana na predlog ministrstva, pristojnega za zdravje, enega člana na predlog ministrstva, pristojnega za invalidsko varstvo in enega člana na predlog ministrstva, pristojnega za finance.</w:t>
      </w:r>
    </w:p>
    <w:p w14:paraId="49D79672" w14:textId="77777777" w:rsidR="009C138D" w:rsidRDefault="009C138D" w:rsidP="009C138D"/>
    <w:p w14:paraId="761F7503" w14:textId="77777777" w:rsidR="009C138D" w:rsidRDefault="009C138D" w:rsidP="009C138D">
      <w:r>
        <w:t xml:space="preserve">Ministrstvo za zdravje je za novega člana sveta fundacije predlagalo Zorana Nikolovskega, saj je prejšnjemu članu, imenovanemu na predlog Ministrstva za zdravje, potekel mandat. </w:t>
      </w:r>
    </w:p>
    <w:p w14:paraId="4B900EB7" w14:textId="77777777" w:rsidR="009C138D" w:rsidRDefault="009C138D" w:rsidP="009C138D">
      <w:pPr>
        <w:pStyle w:val="Vir"/>
      </w:pPr>
      <w:r>
        <w:t>Vir: Ministrstvo za delo, družino, socialne zadeve in enake možnosti</w:t>
      </w:r>
    </w:p>
    <w:p w14:paraId="542F25CF" w14:textId="32201691" w:rsidR="0087238D" w:rsidRDefault="0087238D" w:rsidP="0087238D">
      <w:pPr>
        <w:pStyle w:val="Naslov2"/>
      </w:pPr>
      <w:r>
        <w:t>Ustanovitev Medresorske delovne skupine "Team Slovenia"</w:t>
      </w:r>
    </w:p>
    <w:p w14:paraId="7E762C6C" w14:textId="77777777" w:rsidR="0087238D" w:rsidRDefault="0087238D" w:rsidP="0087238D">
      <w:r>
        <w:t xml:space="preserve">Vlada Republike Slovenije je sprejela Sklep o ustanovitvi Medresorske delovne </w:t>
      </w:r>
      <w:proofErr w:type="gramStart"/>
      <w:r>
        <w:t xml:space="preserve">skupine  </w:t>
      </w:r>
      <w:proofErr w:type="gramEnd"/>
      <w:r>
        <w:t xml:space="preserve">za podporo aktivnostim Global </w:t>
      </w:r>
      <w:proofErr w:type="spellStart"/>
      <w:r>
        <w:t>Gateway</w:t>
      </w:r>
      <w:proofErr w:type="spellEnd"/>
      <w:r>
        <w:t xml:space="preserve"> in vključevanju slovenskega gospodarstva v razvojno-investicijske pobude v državah v razvoju (Team Slovenia).</w:t>
      </w:r>
    </w:p>
    <w:p w14:paraId="16933422" w14:textId="77777777" w:rsidR="0087238D" w:rsidRDefault="0087238D" w:rsidP="0087238D"/>
    <w:p w14:paraId="2843AA6F" w14:textId="77777777" w:rsidR="0087238D" w:rsidRDefault="0087238D" w:rsidP="0087238D">
      <w:r>
        <w:t xml:space="preserve">Investicijsko vozlišče Global </w:t>
      </w:r>
      <w:proofErr w:type="spellStart"/>
      <w:r>
        <w:t>Gateway</w:t>
      </w:r>
      <w:proofErr w:type="spellEnd"/>
      <w:r>
        <w:t xml:space="preserve"> predstavlja enotno vstopno </w:t>
      </w:r>
      <w:proofErr w:type="gramStart"/>
      <w:r>
        <w:t xml:space="preserve">točko  </w:t>
      </w:r>
      <w:proofErr w:type="gramEnd"/>
      <w:r>
        <w:t>EU za razvojno-investicijske pobude v Podsaharski Afriki, Latinski Ameriki in Karibih ter Aziji in Pacifiku. Nova platforma naj bi še okrepila vključevanje zasebnega sektorja v strategijo, bolje integrirala nacionalne ekipe</w:t>
      </w:r>
      <w:proofErr w:type="gramStart"/>
      <w:r>
        <w:t xml:space="preserve"> preko</w:t>
      </w:r>
      <w:proofErr w:type="gramEnd"/>
      <w:r>
        <w:t xml:space="preserve"> katerih se predlagajo investicijski projekti, jih povezala z mrežo evropskih finančnih razvojno-izvoznih institucij in ponudila podjetjem najboljšo ponudbo EU za čim večji investicijski učinek v partnerski državi, ter tako zasnovala nove poslovne priložnosti za podjetja EU.  </w:t>
      </w:r>
    </w:p>
    <w:p w14:paraId="50CB605A" w14:textId="77777777" w:rsidR="0087238D" w:rsidRDefault="0087238D" w:rsidP="0087238D"/>
    <w:p w14:paraId="46EE3300" w14:textId="0A82A39C" w:rsidR="0087238D" w:rsidRDefault="0087238D" w:rsidP="0087238D">
      <w:r>
        <w:t>Mreža nacionalnih ekip pomaga Evropski komisiji pri implementaciji teh pobud. Vsaka država članica sama odloči o strukturi ter sestavi nacionalnih ekip, pri čemer velja krovna usmeritev o celoviti sestavi ("</w:t>
      </w:r>
      <w:proofErr w:type="spellStart"/>
      <w:r>
        <w:t>whole</w:t>
      </w:r>
      <w:proofErr w:type="spellEnd"/>
      <w:r>
        <w:t>-of-</w:t>
      </w:r>
      <w:proofErr w:type="spellStart"/>
      <w:r>
        <w:t>government</w:t>
      </w:r>
      <w:proofErr w:type="spellEnd"/>
      <w:r>
        <w:t xml:space="preserve">"), ki bi združila na nacionalni ravni vse deležnike tako pristojnih ministrstev kot </w:t>
      </w:r>
      <w:proofErr w:type="gramStart"/>
      <w:r>
        <w:t>relevantne</w:t>
      </w:r>
      <w:proofErr w:type="gramEnd"/>
      <w:r>
        <w:t xml:space="preserve"> finančne, izvedbene in tehnične organizacije v strukturiran dialog in partnerstvo z zasebnim sektorjem, ki želi investirati v partnerskih državah.</w:t>
      </w:r>
    </w:p>
    <w:p w14:paraId="131EAAC5" w14:textId="77777777" w:rsidR="0087238D" w:rsidRDefault="0087238D" w:rsidP="0087238D"/>
    <w:p w14:paraId="3B275633" w14:textId="253C3DE1" w:rsidR="0087238D" w:rsidRDefault="0087238D" w:rsidP="0087238D">
      <w:r>
        <w:t xml:space="preserve">Slovenija še nima vzpostavljene nacionalne ekipe (prehodno obdobje do 2. marca 2026). </w:t>
      </w:r>
      <w:proofErr w:type="gramStart"/>
      <w:r>
        <w:t xml:space="preserve">Ustanovitev  </w:t>
      </w:r>
      <w:proofErr w:type="gramEnd"/>
      <w:r>
        <w:t xml:space="preserve">delovne skupine, ki bo kot nacionalna ekipa Global </w:t>
      </w:r>
      <w:proofErr w:type="spellStart"/>
      <w:r>
        <w:t>Gateway</w:t>
      </w:r>
      <w:proofErr w:type="spellEnd"/>
      <w:r>
        <w:t xml:space="preserve"> nastopala z nazivom Team Slovenia, je nujni pogoj za uspešno in usklajeno sodelovanje slovenskega gospodarstva v evropskih in mednarodnih razvojno-investicijskih pobudah, zlasti pri Global </w:t>
      </w:r>
      <w:proofErr w:type="spellStart"/>
      <w:r>
        <w:t>Gateway</w:t>
      </w:r>
      <w:proofErr w:type="spellEnd"/>
      <w:r>
        <w:t>.</w:t>
      </w:r>
    </w:p>
    <w:p w14:paraId="3D170826" w14:textId="77777777" w:rsidR="0087238D" w:rsidRDefault="0087238D" w:rsidP="0087238D"/>
    <w:p w14:paraId="6F22BC24" w14:textId="1A8A0CBA" w:rsidR="0087238D" w:rsidRDefault="0087238D" w:rsidP="0087238D">
      <w:r>
        <w:t>Team Slovenia bo osrednja nacionalna platforma za usklajevanje razvojno-investicijskih aktivnosti</w:t>
      </w:r>
      <w:proofErr w:type="gramStart"/>
      <w:r>
        <w:t xml:space="preserve">.  </w:t>
      </w:r>
      <w:proofErr w:type="gramEnd"/>
      <w:r>
        <w:t xml:space="preserve">V tem okviru bo tudi nacionalni nosilec aktivnosti Global </w:t>
      </w:r>
      <w:proofErr w:type="spellStart"/>
      <w:r>
        <w:t>Gateway</w:t>
      </w:r>
      <w:proofErr w:type="spellEnd"/>
      <w:r>
        <w:t xml:space="preserve"> </w:t>
      </w:r>
      <w:proofErr w:type="gramStart"/>
      <w:r>
        <w:t xml:space="preserve">in  </w:t>
      </w:r>
      <w:proofErr w:type="gramEnd"/>
      <w:r>
        <w:t xml:space="preserve">v smislu formalne strukture pristojni Global </w:t>
      </w:r>
      <w:proofErr w:type="spellStart"/>
      <w:r>
        <w:t>Gateway</w:t>
      </w:r>
      <w:proofErr w:type="spellEnd"/>
      <w:r>
        <w:t xml:space="preserve"> sogovornik deležnikom EU ter podjetjem. Hkrati bo kot operativna, fleksibilna in več-deležniška strokovna skupina obravnavala in sodelovala pri predlogih vseh razvojno-</w:t>
      </w:r>
      <w:proofErr w:type="gramStart"/>
      <w:r>
        <w:t>investicijskih</w:t>
      </w:r>
      <w:proofErr w:type="gramEnd"/>
      <w:r>
        <w:t xml:space="preserve"> projektov iz Slovenije ter relevantne posredovala evropskim mehanizmom, še posebej Investicijskem vozlišču Global </w:t>
      </w:r>
      <w:proofErr w:type="spellStart"/>
      <w:r>
        <w:t>Gateway</w:t>
      </w:r>
      <w:proofErr w:type="spellEnd"/>
      <w:r>
        <w:t xml:space="preserve">.   </w:t>
      </w:r>
    </w:p>
    <w:p w14:paraId="1F6AAAAC" w14:textId="77777777" w:rsidR="0087238D" w:rsidRDefault="0087238D" w:rsidP="0087238D"/>
    <w:p w14:paraId="22989436" w14:textId="37A065B5" w:rsidR="0087238D" w:rsidRDefault="0087238D" w:rsidP="0087238D">
      <w:r>
        <w:t xml:space="preserve">Medresorsko delovno skupino "Team Slovenia" sestavljajo ključni nacionalni deležniki internacionalizacije ter mednarodnega razvojnega </w:t>
      </w:r>
      <w:proofErr w:type="gramStart"/>
      <w:r>
        <w:t>investicijskega</w:t>
      </w:r>
      <w:proofErr w:type="gramEnd"/>
      <w:r>
        <w:t xml:space="preserve"> sodelovanja, vključno z Gospodarsko zbornico Slovenije kot strateškim partnerjem. V razširjeni sestavi jo glede na usmerjena področja projekta </w:t>
      </w:r>
      <w:proofErr w:type="gramStart"/>
      <w:r>
        <w:t>Global</w:t>
      </w:r>
      <w:proofErr w:type="gramEnd"/>
      <w:r>
        <w:t xml:space="preserve"> </w:t>
      </w:r>
      <w:proofErr w:type="spellStart"/>
      <w:r>
        <w:t>Gateway</w:t>
      </w:r>
      <w:proofErr w:type="spellEnd"/>
      <w:r>
        <w:t xml:space="preserve"> dopolnjujejo druga pristojna ministrstva, po presoji delovne skupine pa tudi drugi relevantni deležniki na področju gospodarstva, raziskav in razvoja, inovacij, nevladnih organizacij ipd.</w:t>
      </w:r>
    </w:p>
    <w:p w14:paraId="6E35201B" w14:textId="77777777" w:rsidR="0087238D" w:rsidRDefault="0087238D" w:rsidP="0087238D"/>
    <w:p w14:paraId="527A9B15" w14:textId="5A223AC3" w:rsidR="0087238D" w:rsidRDefault="0087238D" w:rsidP="0087238D">
      <w:r>
        <w:t>Koordinacijo in administrativno-tehnično podporo bo zagotovilo ministrstvo, pristojno za zunanje in evropske zadeve.</w:t>
      </w:r>
    </w:p>
    <w:p w14:paraId="61A41F61" w14:textId="03282F47" w:rsidR="007F4D5C" w:rsidRPr="007F4D5C" w:rsidRDefault="0087238D" w:rsidP="00610199">
      <w:pPr>
        <w:pStyle w:val="Vir"/>
      </w:pPr>
      <w:r>
        <w:t>Vir: Ministrstvo za zunanje in evropske zadeve Republike Slovenije</w:t>
      </w:r>
    </w:p>
    <w:sectPr w:rsidR="007F4D5C" w:rsidRPr="007F4D5C" w:rsidSect="00F01966">
      <w:type w:val="continuous"/>
      <w:pgSz w:w="11906" w:h="16838"/>
      <w:pgMar w:top="1135" w:right="1417" w:bottom="1417" w:left="1417" w:header="1417"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886828" w14:textId="77777777" w:rsidR="0067375D" w:rsidRDefault="0067375D" w:rsidP="00750D01">
      <w:pPr>
        <w:spacing w:line="240" w:lineRule="auto"/>
      </w:pPr>
      <w:r>
        <w:separator/>
      </w:r>
    </w:p>
  </w:endnote>
  <w:endnote w:type="continuationSeparator" w:id="0">
    <w:p w14:paraId="382D8D7B" w14:textId="77777777" w:rsidR="0067375D" w:rsidRDefault="0067375D" w:rsidP="00750D0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Republika">
    <w:panose1 w:val="02000506040000020004"/>
    <w:charset w:val="EE"/>
    <w:family w:val="auto"/>
    <w:pitch w:val="variable"/>
    <w:sig w:usb0="A00000FF" w:usb1="4000205B" w:usb2="00000000" w:usb3="00000000" w:csb0="00000093" w:csb1="00000000"/>
  </w:font>
  <w:font w:name="Cambria Math">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C905DB" w14:textId="77777777" w:rsidR="0067375D" w:rsidRDefault="0067375D" w:rsidP="00750D01">
      <w:pPr>
        <w:spacing w:line="240" w:lineRule="auto"/>
      </w:pPr>
      <w:r>
        <w:separator/>
      </w:r>
    </w:p>
  </w:footnote>
  <w:footnote w:type="continuationSeparator" w:id="0">
    <w:p w14:paraId="56A3F1D9" w14:textId="77777777" w:rsidR="0067375D" w:rsidRDefault="0067375D" w:rsidP="00750D0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16B71" w14:textId="77777777" w:rsidR="009540E4" w:rsidRPr="00110CBD" w:rsidRDefault="009540E4"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DF38C" w14:textId="1CA9CECA" w:rsidR="00F01966" w:rsidRDefault="00F01966">
    <w:pPr>
      <w:pStyle w:val="Glava"/>
    </w:pPr>
    <w:r>
      <w:rPr>
        <w:noProof/>
      </w:rPr>
      <w:drawing>
        <wp:anchor distT="0" distB="0" distL="114300" distR="114300" simplePos="0" relativeHeight="251660288" behindDoc="0" locked="0" layoutInCell="1" allowOverlap="1" wp14:anchorId="3B4E3537" wp14:editId="27ACADE6">
          <wp:simplePos x="0" y="0"/>
          <wp:positionH relativeFrom="column">
            <wp:posOffset>-742950</wp:posOffset>
          </wp:positionH>
          <wp:positionV relativeFrom="paragraph">
            <wp:posOffset>387098</wp:posOffset>
          </wp:positionV>
          <wp:extent cx="2216989" cy="329086"/>
          <wp:effectExtent l="0" t="0" r="0" b="0"/>
          <wp:wrapNone/>
          <wp:docPr id="2" name="Slika 2" descr="Slika, ki vsebuje besede grafika, simbol, risanka, oblikovanje&#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ka 2" descr="Slika, ki vsebuje besede grafika, simbol, risanka, oblikovanje&#10;&#10;Opis je samodejno ustvarj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16989" cy="329086"/>
                  </a:xfrm>
                  <a:prstGeom prst="rect">
                    <a:avLst/>
                  </a:prstGeom>
                  <a:noFill/>
                  <a:ln>
                    <a:noFill/>
                  </a:ln>
                </pic:spPr>
              </pic:pic>
            </a:graphicData>
          </a:graphic>
          <wp14:sizeRelH relativeFrom="margin">
            <wp14:pctWidth>0</wp14:pctWidth>
          </wp14:sizeRelH>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77E27"/>
    <w:multiLevelType w:val="hybridMultilevel"/>
    <w:tmpl w:val="B5CE16F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4126880"/>
    <w:multiLevelType w:val="hybridMultilevel"/>
    <w:tmpl w:val="771E3FAA"/>
    <w:lvl w:ilvl="0" w:tplc="5044B50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5222A9C"/>
    <w:multiLevelType w:val="hybridMultilevel"/>
    <w:tmpl w:val="F4B676A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C8B5812"/>
    <w:multiLevelType w:val="hybridMultilevel"/>
    <w:tmpl w:val="CE8667B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0DAE0D6E"/>
    <w:multiLevelType w:val="hybridMultilevel"/>
    <w:tmpl w:val="362EDFA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3E323B4"/>
    <w:multiLevelType w:val="hybridMultilevel"/>
    <w:tmpl w:val="AC56154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A171EEE"/>
    <w:multiLevelType w:val="hybridMultilevel"/>
    <w:tmpl w:val="6A3E292E"/>
    <w:lvl w:ilvl="0" w:tplc="725C927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204A6E02"/>
    <w:multiLevelType w:val="hybridMultilevel"/>
    <w:tmpl w:val="FCC48B8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23ED7152"/>
    <w:multiLevelType w:val="hybridMultilevel"/>
    <w:tmpl w:val="1F9AD5F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26F3640C"/>
    <w:multiLevelType w:val="hybridMultilevel"/>
    <w:tmpl w:val="2F2E773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272D2AC2"/>
    <w:multiLevelType w:val="hybridMultilevel"/>
    <w:tmpl w:val="056094CA"/>
    <w:lvl w:ilvl="0" w:tplc="5044B50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285D2CF9"/>
    <w:multiLevelType w:val="hybridMultilevel"/>
    <w:tmpl w:val="1CDA2A0A"/>
    <w:lvl w:ilvl="0" w:tplc="5044B500">
      <w:start w:val="1"/>
      <w:numFmt w:val="bullet"/>
      <w:lvlText w:val=""/>
      <w:lvlJc w:val="left"/>
      <w:pPr>
        <w:ind w:left="720" w:hanging="360"/>
      </w:pPr>
      <w:rPr>
        <w:rFonts w:ascii="Symbol" w:hAnsi="Symbol" w:hint="default"/>
      </w:rPr>
    </w:lvl>
    <w:lvl w:ilvl="1" w:tplc="41860F60">
      <w:start w:val="20"/>
      <w:numFmt w:val="bullet"/>
      <w:lvlText w:val="-"/>
      <w:lvlJc w:val="left"/>
      <w:pPr>
        <w:ind w:left="1650" w:hanging="57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295E3891"/>
    <w:multiLevelType w:val="hybridMultilevel"/>
    <w:tmpl w:val="9308082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297E1021"/>
    <w:multiLevelType w:val="hybridMultilevel"/>
    <w:tmpl w:val="F2F8BE2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2F533FC0"/>
    <w:multiLevelType w:val="hybridMultilevel"/>
    <w:tmpl w:val="7AFEF64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32CD175B"/>
    <w:multiLevelType w:val="hybridMultilevel"/>
    <w:tmpl w:val="15802ED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33A1769F"/>
    <w:multiLevelType w:val="hybridMultilevel"/>
    <w:tmpl w:val="C484889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374B092F"/>
    <w:multiLevelType w:val="hybridMultilevel"/>
    <w:tmpl w:val="DD6405A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3D134D39"/>
    <w:multiLevelType w:val="hybridMultilevel"/>
    <w:tmpl w:val="D8B6804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41A64FAD"/>
    <w:multiLevelType w:val="hybridMultilevel"/>
    <w:tmpl w:val="ACA6FAC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41C90CBE"/>
    <w:multiLevelType w:val="hybridMultilevel"/>
    <w:tmpl w:val="F1F83CB2"/>
    <w:lvl w:ilvl="0" w:tplc="5044B50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43F84D0F"/>
    <w:multiLevelType w:val="hybridMultilevel"/>
    <w:tmpl w:val="B07ABD5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47BD65D3"/>
    <w:multiLevelType w:val="hybridMultilevel"/>
    <w:tmpl w:val="35043D9E"/>
    <w:lvl w:ilvl="0" w:tplc="5044B50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4A753EA3"/>
    <w:multiLevelType w:val="hybridMultilevel"/>
    <w:tmpl w:val="18E6700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4E206F15"/>
    <w:multiLevelType w:val="hybridMultilevel"/>
    <w:tmpl w:val="A72025F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568271FA"/>
    <w:multiLevelType w:val="hybridMultilevel"/>
    <w:tmpl w:val="DAEC4CE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584063CC"/>
    <w:multiLevelType w:val="hybridMultilevel"/>
    <w:tmpl w:val="6420A22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608C169F"/>
    <w:multiLevelType w:val="hybridMultilevel"/>
    <w:tmpl w:val="B0D68A1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68932246"/>
    <w:multiLevelType w:val="hybridMultilevel"/>
    <w:tmpl w:val="6E9018A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6A981AB6"/>
    <w:multiLevelType w:val="hybridMultilevel"/>
    <w:tmpl w:val="CD027C0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6EA62F2F"/>
    <w:multiLevelType w:val="hybridMultilevel"/>
    <w:tmpl w:val="1FFE9E5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71406EF5"/>
    <w:multiLevelType w:val="hybridMultilevel"/>
    <w:tmpl w:val="C582AAB6"/>
    <w:lvl w:ilvl="0" w:tplc="9BB603B4">
      <w:start w:val="1"/>
      <w:numFmt w:val="bullet"/>
      <w:pStyle w:val="Odstavekseznama"/>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7A0D175E"/>
    <w:multiLevelType w:val="hybridMultilevel"/>
    <w:tmpl w:val="3F46B55A"/>
    <w:lvl w:ilvl="0" w:tplc="5044B500">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num w:numId="1" w16cid:durableId="1176576364">
    <w:abstractNumId w:val="31"/>
  </w:num>
  <w:num w:numId="2" w16cid:durableId="984821814">
    <w:abstractNumId w:val="21"/>
  </w:num>
  <w:num w:numId="3" w16cid:durableId="150218247">
    <w:abstractNumId w:val="1"/>
  </w:num>
  <w:num w:numId="4" w16cid:durableId="1026903286">
    <w:abstractNumId w:val="22"/>
  </w:num>
  <w:num w:numId="5" w16cid:durableId="231817878">
    <w:abstractNumId w:val="11"/>
  </w:num>
  <w:num w:numId="6" w16cid:durableId="2110814889">
    <w:abstractNumId w:val="32"/>
  </w:num>
  <w:num w:numId="7" w16cid:durableId="695153758">
    <w:abstractNumId w:val="12"/>
  </w:num>
  <w:num w:numId="8" w16cid:durableId="853298866">
    <w:abstractNumId w:val="20"/>
  </w:num>
  <w:num w:numId="9" w16cid:durableId="1789348953">
    <w:abstractNumId w:val="10"/>
  </w:num>
  <w:num w:numId="10" w16cid:durableId="1415012333">
    <w:abstractNumId w:val="25"/>
  </w:num>
  <w:num w:numId="11" w16cid:durableId="886650520">
    <w:abstractNumId w:val="14"/>
  </w:num>
  <w:num w:numId="12" w16cid:durableId="312607874">
    <w:abstractNumId w:val="5"/>
  </w:num>
  <w:num w:numId="13" w16cid:durableId="1398894926">
    <w:abstractNumId w:val="0"/>
  </w:num>
  <w:num w:numId="14" w16cid:durableId="857430202">
    <w:abstractNumId w:val="9"/>
  </w:num>
  <w:num w:numId="15" w16cid:durableId="682360922">
    <w:abstractNumId w:val="17"/>
  </w:num>
  <w:num w:numId="16" w16cid:durableId="162476534">
    <w:abstractNumId w:val="28"/>
  </w:num>
  <w:num w:numId="17" w16cid:durableId="319192199">
    <w:abstractNumId w:val="6"/>
  </w:num>
  <w:num w:numId="18" w16cid:durableId="261764048">
    <w:abstractNumId w:val="29"/>
  </w:num>
  <w:num w:numId="19" w16cid:durableId="243734113">
    <w:abstractNumId w:val="18"/>
  </w:num>
  <w:num w:numId="20" w16cid:durableId="677466461">
    <w:abstractNumId w:val="13"/>
  </w:num>
  <w:num w:numId="21" w16cid:durableId="1392191424">
    <w:abstractNumId w:val="7"/>
  </w:num>
  <w:num w:numId="22" w16cid:durableId="30956745">
    <w:abstractNumId w:val="24"/>
  </w:num>
  <w:num w:numId="23" w16cid:durableId="1814788480">
    <w:abstractNumId w:val="2"/>
  </w:num>
  <w:num w:numId="24" w16cid:durableId="58212473">
    <w:abstractNumId w:val="16"/>
  </w:num>
  <w:num w:numId="25" w16cid:durableId="2145270519">
    <w:abstractNumId w:val="27"/>
  </w:num>
  <w:num w:numId="26" w16cid:durableId="225073580">
    <w:abstractNumId w:val="26"/>
  </w:num>
  <w:num w:numId="27" w16cid:durableId="408696259">
    <w:abstractNumId w:val="15"/>
  </w:num>
  <w:num w:numId="28" w16cid:durableId="2016300639">
    <w:abstractNumId w:val="23"/>
  </w:num>
  <w:num w:numId="29" w16cid:durableId="821384740">
    <w:abstractNumId w:val="30"/>
  </w:num>
  <w:num w:numId="30" w16cid:durableId="1653636387">
    <w:abstractNumId w:val="3"/>
  </w:num>
  <w:num w:numId="31" w16cid:durableId="1913002556">
    <w:abstractNumId w:val="8"/>
  </w:num>
  <w:num w:numId="32" w16cid:durableId="1477063127">
    <w:abstractNumId w:val="19"/>
  </w:num>
  <w:num w:numId="33" w16cid:durableId="7449584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40E4"/>
    <w:rsid w:val="00001547"/>
    <w:rsid w:val="00004626"/>
    <w:rsid w:val="00005AA2"/>
    <w:rsid w:val="00010A67"/>
    <w:rsid w:val="000318E4"/>
    <w:rsid w:val="0003393D"/>
    <w:rsid w:val="00040839"/>
    <w:rsid w:val="000413DF"/>
    <w:rsid w:val="00050A56"/>
    <w:rsid w:val="00057D37"/>
    <w:rsid w:val="000610D5"/>
    <w:rsid w:val="00076DF7"/>
    <w:rsid w:val="00081C1F"/>
    <w:rsid w:val="00085D04"/>
    <w:rsid w:val="00087069"/>
    <w:rsid w:val="00087A14"/>
    <w:rsid w:val="00096432"/>
    <w:rsid w:val="00097B85"/>
    <w:rsid w:val="000C5456"/>
    <w:rsid w:val="000D273D"/>
    <w:rsid w:val="000D5520"/>
    <w:rsid w:val="000E0453"/>
    <w:rsid w:val="000E0657"/>
    <w:rsid w:val="000E4688"/>
    <w:rsid w:val="000F5B2E"/>
    <w:rsid w:val="00101665"/>
    <w:rsid w:val="001043B5"/>
    <w:rsid w:val="00110637"/>
    <w:rsid w:val="001106F5"/>
    <w:rsid w:val="00110B8F"/>
    <w:rsid w:val="00111A16"/>
    <w:rsid w:val="00113F85"/>
    <w:rsid w:val="0012724F"/>
    <w:rsid w:val="0013016C"/>
    <w:rsid w:val="001357B6"/>
    <w:rsid w:val="00151FF5"/>
    <w:rsid w:val="001602C9"/>
    <w:rsid w:val="00164895"/>
    <w:rsid w:val="0016530C"/>
    <w:rsid w:val="001659CF"/>
    <w:rsid w:val="001673A5"/>
    <w:rsid w:val="00173343"/>
    <w:rsid w:val="00186A67"/>
    <w:rsid w:val="001A4787"/>
    <w:rsid w:val="001B01DD"/>
    <w:rsid w:val="001B42F9"/>
    <w:rsid w:val="001B48E4"/>
    <w:rsid w:val="001C3560"/>
    <w:rsid w:val="001C5F19"/>
    <w:rsid w:val="001D4277"/>
    <w:rsid w:val="001D563D"/>
    <w:rsid w:val="001D69D6"/>
    <w:rsid w:val="001E1393"/>
    <w:rsid w:val="001F51BC"/>
    <w:rsid w:val="001F7F63"/>
    <w:rsid w:val="00203CAB"/>
    <w:rsid w:val="00203F5F"/>
    <w:rsid w:val="00215140"/>
    <w:rsid w:val="00220CDD"/>
    <w:rsid w:val="00223A7C"/>
    <w:rsid w:val="0022511A"/>
    <w:rsid w:val="00231021"/>
    <w:rsid w:val="00232921"/>
    <w:rsid w:val="00235C37"/>
    <w:rsid w:val="00237364"/>
    <w:rsid w:val="002501CE"/>
    <w:rsid w:val="00260C96"/>
    <w:rsid w:val="00277476"/>
    <w:rsid w:val="002829AC"/>
    <w:rsid w:val="00284A0B"/>
    <w:rsid w:val="002856E5"/>
    <w:rsid w:val="002C0766"/>
    <w:rsid w:val="002C36A6"/>
    <w:rsid w:val="002C3EB4"/>
    <w:rsid w:val="002D5B5D"/>
    <w:rsid w:val="002D7874"/>
    <w:rsid w:val="002E3F96"/>
    <w:rsid w:val="002F3BE7"/>
    <w:rsid w:val="00300234"/>
    <w:rsid w:val="00302938"/>
    <w:rsid w:val="0032428F"/>
    <w:rsid w:val="0033383A"/>
    <w:rsid w:val="003343BF"/>
    <w:rsid w:val="0033519E"/>
    <w:rsid w:val="003448EA"/>
    <w:rsid w:val="003459DC"/>
    <w:rsid w:val="00346E22"/>
    <w:rsid w:val="00351E1E"/>
    <w:rsid w:val="00357DC0"/>
    <w:rsid w:val="00357E26"/>
    <w:rsid w:val="00361255"/>
    <w:rsid w:val="00381018"/>
    <w:rsid w:val="003847C8"/>
    <w:rsid w:val="00385767"/>
    <w:rsid w:val="003877EB"/>
    <w:rsid w:val="00390582"/>
    <w:rsid w:val="00390DF7"/>
    <w:rsid w:val="0039458F"/>
    <w:rsid w:val="0039662C"/>
    <w:rsid w:val="003A1F91"/>
    <w:rsid w:val="003A3742"/>
    <w:rsid w:val="003A4418"/>
    <w:rsid w:val="003B0907"/>
    <w:rsid w:val="003B1257"/>
    <w:rsid w:val="003C2B33"/>
    <w:rsid w:val="003D64D8"/>
    <w:rsid w:val="003E122C"/>
    <w:rsid w:val="003E17B6"/>
    <w:rsid w:val="003E1B89"/>
    <w:rsid w:val="003E4E19"/>
    <w:rsid w:val="003E6170"/>
    <w:rsid w:val="003F4CC5"/>
    <w:rsid w:val="00404C45"/>
    <w:rsid w:val="00415527"/>
    <w:rsid w:val="00424DF8"/>
    <w:rsid w:val="004323D3"/>
    <w:rsid w:val="00432937"/>
    <w:rsid w:val="004403EC"/>
    <w:rsid w:val="00447B57"/>
    <w:rsid w:val="0045565C"/>
    <w:rsid w:val="00455B63"/>
    <w:rsid w:val="00460370"/>
    <w:rsid w:val="00462674"/>
    <w:rsid w:val="00465543"/>
    <w:rsid w:val="00472762"/>
    <w:rsid w:val="00474CBD"/>
    <w:rsid w:val="00486080"/>
    <w:rsid w:val="004969DD"/>
    <w:rsid w:val="004A00A8"/>
    <w:rsid w:val="004A6F1C"/>
    <w:rsid w:val="004A7BFC"/>
    <w:rsid w:val="004A7CAD"/>
    <w:rsid w:val="004B4753"/>
    <w:rsid w:val="004B5C38"/>
    <w:rsid w:val="004B7346"/>
    <w:rsid w:val="004C3F67"/>
    <w:rsid w:val="004C721D"/>
    <w:rsid w:val="004D368D"/>
    <w:rsid w:val="004D5711"/>
    <w:rsid w:val="00514121"/>
    <w:rsid w:val="00522637"/>
    <w:rsid w:val="00527867"/>
    <w:rsid w:val="00527AA5"/>
    <w:rsid w:val="005314D7"/>
    <w:rsid w:val="00534B77"/>
    <w:rsid w:val="00544398"/>
    <w:rsid w:val="005458D4"/>
    <w:rsid w:val="005515BD"/>
    <w:rsid w:val="00571BC9"/>
    <w:rsid w:val="005740C1"/>
    <w:rsid w:val="0059143B"/>
    <w:rsid w:val="005948F8"/>
    <w:rsid w:val="005A570D"/>
    <w:rsid w:val="005B1739"/>
    <w:rsid w:val="005B215C"/>
    <w:rsid w:val="005B5886"/>
    <w:rsid w:val="005C1523"/>
    <w:rsid w:val="005C3868"/>
    <w:rsid w:val="005C6DFB"/>
    <w:rsid w:val="005E1ABB"/>
    <w:rsid w:val="005E601E"/>
    <w:rsid w:val="005F7476"/>
    <w:rsid w:val="00610199"/>
    <w:rsid w:val="006145B7"/>
    <w:rsid w:val="00614FFD"/>
    <w:rsid w:val="006205AE"/>
    <w:rsid w:val="00622F2B"/>
    <w:rsid w:val="006247F1"/>
    <w:rsid w:val="00626A98"/>
    <w:rsid w:val="006274BB"/>
    <w:rsid w:val="00634EFA"/>
    <w:rsid w:val="00635D43"/>
    <w:rsid w:val="006367B9"/>
    <w:rsid w:val="00642D21"/>
    <w:rsid w:val="00647772"/>
    <w:rsid w:val="00657B15"/>
    <w:rsid w:val="0066249C"/>
    <w:rsid w:val="00663A61"/>
    <w:rsid w:val="0067375D"/>
    <w:rsid w:val="00676F03"/>
    <w:rsid w:val="00677662"/>
    <w:rsid w:val="006906AF"/>
    <w:rsid w:val="00693BA3"/>
    <w:rsid w:val="006B03A9"/>
    <w:rsid w:val="006B3F12"/>
    <w:rsid w:val="006C0131"/>
    <w:rsid w:val="006C1B31"/>
    <w:rsid w:val="006C4733"/>
    <w:rsid w:val="006C53DE"/>
    <w:rsid w:val="006D294C"/>
    <w:rsid w:val="006D36E2"/>
    <w:rsid w:val="006D56B5"/>
    <w:rsid w:val="006F1754"/>
    <w:rsid w:val="006F2225"/>
    <w:rsid w:val="006F29FA"/>
    <w:rsid w:val="0070324C"/>
    <w:rsid w:val="007041B7"/>
    <w:rsid w:val="00710C67"/>
    <w:rsid w:val="0071171B"/>
    <w:rsid w:val="007120FD"/>
    <w:rsid w:val="007130E1"/>
    <w:rsid w:val="00716545"/>
    <w:rsid w:val="00717E59"/>
    <w:rsid w:val="0073796B"/>
    <w:rsid w:val="00743B38"/>
    <w:rsid w:val="00750D01"/>
    <w:rsid w:val="007643A0"/>
    <w:rsid w:val="0076517E"/>
    <w:rsid w:val="007669A3"/>
    <w:rsid w:val="00767A18"/>
    <w:rsid w:val="00775843"/>
    <w:rsid w:val="00780AEF"/>
    <w:rsid w:val="00781345"/>
    <w:rsid w:val="007830B9"/>
    <w:rsid w:val="0078384F"/>
    <w:rsid w:val="00784E57"/>
    <w:rsid w:val="0078776E"/>
    <w:rsid w:val="0079749C"/>
    <w:rsid w:val="007A4C0B"/>
    <w:rsid w:val="007A6460"/>
    <w:rsid w:val="007B0ADD"/>
    <w:rsid w:val="007B35EE"/>
    <w:rsid w:val="007B515F"/>
    <w:rsid w:val="007C21FB"/>
    <w:rsid w:val="007D15EC"/>
    <w:rsid w:val="007E198F"/>
    <w:rsid w:val="007E3E63"/>
    <w:rsid w:val="007F4D5C"/>
    <w:rsid w:val="007F5D6B"/>
    <w:rsid w:val="007F6EF7"/>
    <w:rsid w:val="00805872"/>
    <w:rsid w:val="008070A8"/>
    <w:rsid w:val="008114E9"/>
    <w:rsid w:val="00814664"/>
    <w:rsid w:val="008154EA"/>
    <w:rsid w:val="008220A3"/>
    <w:rsid w:val="008244C0"/>
    <w:rsid w:val="008336E7"/>
    <w:rsid w:val="008362C6"/>
    <w:rsid w:val="00836E94"/>
    <w:rsid w:val="00847AA2"/>
    <w:rsid w:val="00847AD3"/>
    <w:rsid w:val="00851CB6"/>
    <w:rsid w:val="00851FE1"/>
    <w:rsid w:val="008551A5"/>
    <w:rsid w:val="00860907"/>
    <w:rsid w:val="008624E8"/>
    <w:rsid w:val="0087238D"/>
    <w:rsid w:val="008952C6"/>
    <w:rsid w:val="008A10A5"/>
    <w:rsid w:val="008A16D8"/>
    <w:rsid w:val="008A172A"/>
    <w:rsid w:val="008A4E2F"/>
    <w:rsid w:val="008B3275"/>
    <w:rsid w:val="008B6738"/>
    <w:rsid w:val="008B7AF2"/>
    <w:rsid w:val="008C4231"/>
    <w:rsid w:val="008D49BD"/>
    <w:rsid w:val="008D6C89"/>
    <w:rsid w:val="008E28DB"/>
    <w:rsid w:val="00905C96"/>
    <w:rsid w:val="00914A02"/>
    <w:rsid w:val="00914A71"/>
    <w:rsid w:val="009174DA"/>
    <w:rsid w:val="00927C04"/>
    <w:rsid w:val="00933061"/>
    <w:rsid w:val="00933087"/>
    <w:rsid w:val="00936908"/>
    <w:rsid w:val="00945A32"/>
    <w:rsid w:val="00945B27"/>
    <w:rsid w:val="00952CB1"/>
    <w:rsid w:val="009540E4"/>
    <w:rsid w:val="009724A9"/>
    <w:rsid w:val="00974186"/>
    <w:rsid w:val="00983241"/>
    <w:rsid w:val="009900DE"/>
    <w:rsid w:val="009A031B"/>
    <w:rsid w:val="009A128A"/>
    <w:rsid w:val="009A41AA"/>
    <w:rsid w:val="009B3707"/>
    <w:rsid w:val="009C138D"/>
    <w:rsid w:val="009C2C98"/>
    <w:rsid w:val="009C2D77"/>
    <w:rsid w:val="009C562E"/>
    <w:rsid w:val="009C60EF"/>
    <w:rsid w:val="009D10D1"/>
    <w:rsid w:val="009D7AF2"/>
    <w:rsid w:val="009E214A"/>
    <w:rsid w:val="009F37F4"/>
    <w:rsid w:val="009F4DB0"/>
    <w:rsid w:val="00A06971"/>
    <w:rsid w:val="00A231C7"/>
    <w:rsid w:val="00A2471A"/>
    <w:rsid w:val="00A30052"/>
    <w:rsid w:val="00A31764"/>
    <w:rsid w:val="00A34FC4"/>
    <w:rsid w:val="00A445DF"/>
    <w:rsid w:val="00A4748F"/>
    <w:rsid w:val="00A521C4"/>
    <w:rsid w:val="00A5415F"/>
    <w:rsid w:val="00A60A37"/>
    <w:rsid w:val="00A60FBF"/>
    <w:rsid w:val="00A66FB9"/>
    <w:rsid w:val="00A67305"/>
    <w:rsid w:val="00A726C3"/>
    <w:rsid w:val="00A72877"/>
    <w:rsid w:val="00A7412B"/>
    <w:rsid w:val="00A767ED"/>
    <w:rsid w:val="00A775C9"/>
    <w:rsid w:val="00AB0C15"/>
    <w:rsid w:val="00AB1DC2"/>
    <w:rsid w:val="00AC33A6"/>
    <w:rsid w:val="00AC4F27"/>
    <w:rsid w:val="00AD1AFD"/>
    <w:rsid w:val="00AD412A"/>
    <w:rsid w:val="00AD4D3D"/>
    <w:rsid w:val="00AD7048"/>
    <w:rsid w:val="00AE6CD6"/>
    <w:rsid w:val="00AF0D10"/>
    <w:rsid w:val="00AF2612"/>
    <w:rsid w:val="00AF5FC8"/>
    <w:rsid w:val="00B0001F"/>
    <w:rsid w:val="00B022E5"/>
    <w:rsid w:val="00B058CB"/>
    <w:rsid w:val="00B06EAB"/>
    <w:rsid w:val="00B47F61"/>
    <w:rsid w:val="00B53594"/>
    <w:rsid w:val="00B602CF"/>
    <w:rsid w:val="00B60F58"/>
    <w:rsid w:val="00B70F5B"/>
    <w:rsid w:val="00B73A77"/>
    <w:rsid w:val="00B753A8"/>
    <w:rsid w:val="00B84862"/>
    <w:rsid w:val="00B903E5"/>
    <w:rsid w:val="00BA743D"/>
    <w:rsid w:val="00BB1111"/>
    <w:rsid w:val="00BB73C0"/>
    <w:rsid w:val="00BE5C43"/>
    <w:rsid w:val="00C10798"/>
    <w:rsid w:val="00C244B7"/>
    <w:rsid w:val="00C25768"/>
    <w:rsid w:val="00C3152B"/>
    <w:rsid w:val="00C32B3F"/>
    <w:rsid w:val="00C354D9"/>
    <w:rsid w:val="00C365A8"/>
    <w:rsid w:val="00C43D34"/>
    <w:rsid w:val="00C458C2"/>
    <w:rsid w:val="00C471A1"/>
    <w:rsid w:val="00C51186"/>
    <w:rsid w:val="00C56365"/>
    <w:rsid w:val="00C666AC"/>
    <w:rsid w:val="00C97F7B"/>
    <w:rsid w:val="00CA5624"/>
    <w:rsid w:val="00CB625F"/>
    <w:rsid w:val="00CC0926"/>
    <w:rsid w:val="00CC3123"/>
    <w:rsid w:val="00CC37B3"/>
    <w:rsid w:val="00CE20C0"/>
    <w:rsid w:val="00CE21D5"/>
    <w:rsid w:val="00CE45D7"/>
    <w:rsid w:val="00D10EB4"/>
    <w:rsid w:val="00D14EEC"/>
    <w:rsid w:val="00D165AA"/>
    <w:rsid w:val="00D22282"/>
    <w:rsid w:val="00D60A92"/>
    <w:rsid w:val="00D64FA4"/>
    <w:rsid w:val="00D650E2"/>
    <w:rsid w:val="00D72E82"/>
    <w:rsid w:val="00D7373E"/>
    <w:rsid w:val="00D833CC"/>
    <w:rsid w:val="00D85532"/>
    <w:rsid w:val="00D9208E"/>
    <w:rsid w:val="00D95BC6"/>
    <w:rsid w:val="00D966FF"/>
    <w:rsid w:val="00D97B4B"/>
    <w:rsid w:val="00DA08BE"/>
    <w:rsid w:val="00DA3B4D"/>
    <w:rsid w:val="00DA3B5E"/>
    <w:rsid w:val="00DA3BD5"/>
    <w:rsid w:val="00DA5C0D"/>
    <w:rsid w:val="00DA5D7A"/>
    <w:rsid w:val="00DB1E1A"/>
    <w:rsid w:val="00DB55BA"/>
    <w:rsid w:val="00DC154E"/>
    <w:rsid w:val="00DC7ED6"/>
    <w:rsid w:val="00DD11E2"/>
    <w:rsid w:val="00DE16B1"/>
    <w:rsid w:val="00DE199D"/>
    <w:rsid w:val="00DE1B54"/>
    <w:rsid w:val="00DE27BA"/>
    <w:rsid w:val="00E00738"/>
    <w:rsid w:val="00E02AB3"/>
    <w:rsid w:val="00E05EEE"/>
    <w:rsid w:val="00E14AAE"/>
    <w:rsid w:val="00E20351"/>
    <w:rsid w:val="00E2036F"/>
    <w:rsid w:val="00E3207D"/>
    <w:rsid w:val="00E3507E"/>
    <w:rsid w:val="00E40BD7"/>
    <w:rsid w:val="00E7132A"/>
    <w:rsid w:val="00E83E60"/>
    <w:rsid w:val="00E86C78"/>
    <w:rsid w:val="00E92749"/>
    <w:rsid w:val="00E948BD"/>
    <w:rsid w:val="00E9541C"/>
    <w:rsid w:val="00E96045"/>
    <w:rsid w:val="00EC012E"/>
    <w:rsid w:val="00ED0126"/>
    <w:rsid w:val="00ED1BED"/>
    <w:rsid w:val="00ED5AAF"/>
    <w:rsid w:val="00EE167A"/>
    <w:rsid w:val="00EE35F8"/>
    <w:rsid w:val="00EF1263"/>
    <w:rsid w:val="00EF7154"/>
    <w:rsid w:val="00F01966"/>
    <w:rsid w:val="00F03257"/>
    <w:rsid w:val="00F134C4"/>
    <w:rsid w:val="00F20884"/>
    <w:rsid w:val="00F21123"/>
    <w:rsid w:val="00F21419"/>
    <w:rsid w:val="00F21BAD"/>
    <w:rsid w:val="00F23144"/>
    <w:rsid w:val="00F240E9"/>
    <w:rsid w:val="00F31222"/>
    <w:rsid w:val="00F462C7"/>
    <w:rsid w:val="00F56111"/>
    <w:rsid w:val="00F6034A"/>
    <w:rsid w:val="00F6522C"/>
    <w:rsid w:val="00F65E6D"/>
    <w:rsid w:val="00F92545"/>
    <w:rsid w:val="00F92D76"/>
    <w:rsid w:val="00F93A56"/>
    <w:rsid w:val="00F9731A"/>
    <w:rsid w:val="00FA1D6E"/>
    <w:rsid w:val="00FA792D"/>
    <w:rsid w:val="00FC2D38"/>
    <w:rsid w:val="00FD1B7E"/>
    <w:rsid w:val="00FD6477"/>
    <w:rsid w:val="00FD6F18"/>
    <w:rsid w:val="00FE5604"/>
    <w:rsid w:val="00FF245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A48F8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750D01"/>
    <w:pPr>
      <w:spacing w:after="0" w:line="260" w:lineRule="exact"/>
    </w:pPr>
    <w:rPr>
      <w:rFonts w:ascii="Arial" w:eastAsia="Times New Roman" w:hAnsi="Arial" w:cs="Times New Roman"/>
      <w:sz w:val="20"/>
      <w:szCs w:val="24"/>
    </w:rPr>
  </w:style>
  <w:style w:type="paragraph" w:styleId="Naslov1">
    <w:name w:val="heading 1"/>
    <w:basedOn w:val="Navaden"/>
    <w:next w:val="Navaden"/>
    <w:link w:val="Naslov1Znak"/>
    <w:uiPriority w:val="9"/>
    <w:qFormat/>
    <w:rsid w:val="0039662C"/>
    <w:pPr>
      <w:autoSpaceDE w:val="0"/>
      <w:autoSpaceDN w:val="0"/>
      <w:adjustRightInd w:val="0"/>
      <w:spacing w:after="240" w:line="240" w:lineRule="auto"/>
      <w:outlineLvl w:val="0"/>
    </w:pPr>
    <w:rPr>
      <w:b/>
      <w:bCs/>
      <w:sz w:val="28"/>
      <w:szCs w:val="28"/>
    </w:rPr>
  </w:style>
  <w:style w:type="paragraph" w:styleId="Naslov2">
    <w:name w:val="heading 2"/>
    <w:basedOn w:val="Navaden"/>
    <w:next w:val="Navaden"/>
    <w:link w:val="Naslov2Znak"/>
    <w:uiPriority w:val="9"/>
    <w:unhideWhenUsed/>
    <w:qFormat/>
    <w:rsid w:val="005E1ABB"/>
    <w:pPr>
      <w:autoSpaceDE w:val="0"/>
      <w:autoSpaceDN w:val="0"/>
      <w:adjustRightInd w:val="0"/>
      <w:spacing w:after="240" w:line="240" w:lineRule="auto"/>
      <w:contextualSpacing/>
      <w:outlineLvl w:val="1"/>
    </w:pPr>
    <w:rPr>
      <w:b/>
      <w:bCs/>
    </w:rPr>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aliases w:val="APEK-4,Header Char Char,Header Char1 Char Char,Header Char Char Char Char,Header Char1 Char Char Char Char,Header Char Char Char Char Char Char,Header Char1 Char Char Char Char Char Char,Header Char Char Char Char Char Char Char Char"/>
    <w:basedOn w:val="Navaden"/>
    <w:link w:val="GlavaZnak"/>
    <w:uiPriority w:val="99"/>
    <w:rsid w:val="00750D01"/>
    <w:pPr>
      <w:tabs>
        <w:tab w:val="center" w:pos="4320"/>
        <w:tab w:val="right" w:pos="8640"/>
      </w:tabs>
    </w:pPr>
  </w:style>
  <w:style w:type="character" w:customStyle="1" w:styleId="GlavaZnak">
    <w:name w:val="Glava Znak"/>
    <w:aliases w:val="APEK-4 Znak,Header Char Char Znak,Header Char1 Char Char Znak,Header Char Char Char Char Znak,Header Char1 Char Char Char Char Znak,Header Char Char Char Char Char Char Znak,Header Char1 Char Char Char Char Char Char Znak"/>
    <w:basedOn w:val="Privzetapisavaodstavka"/>
    <w:link w:val="Glava"/>
    <w:uiPriority w:val="99"/>
    <w:rsid w:val="00750D01"/>
    <w:rPr>
      <w:rFonts w:ascii="Arial" w:eastAsia="Times New Roman" w:hAnsi="Arial" w:cs="Times New Roman"/>
      <w:sz w:val="20"/>
      <w:szCs w:val="24"/>
    </w:rPr>
  </w:style>
  <w:style w:type="paragraph" w:styleId="Noga">
    <w:name w:val="footer"/>
    <w:basedOn w:val="Navaden"/>
    <w:link w:val="NogaZnak"/>
    <w:rsid w:val="00750D01"/>
    <w:pPr>
      <w:tabs>
        <w:tab w:val="center" w:pos="4320"/>
        <w:tab w:val="right" w:pos="8640"/>
      </w:tabs>
    </w:pPr>
  </w:style>
  <w:style w:type="character" w:customStyle="1" w:styleId="NogaZnak">
    <w:name w:val="Noga Znak"/>
    <w:basedOn w:val="Privzetapisavaodstavka"/>
    <w:link w:val="Noga"/>
    <w:rsid w:val="00750D01"/>
    <w:rPr>
      <w:rFonts w:ascii="Arial" w:eastAsia="Times New Roman" w:hAnsi="Arial" w:cs="Times New Roman"/>
      <w:sz w:val="20"/>
      <w:szCs w:val="24"/>
    </w:rPr>
  </w:style>
  <w:style w:type="character" w:styleId="tevilkastrani">
    <w:name w:val="page number"/>
    <w:basedOn w:val="Privzetapisavaodstavka"/>
    <w:rsid w:val="00750D01"/>
  </w:style>
  <w:style w:type="paragraph" w:styleId="Naslov">
    <w:name w:val="Title"/>
    <w:basedOn w:val="Navaden"/>
    <w:next w:val="Navaden"/>
    <w:link w:val="NaslovZnak"/>
    <w:uiPriority w:val="10"/>
    <w:qFormat/>
    <w:rsid w:val="009D10D1"/>
    <w:pPr>
      <w:spacing w:before="480" w:after="240" w:line="240" w:lineRule="auto"/>
      <w:contextualSpacing/>
    </w:pPr>
    <w:rPr>
      <w:rFonts w:eastAsiaTheme="majorEastAsia" w:cs="Arial"/>
      <w:spacing w:val="-10"/>
      <w:kern w:val="28"/>
      <w:szCs w:val="20"/>
    </w:rPr>
  </w:style>
  <w:style w:type="character" w:customStyle="1" w:styleId="NaslovZnak">
    <w:name w:val="Naslov Znak"/>
    <w:basedOn w:val="Privzetapisavaodstavka"/>
    <w:link w:val="Naslov"/>
    <w:uiPriority w:val="10"/>
    <w:rsid w:val="009D10D1"/>
    <w:rPr>
      <w:rFonts w:ascii="Arial" w:eastAsiaTheme="majorEastAsia" w:hAnsi="Arial" w:cs="Arial"/>
      <w:spacing w:val="-10"/>
      <w:kern w:val="28"/>
      <w:sz w:val="20"/>
      <w:szCs w:val="20"/>
    </w:rPr>
  </w:style>
  <w:style w:type="character" w:customStyle="1" w:styleId="Naslov1Znak">
    <w:name w:val="Naslov 1 Znak"/>
    <w:basedOn w:val="Privzetapisavaodstavka"/>
    <w:link w:val="Naslov1"/>
    <w:uiPriority w:val="9"/>
    <w:rsid w:val="0039662C"/>
    <w:rPr>
      <w:rFonts w:ascii="Arial" w:eastAsia="Times New Roman" w:hAnsi="Arial" w:cs="Times New Roman"/>
      <w:b/>
      <w:bCs/>
      <w:sz w:val="28"/>
      <w:szCs w:val="28"/>
    </w:rPr>
  </w:style>
  <w:style w:type="paragraph" w:customStyle="1" w:styleId="DatumSZJ">
    <w:name w:val="Datum SZJ"/>
    <w:basedOn w:val="Navaden"/>
    <w:next w:val="Navaden"/>
    <w:link w:val="DatumSZJZnak"/>
    <w:qFormat/>
    <w:rsid w:val="00A7412B"/>
    <w:pPr>
      <w:autoSpaceDE w:val="0"/>
      <w:autoSpaceDN w:val="0"/>
      <w:adjustRightInd w:val="0"/>
      <w:spacing w:after="360" w:line="240" w:lineRule="auto"/>
    </w:pPr>
  </w:style>
  <w:style w:type="character" w:customStyle="1" w:styleId="Naslov2Znak">
    <w:name w:val="Naslov 2 Znak"/>
    <w:basedOn w:val="Privzetapisavaodstavka"/>
    <w:link w:val="Naslov2"/>
    <w:uiPriority w:val="9"/>
    <w:rsid w:val="005E1ABB"/>
    <w:rPr>
      <w:rFonts w:ascii="Arial" w:eastAsia="Times New Roman" w:hAnsi="Arial" w:cs="Times New Roman"/>
      <w:b/>
      <w:bCs/>
      <w:sz w:val="20"/>
      <w:szCs w:val="24"/>
    </w:rPr>
  </w:style>
  <w:style w:type="character" w:customStyle="1" w:styleId="DatumSZJZnak">
    <w:name w:val="Datum SZJ Znak"/>
    <w:basedOn w:val="Privzetapisavaodstavka"/>
    <w:link w:val="DatumSZJ"/>
    <w:rsid w:val="00A7412B"/>
    <w:rPr>
      <w:rFonts w:ascii="Arial" w:eastAsia="Times New Roman" w:hAnsi="Arial" w:cs="Times New Roman"/>
      <w:sz w:val="20"/>
      <w:szCs w:val="24"/>
    </w:rPr>
  </w:style>
  <w:style w:type="paragraph" w:customStyle="1" w:styleId="Vir">
    <w:name w:val="Vir"/>
    <w:basedOn w:val="Navaden"/>
    <w:next w:val="Navaden"/>
    <w:link w:val="VirZnak"/>
    <w:qFormat/>
    <w:rsid w:val="00110B8F"/>
    <w:pPr>
      <w:autoSpaceDE w:val="0"/>
      <w:autoSpaceDN w:val="0"/>
      <w:adjustRightInd w:val="0"/>
      <w:spacing w:before="240" w:after="360" w:line="240" w:lineRule="auto"/>
    </w:pPr>
  </w:style>
  <w:style w:type="paragraph" w:styleId="Odstavekseznama">
    <w:name w:val="List Paragraph"/>
    <w:basedOn w:val="Navaden"/>
    <w:uiPriority w:val="34"/>
    <w:qFormat/>
    <w:rsid w:val="00203F5F"/>
    <w:pPr>
      <w:numPr>
        <w:numId w:val="1"/>
      </w:numPr>
      <w:contextualSpacing/>
    </w:pPr>
  </w:style>
  <w:style w:type="character" w:customStyle="1" w:styleId="VirZnak">
    <w:name w:val="Vir Znak"/>
    <w:basedOn w:val="Privzetapisavaodstavka"/>
    <w:link w:val="Vir"/>
    <w:rsid w:val="00110B8F"/>
    <w:rPr>
      <w:rFonts w:ascii="Arial" w:eastAsia="Times New Roman" w:hAnsi="Arial" w:cs="Times New Roman"/>
      <w:sz w:val="20"/>
      <w:szCs w:val="24"/>
    </w:rPr>
  </w:style>
  <w:style w:type="character" w:styleId="Hiperpovezava">
    <w:name w:val="Hyperlink"/>
    <w:basedOn w:val="Privzetapisavaodstavka"/>
    <w:uiPriority w:val="99"/>
    <w:unhideWhenUsed/>
    <w:rsid w:val="00663A6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537301">
      <w:bodyDiv w:val="1"/>
      <w:marLeft w:val="0"/>
      <w:marRight w:val="0"/>
      <w:marTop w:val="0"/>
      <w:marBottom w:val="0"/>
      <w:divBdr>
        <w:top w:val="none" w:sz="0" w:space="0" w:color="auto"/>
        <w:left w:val="none" w:sz="0" w:space="0" w:color="auto"/>
        <w:bottom w:val="none" w:sz="0" w:space="0" w:color="auto"/>
        <w:right w:val="none" w:sz="0" w:space="0" w:color="auto"/>
      </w:divBdr>
    </w:div>
    <w:div w:id="261883628">
      <w:bodyDiv w:val="1"/>
      <w:marLeft w:val="0"/>
      <w:marRight w:val="0"/>
      <w:marTop w:val="0"/>
      <w:marBottom w:val="0"/>
      <w:divBdr>
        <w:top w:val="none" w:sz="0" w:space="0" w:color="auto"/>
        <w:left w:val="none" w:sz="0" w:space="0" w:color="auto"/>
        <w:bottom w:val="none" w:sz="0" w:space="0" w:color="auto"/>
        <w:right w:val="none" w:sz="0" w:space="0" w:color="auto"/>
      </w:divBdr>
    </w:div>
    <w:div w:id="332494004">
      <w:bodyDiv w:val="1"/>
      <w:marLeft w:val="0"/>
      <w:marRight w:val="0"/>
      <w:marTop w:val="0"/>
      <w:marBottom w:val="0"/>
      <w:divBdr>
        <w:top w:val="none" w:sz="0" w:space="0" w:color="auto"/>
        <w:left w:val="none" w:sz="0" w:space="0" w:color="auto"/>
        <w:bottom w:val="none" w:sz="0" w:space="0" w:color="auto"/>
        <w:right w:val="none" w:sz="0" w:space="0" w:color="auto"/>
      </w:divBdr>
    </w:div>
    <w:div w:id="465507344">
      <w:bodyDiv w:val="1"/>
      <w:marLeft w:val="0"/>
      <w:marRight w:val="0"/>
      <w:marTop w:val="0"/>
      <w:marBottom w:val="0"/>
      <w:divBdr>
        <w:top w:val="none" w:sz="0" w:space="0" w:color="auto"/>
        <w:left w:val="none" w:sz="0" w:space="0" w:color="auto"/>
        <w:bottom w:val="none" w:sz="0" w:space="0" w:color="auto"/>
        <w:right w:val="none" w:sz="0" w:space="0" w:color="auto"/>
      </w:divBdr>
    </w:div>
    <w:div w:id="877279487">
      <w:bodyDiv w:val="1"/>
      <w:marLeft w:val="0"/>
      <w:marRight w:val="0"/>
      <w:marTop w:val="0"/>
      <w:marBottom w:val="0"/>
      <w:divBdr>
        <w:top w:val="none" w:sz="0" w:space="0" w:color="auto"/>
        <w:left w:val="none" w:sz="0" w:space="0" w:color="auto"/>
        <w:bottom w:val="none" w:sz="0" w:space="0" w:color="auto"/>
        <w:right w:val="none" w:sz="0" w:space="0" w:color="auto"/>
      </w:divBdr>
    </w:div>
    <w:div w:id="1295021132">
      <w:bodyDiv w:val="1"/>
      <w:marLeft w:val="0"/>
      <w:marRight w:val="0"/>
      <w:marTop w:val="0"/>
      <w:marBottom w:val="0"/>
      <w:divBdr>
        <w:top w:val="none" w:sz="0" w:space="0" w:color="auto"/>
        <w:left w:val="none" w:sz="0" w:space="0" w:color="auto"/>
        <w:bottom w:val="none" w:sz="0" w:space="0" w:color="auto"/>
        <w:right w:val="none" w:sz="0" w:space="0" w:color="auto"/>
      </w:divBdr>
    </w:div>
    <w:div w:id="1358116296">
      <w:bodyDiv w:val="1"/>
      <w:marLeft w:val="0"/>
      <w:marRight w:val="0"/>
      <w:marTop w:val="0"/>
      <w:marBottom w:val="0"/>
      <w:divBdr>
        <w:top w:val="none" w:sz="0" w:space="0" w:color="auto"/>
        <w:left w:val="none" w:sz="0" w:space="0" w:color="auto"/>
        <w:bottom w:val="none" w:sz="0" w:space="0" w:color="auto"/>
        <w:right w:val="none" w:sz="0" w:space="0" w:color="auto"/>
      </w:divBdr>
    </w:div>
    <w:div w:id="1794521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si/novice/2025-12-19-slovenija-oddala-peti-zahtevek-za-placilo-sredstev-iz-mehanizma-za-okrevanje-in-odpornos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si/novice/2026-02-17-vlada-je-potrdila-predlog-pete-spremembe-nacrta-za-okrevanje-in-odpornos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5D5117429E6D7418C58FC90322A8638" ma:contentTypeVersion="3" ma:contentTypeDescription="Create a new document." ma:contentTypeScope="" ma:versionID="af7836002ab36a4cf9d574b9cf62edcf">
  <xsd:schema xmlns:xsd="http://www.w3.org/2001/XMLSchema" xmlns:xs="http://www.w3.org/2001/XMLSchema" xmlns:p="http://schemas.microsoft.com/office/2006/metadata/properties" xmlns:ns3="eb582466-1b59-4d29-8755-2962c9164f84" targetNamespace="http://schemas.microsoft.com/office/2006/metadata/properties" ma:root="true" ma:fieldsID="8f3c0790d4e523edad3a139ab2c0a08f" ns3:_="">
    <xsd:import namespace="eb582466-1b59-4d29-8755-2962c9164f84"/>
    <xsd:element name="properties">
      <xsd:complexType>
        <xsd:sequence>
          <xsd:element name="documentManagement">
            <xsd:complexType>
              <xsd:all>
                <xsd:element ref="ns3:MediaServiceMetadata" minOccurs="0"/>
                <xsd:element ref="ns3:MediaServiceFastMetadata"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582466-1b59-4d29-8755-2962c9164f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6B5584C5-23D0-42C4-903E-C12EFBD159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582466-1b59-4d29-8755-2962c9164f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54DDD5E-BF2A-42E4-BF83-F29C09BA9F1D}">
  <ds:schemaRefs>
    <ds:schemaRef ds:uri="http://schemas.microsoft.com/sharepoint/v3/contenttype/forms"/>
  </ds:schemaRefs>
</ds:datastoreItem>
</file>

<file path=customXml/itemProps3.xml><?xml version="1.0" encoding="utf-8"?>
<ds:datastoreItem xmlns:ds="http://schemas.openxmlformats.org/officeDocument/2006/customXml" ds:itemID="{2C695D88-41D0-4D94-8F20-06CCAE564D2D}">
  <ds:schemaRefs>
    <ds:schemaRef ds:uri="eb582466-1b59-4d29-8755-2962c9164f84"/>
    <ds:schemaRef ds:uri="http://schemas.openxmlformats.org/package/2006/metadata/core-properties"/>
    <ds:schemaRef ds:uri="http://www.w3.org/XML/1998/namespace"/>
    <ds:schemaRef ds:uri="http://purl.org/dc/terms/"/>
    <ds:schemaRef ds:uri="http://purl.org/dc/elements/1.1/"/>
    <ds:schemaRef ds:uri="http://schemas.microsoft.com/office/2006/metadata/properties"/>
    <ds:schemaRef ds:uri="http://schemas.microsoft.com/office/2006/documentManagement/types"/>
    <ds:schemaRef ds:uri="http://schemas.microsoft.com/office/infopath/2007/PartnerControls"/>
    <ds:schemaRef ds:uri="http://purl.org/dc/dcmitype/"/>
  </ds:schemaRefs>
</ds:datastoreItem>
</file>

<file path=customXml/itemProps4.xml><?xml version="1.0" encoding="utf-8"?>
<ds:datastoreItem xmlns:ds="http://schemas.openxmlformats.org/officeDocument/2006/customXml" ds:itemID="{0CA01A8C-74B0-4B71-BCE1-F6503D59E0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6881</Words>
  <Characters>39224</Characters>
  <Application>Microsoft Office Word</Application>
  <DocSecurity>0</DocSecurity>
  <Lines>326</Lines>
  <Paragraphs>92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46013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2026-02-24T14:04:00Z</dcterms:created>
  <dcterms:modified xsi:type="dcterms:W3CDTF">2026-02-25T12:19:00Z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0x010100E5D5117429E6D7418C58FC90322A8638</vt:lpwstr>
  </property>
</Properties>
</file>