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15F57" w14:textId="17ADCAE4" w:rsidR="00F01966" w:rsidRDefault="00F01966" w:rsidP="0073796B">
      <w:pPr>
        <w:autoSpaceDE w:val="0"/>
        <w:autoSpaceDN w:val="0"/>
        <w:adjustRightInd w:val="0"/>
        <w:spacing w:line="240" w:lineRule="auto"/>
        <w:ind w:left="-1701"/>
        <w:sectPr w:rsidR="00F01966" w:rsidSect="00F01966">
          <w:headerReference w:type="default" r:id="rId11"/>
          <w:headerReference w:type="first" r:id="rId12"/>
          <w:pgSz w:w="11906" w:h="16838"/>
          <w:pgMar w:top="1128" w:right="1701" w:bottom="1134" w:left="1701" w:header="0" w:footer="794" w:gutter="0"/>
          <w:cols w:space="708"/>
          <w:titlePg/>
          <w:docGrid w:linePitch="360"/>
        </w:sectPr>
      </w:pPr>
    </w:p>
    <w:p w14:paraId="09ADF517" w14:textId="22D4F179" w:rsidR="0073796B" w:rsidRPr="009D10D1" w:rsidRDefault="0073796B" w:rsidP="009D10D1">
      <w:pPr>
        <w:pStyle w:val="Naslov"/>
      </w:pPr>
      <w:r w:rsidRPr="009D10D1">
        <w:t>SPOROČILO ZA JAVNOST</w:t>
      </w:r>
    </w:p>
    <w:p w14:paraId="6AD96446" w14:textId="77777777" w:rsidR="00231021" w:rsidRDefault="00231021" w:rsidP="0039662C">
      <w:pPr>
        <w:pStyle w:val="Naslov1"/>
      </w:pPr>
    </w:p>
    <w:p w14:paraId="71A02687" w14:textId="1955BF25" w:rsidR="0073796B" w:rsidRPr="0039662C" w:rsidRDefault="00223A7C" w:rsidP="0039662C">
      <w:pPr>
        <w:pStyle w:val="Naslov1"/>
      </w:pPr>
      <w:r>
        <w:t>4</w:t>
      </w:r>
      <w:r w:rsidR="00780AEF">
        <w:t>12</w:t>
      </w:r>
      <w:r w:rsidR="0073796B" w:rsidRPr="0039662C">
        <w:t xml:space="preserve">. </w:t>
      </w:r>
      <w:r w:rsidR="00F03257">
        <w:t xml:space="preserve">dopisna </w:t>
      </w:r>
      <w:r w:rsidR="0073796B" w:rsidRPr="0039662C">
        <w:t>seja Vlade Republike Slovenije</w:t>
      </w:r>
    </w:p>
    <w:p w14:paraId="27F30B92" w14:textId="1FA0C5BB" w:rsidR="0073796B" w:rsidRDefault="00780AEF" w:rsidP="008B7AF2">
      <w:pPr>
        <w:pStyle w:val="DatumSZJ"/>
      </w:pPr>
      <w:r>
        <w:t>10</w:t>
      </w:r>
      <w:r w:rsidR="002856E5">
        <w:t>.</w:t>
      </w:r>
      <w:r w:rsidR="008220A3">
        <w:t xml:space="preserve"> </w:t>
      </w:r>
      <w:r w:rsidR="006C0131">
        <w:t>febr</w:t>
      </w:r>
      <w:r w:rsidR="00F03257">
        <w:t>uar</w:t>
      </w:r>
      <w:r w:rsidR="00DA3B4D">
        <w:t xml:space="preserve"> </w:t>
      </w:r>
      <w:r w:rsidR="0073796B" w:rsidRPr="008B7AF2">
        <w:t>202</w:t>
      </w:r>
      <w:r w:rsidR="00F03257">
        <w:t>6</w:t>
      </w:r>
    </w:p>
    <w:p w14:paraId="3BDCA108" w14:textId="458C802C" w:rsidR="00DC7ED6" w:rsidRDefault="00DC7ED6" w:rsidP="00DC7ED6">
      <w:pPr>
        <w:pStyle w:val="Naslov2"/>
      </w:pPr>
      <w:r>
        <w:t>Vlada sprejela Program porabe sredstev proračunskega sklada za gozdove za leto 2026</w:t>
      </w:r>
    </w:p>
    <w:p w14:paraId="74986433" w14:textId="77777777" w:rsidR="00DC7ED6" w:rsidRDefault="00DC7ED6" w:rsidP="00DC7ED6">
      <w:r>
        <w:t>Vlada je sprejela Program porabe sredstev proračunskega sklada za gozdove za leto 2026.</w:t>
      </w:r>
    </w:p>
    <w:p w14:paraId="1548E45A" w14:textId="77777777" w:rsidR="00DC7ED6" w:rsidRDefault="00DC7ED6" w:rsidP="00DC7ED6">
      <w:r>
        <w:t xml:space="preserve">Ministrstvo za kmetijstvo, gozdarstvo in prehrano (MKGP) bo v letu 2026 v skladu z Zakonom o gospodarjenju z gozdovi v lasti Republike Slovenije upravljalo </w:t>
      </w:r>
      <w:proofErr w:type="gramStart"/>
      <w:r>
        <w:t>s skupno 42,95 milijona evrov sredstev Gozdnega sklada</w:t>
      </w:r>
      <w:proofErr w:type="gramEnd"/>
      <w:r>
        <w:t>. Sredstva bodo namenjena upravljanju, razvoju in pridobivanju gozdov ter financiranju nalog, povezanih z gospodarjenjem z državnimi gozdovi.</w:t>
      </w:r>
    </w:p>
    <w:p w14:paraId="4C6BB077" w14:textId="77777777" w:rsidR="00DC7ED6" w:rsidRDefault="00DC7ED6" w:rsidP="00DC7ED6"/>
    <w:p w14:paraId="286D12DC" w14:textId="38165946" w:rsidR="00DC7ED6" w:rsidRDefault="00DC7ED6" w:rsidP="00DC7ED6">
      <w:r>
        <w:t>Za leto 2026 je predvidenih 20,51 milijona evrov novih prejemkov, skupaj s prenosom sredstev iz leta 2025 v višini 22,44 milijona evrov pa Gozdni sklad razpolaga s skoraj 43 milijoni evrov razpoložljivih sredstev.</w:t>
      </w:r>
    </w:p>
    <w:p w14:paraId="546FE9ED" w14:textId="77777777" w:rsidR="00DC7ED6" w:rsidRDefault="00DC7ED6" w:rsidP="00DC7ED6"/>
    <w:p w14:paraId="7B79444E" w14:textId="5A5D9D7F" w:rsidR="00DC7ED6" w:rsidRDefault="00DC7ED6" w:rsidP="00DC7ED6">
      <w:r>
        <w:t>Družba Slovenski državni gozdovi, d. o. o., (SiDG) bo v skladu z zakonom in pogodbo o upravljanju državnih gozdov v letu 2026 Republiki Sloveniji nakazala 18,91 milijona evrov letnega nadomestila za upravljanje državnih gozdov. Prihodki iz razpolaganja z državnimi gozdovi (prodaje, menjave in služnosti) so v letu 2026 ocenjeni na 1 milijon evrov.</w:t>
      </w:r>
    </w:p>
    <w:p w14:paraId="06B1F3CA" w14:textId="77777777" w:rsidR="00DC7ED6" w:rsidRDefault="00DC7ED6" w:rsidP="00DC7ED6"/>
    <w:p w14:paraId="763E61FD" w14:textId="21D1BFA5" w:rsidR="00DC7ED6" w:rsidRDefault="00DC7ED6" w:rsidP="00DC7ED6">
      <w:r>
        <w:t xml:space="preserve">Zaradi pričakovane prodaje večjih kompleksov gozdnih zemljišč družba SiDG načrtuje krepitev </w:t>
      </w:r>
      <w:proofErr w:type="gramStart"/>
      <w:r>
        <w:t>aktivnosti</w:t>
      </w:r>
      <w:proofErr w:type="gramEnd"/>
      <w:r>
        <w:t xml:space="preserve"> na področju pridobivanja gozdov, zato je sredstva za ta namen predvidenih 27 milijonov evrov.</w:t>
      </w:r>
    </w:p>
    <w:p w14:paraId="6CDAD2B1" w14:textId="77777777" w:rsidR="00DC7ED6" w:rsidRDefault="00DC7ED6" w:rsidP="00DC7ED6"/>
    <w:p w14:paraId="52421847" w14:textId="646E0C4D" w:rsidR="00DC7ED6" w:rsidRDefault="00DC7ED6" w:rsidP="00DC7ED6">
      <w:r>
        <w:t xml:space="preserve">V letu 2026 je predviden tudi prispevek za promocijske </w:t>
      </w:r>
      <w:proofErr w:type="gramStart"/>
      <w:r>
        <w:t>aktivnosti</w:t>
      </w:r>
      <w:proofErr w:type="gramEnd"/>
      <w:r>
        <w:t xml:space="preserve"> Ministrstva za gospodarstvo, turizem in šport v višini 700.000 evrov, ki bo zagotovljen prek proračunske postavke Gozdnega sklada.</w:t>
      </w:r>
    </w:p>
    <w:p w14:paraId="46F86C47" w14:textId="77777777" w:rsidR="00DC7ED6" w:rsidRDefault="00DC7ED6" w:rsidP="00DC7ED6"/>
    <w:p w14:paraId="6AD3874B" w14:textId="73E22D80" w:rsidR="00DE16B1" w:rsidRDefault="00DC7ED6" w:rsidP="00DC7ED6">
      <w:r>
        <w:t>Del razpoložljivih sredstev ostaja nerazporejen ter bo uporabljen za financiranje nepredvidenih obveznosti, povezanih z lastninsko pravico Republike Slovenije na gozdovih, ter za naloge Sklada kmetijskih zemljišč in gozdov.</w:t>
      </w:r>
    </w:p>
    <w:p w14:paraId="4FFA49CC" w14:textId="38B55BE5" w:rsidR="00DE16B1" w:rsidRDefault="00DC7ED6" w:rsidP="00DC7ED6">
      <w:pPr>
        <w:pStyle w:val="Vir"/>
      </w:pPr>
      <w:r w:rsidRPr="00DC7ED6">
        <w:t>Vir: Ministrstvo za kmetijstvo, gozdarstvo in prehrano</w:t>
      </w:r>
    </w:p>
    <w:p w14:paraId="7ABF9E1A" w14:textId="359C57BD" w:rsidR="006F1754" w:rsidRDefault="006F1754" w:rsidP="006F1754">
      <w:pPr>
        <w:pStyle w:val="Naslov2"/>
      </w:pPr>
      <w:r>
        <w:t>Vlada izdala soglasje za izvedbo komunikacijske kampanje za promocijo lokalnih ribiških proizvodov in proizvodov iz akvakulture v letih 2026 in 2027</w:t>
      </w:r>
    </w:p>
    <w:p w14:paraId="242151A5" w14:textId="7E0D06F6" w:rsidR="006F1754" w:rsidRDefault="006F1754" w:rsidP="006F1754">
      <w:r>
        <w:t>Vlada je na seji sprejela sklep, s katerim soglaša z zakupom oglasnega prostora za komunikacijsko kampanjo lokalnih ribiških proizvodov in proizvodov iz akvakulture na podlagi Programa za izvajanje Evropskega sklada za pomorstvo, ribištvo in akvakulturo v Republiki Sloveniji za obdobje 2021–2027, ki jo bo Ministrstvo za kmetijstvo, gozdarstvo in prehrano Republike Slovenije izvajalo v letih 2026 in 2027.</w:t>
      </w:r>
    </w:p>
    <w:p w14:paraId="703663E7" w14:textId="77777777" w:rsidR="006F1754" w:rsidRDefault="006F1754" w:rsidP="006F1754"/>
    <w:p w14:paraId="2D45E6B5" w14:textId="3B98CE7D" w:rsidR="006F1754" w:rsidRDefault="006F1754" w:rsidP="006F1754">
      <w:r>
        <w:t xml:space="preserve">Komunikacijska kampanja bo obsegala zakup oglasnega prostora za promocijo lokalnih ribiških proizvodov in proizvodov iz akvakulture. Ministrstvo v okviru Programa za izvajanje Evropskega sklada za pomorstvo, ribištvo in akvakulturo 2021–2027 izvaja različne promocijske </w:t>
      </w:r>
      <w:proofErr w:type="gramStart"/>
      <w:r>
        <w:t>aktivnosti</w:t>
      </w:r>
      <w:proofErr w:type="gramEnd"/>
      <w:r>
        <w:t xml:space="preserve"> za ozaveščanje javnosti o teh lokalnih proizvodih.</w:t>
      </w:r>
    </w:p>
    <w:p w14:paraId="2B8878D7" w14:textId="77777777" w:rsidR="006F1754" w:rsidRDefault="006F1754" w:rsidP="006F1754"/>
    <w:p w14:paraId="6DB07755" w14:textId="71A39498" w:rsidR="006F1754" w:rsidRDefault="006F1754" w:rsidP="006F1754">
      <w:r>
        <w:lastRenderedPageBreak/>
        <w:t xml:space="preserve">Proizvodnja hrane je eno izmed strateško najpomembnejših področij države. Zato ministrstvo s promocijskimi </w:t>
      </w:r>
      <w:proofErr w:type="gramStart"/>
      <w:r>
        <w:t>aktivnostmi</w:t>
      </w:r>
      <w:proofErr w:type="gramEnd"/>
      <w:r>
        <w:t xml:space="preserve"> krepi zaupanje potrošnikov v lokalne ribe in izdelke iz akvakulture. Hkrati pa tudi ozavešča celotno družbo, da je odločitev za nakup lokalne hrane ključna tako za ohranjanje in pospeševanje razvoja slovenskega ribištva in akvakulture ter z njimi povezanih delovnih mest kot tudi za varovanje okolja in zdravja prebivalcev.</w:t>
      </w:r>
    </w:p>
    <w:p w14:paraId="33178B63" w14:textId="25DEDFF5" w:rsidR="00DE16B1" w:rsidRDefault="006F1754" w:rsidP="006F1754">
      <w:pPr>
        <w:pStyle w:val="Vir"/>
      </w:pPr>
      <w:r>
        <w:t>Vir: Ministrstvo za kmetijstvo, gozdarstvo in prehrano</w:t>
      </w:r>
    </w:p>
    <w:p w14:paraId="4874CC53" w14:textId="3DCABD41" w:rsidR="00474CBD" w:rsidRDefault="00474CBD" w:rsidP="00474CBD">
      <w:pPr>
        <w:pStyle w:val="Naslov2"/>
      </w:pPr>
      <w:r>
        <w:t>Agencija STO v letu 2024 poslovala učinkovito in uspešno</w:t>
      </w:r>
    </w:p>
    <w:p w14:paraId="06D34F96" w14:textId="67C7FDE2" w:rsidR="00474CBD" w:rsidRDefault="00474CBD" w:rsidP="00474CBD">
      <w:r>
        <w:t xml:space="preserve">Vlada se je seznanila s poročilom Ministrstva za gospodarstvo, turizem in šport (MGTŠ) o opravljenem nadzoru nad delom in poslovanjem Javne agencije Republike Slovenije za trženje in promocijo turizma (agencija STO) za leto 2024. Iz poročila izhaja, da so bili ključni cilji iz Programa dela za leti 2024/2025 doseženi. </w:t>
      </w:r>
    </w:p>
    <w:p w14:paraId="73A0E875" w14:textId="77777777" w:rsidR="00474CBD" w:rsidRDefault="00474CBD" w:rsidP="00474CBD"/>
    <w:p w14:paraId="7F02CED4" w14:textId="77777777" w:rsidR="00474CBD" w:rsidRDefault="00474CBD" w:rsidP="00474CBD">
      <w:r>
        <w:t xml:space="preserve">Vlada je tudi soglašala, da se izkazani presežek prihodkov nad odhodki agencije STO v letu 2024, ki je znašal 1.441.709,61 </w:t>
      </w:r>
      <w:proofErr w:type="gramStart"/>
      <w:r>
        <w:t>evrov</w:t>
      </w:r>
      <w:proofErr w:type="gramEnd"/>
      <w:r>
        <w:t xml:space="preserve"> nameni za opravljanje in razvoj dejavnosti agencije v letih 2026 in 2027.</w:t>
      </w:r>
    </w:p>
    <w:p w14:paraId="29C5A4CF" w14:textId="77777777" w:rsidR="00474CBD" w:rsidRDefault="00474CBD" w:rsidP="00474CBD">
      <w:r>
        <w:t xml:space="preserve">Ministrstvo za gospodarstvo, turizem in šport je v okviru nadzora nad delom STO ugotovilo, da je agencija uspešno dosegala ključne cilje in usmeritve Programa dela za leti 2024/2025 ter dosledno sledila Strategiji trajnostnega razvoja slovenskega turizma 2022–2028. </w:t>
      </w:r>
    </w:p>
    <w:p w14:paraId="4FC0281C" w14:textId="77777777" w:rsidR="00474CBD" w:rsidRDefault="00474CBD" w:rsidP="00474CBD"/>
    <w:p w14:paraId="1E50748A" w14:textId="7E63A50F" w:rsidR="00474CBD" w:rsidRDefault="00474CBD" w:rsidP="00474CBD">
      <w:r>
        <w:t xml:space="preserve">Rezultati se odražajo v rasti turističnega obiska, saj se je število prenočitev v letu 2024 glede na leto prej povečalo za 4,5 odstotka, število prihodov turistov pa za 6,3 odstotka. Agencija je pomembno prispevala h krepitvi prepoznavnosti Slovenije kot zelene in butične turistične </w:t>
      </w:r>
      <w:proofErr w:type="gramStart"/>
      <w:r>
        <w:t>destinacije</w:t>
      </w:r>
      <w:proofErr w:type="gramEnd"/>
      <w:r>
        <w:t xml:space="preserve"> pod znamko I </w:t>
      </w:r>
      <w:proofErr w:type="spellStart"/>
      <w:r>
        <w:t>feel</w:t>
      </w:r>
      <w:proofErr w:type="spellEnd"/>
      <w:r>
        <w:t xml:space="preserve"> Slovenia, hkrati pa z inovativnimi in ciljno usmerjenimi promocijskimi aktivnostmi spodbujala povpraševanje domačih in tujih gostov. </w:t>
      </w:r>
    </w:p>
    <w:p w14:paraId="4BE6C354" w14:textId="77777777" w:rsidR="00474CBD" w:rsidRDefault="00474CBD" w:rsidP="00474CBD"/>
    <w:p w14:paraId="0F9395B9" w14:textId="19CF9729" w:rsidR="00474CBD" w:rsidRDefault="00474CBD" w:rsidP="00474CBD">
      <w:r>
        <w:t xml:space="preserve">Poseben poudarek je bil namenjen trajnostnemu razvoju in digitalni preobrazbi turizma z nadgradnjo Zelene sheme slovenskega turizma ter merjenju učinkov turizma ter usmerjanju turističnih tokov. Uspešne so bile tudi </w:t>
      </w:r>
      <w:proofErr w:type="gramStart"/>
      <w:r>
        <w:t>aktivnosti</w:t>
      </w:r>
      <w:proofErr w:type="gramEnd"/>
      <w:r>
        <w:t xml:space="preserve"> za povečevanje zadovoljstva gostov s slovensko turistično ponudbo in za povečevanje zadovoljstva prebivalcev Slovenije z razvojem turizma v turističnih destinacijah. Vzpostavile so se učinkovite </w:t>
      </w:r>
      <w:proofErr w:type="spellStart"/>
      <w:proofErr w:type="gramStart"/>
      <w:r>
        <w:t>upravljalske</w:t>
      </w:r>
      <w:proofErr w:type="spellEnd"/>
      <w:proofErr w:type="gramEnd"/>
      <w:r>
        <w:t xml:space="preserve"> strukture na nacionalni, regionalni in lokalni ravni kot podporno okolje za nadaljnji razvoj turizma v skladu s prioritetami strategije.</w:t>
      </w:r>
    </w:p>
    <w:p w14:paraId="2FDBA02D" w14:textId="77777777" w:rsidR="00474CBD" w:rsidRDefault="00474CBD" w:rsidP="00474CBD"/>
    <w:p w14:paraId="2BE3878A" w14:textId="6EE059A2" w:rsidR="00474CBD" w:rsidRDefault="00474CBD" w:rsidP="00474CBD">
      <w:r>
        <w:t>Poročilo zaključuje, da je agencija v letu 2024 izpolnila ključne cilje in usmeritve iz Programa dela za leti 2024/2025.</w:t>
      </w:r>
    </w:p>
    <w:p w14:paraId="52D38EDA" w14:textId="77777777" w:rsidR="00474CBD" w:rsidRDefault="00474CBD" w:rsidP="00474CBD">
      <w:pPr>
        <w:pStyle w:val="Vir"/>
      </w:pPr>
      <w:r>
        <w:t>Vir: Ministrstvo za gospodarstvo, turizem in šport</w:t>
      </w:r>
    </w:p>
    <w:p w14:paraId="42B5FA35" w14:textId="193C1B22" w:rsidR="009E214A" w:rsidRDefault="009E214A" w:rsidP="009E214A">
      <w:pPr>
        <w:pStyle w:val="Naslov2"/>
      </w:pPr>
      <w:r>
        <w:t>Vlada je sprejela mnenje o zahtevi Vrhovnega sodišča RS za oceno ustavnosti prvega odstavka 421. člena Zakona o kazenskem postopku</w:t>
      </w:r>
    </w:p>
    <w:p w14:paraId="45425546" w14:textId="77777777" w:rsidR="009E214A" w:rsidRDefault="009E214A" w:rsidP="009E214A">
      <w:r>
        <w:t>Vlada Republike Slovenije je sprejela mnenje o zahtevi Vrhovnega sodišča Republike Slovenije za oceno ustavnosti prvega odstavka 421. člena Zakona o kazenskem postopku v delu, v katerem obdolženčevega zakonitega zastopnika ne določa kot vložnika zahteve za varstvo zakonitosti.</w:t>
      </w:r>
    </w:p>
    <w:p w14:paraId="1CCE3D5E" w14:textId="77777777" w:rsidR="009E214A" w:rsidRDefault="009E214A" w:rsidP="009E214A"/>
    <w:p w14:paraId="2F14F7F2" w14:textId="77777777" w:rsidR="009E214A" w:rsidRDefault="009E214A" w:rsidP="009E214A">
      <w:r>
        <w:t>Po mnenju Vlade gre v kazenskem postopku zlasti za vprašanje zagotavljanja jamstev iz 29. člena Ustave, vključno z možnostmi za pripravo obrambe in možnostmi za obrambo z zagovornikom. Veljavna ureditev kazenskega postopka ta vprašanja ustrezno naslavlja, zato ni vloga zakonitega zastopnika, da se v kazenskem postopku izjavlja namesto obdolženca. Posledično ne gre za neenako obravnavo, če zakoniti zastopnik ne more vložiti zahteve za varstvo zakonitosti.</w:t>
      </w:r>
    </w:p>
    <w:p w14:paraId="5278CC9D" w14:textId="77777777" w:rsidR="009E214A" w:rsidRDefault="009E214A" w:rsidP="009E214A"/>
    <w:p w14:paraId="7F4E8ABB" w14:textId="77777777" w:rsidR="009E214A" w:rsidRDefault="009E214A" w:rsidP="009E214A">
      <w:r>
        <w:t xml:space="preserve">Zato Vlada ocenjuje, da bi bilo treba vprašanje reševati v okviru ureditve </w:t>
      </w:r>
      <w:proofErr w:type="spellStart"/>
      <w:r>
        <w:t>ex</w:t>
      </w:r>
      <w:proofErr w:type="spellEnd"/>
      <w:r>
        <w:t xml:space="preserve"> </w:t>
      </w:r>
      <w:proofErr w:type="spellStart"/>
      <w:r>
        <w:t>offo</w:t>
      </w:r>
      <w:proofErr w:type="spellEnd"/>
      <w:r>
        <w:t xml:space="preserve"> zagovorništva.</w:t>
      </w:r>
    </w:p>
    <w:p w14:paraId="0FCED4D1" w14:textId="032D3720" w:rsidR="00DE16B1" w:rsidRDefault="009E214A" w:rsidP="009E214A">
      <w:pPr>
        <w:pStyle w:val="Vir"/>
      </w:pPr>
      <w:r>
        <w:lastRenderedPageBreak/>
        <w:t>Vir: Ministrstvo za pravosodje</w:t>
      </w:r>
    </w:p>
    <w:p w14:paraId="4AC08617" w14:textId="5A4AD21F" w:rsidR="00DE16B1" w:rsidRDefault="00534B77" w:rsidP="00534B77">
      <w:pPr>
        <w:pStyle w:val="Naslov2"/>
      </w:pPr>
      <w:r>
        <w:t>M</w:t>
      </w:r>
      <w:r w:rsidR="00DE16B1">
        <w:t>nenj</w:t>
      </w:r>
      <w:r>
        <w:t>e vlade</w:t>
      </w:r>
      <w:r w:rsidR="00DE16B1">
        <w:t xml:space="preserve"> o </w:t>
      </w:r>
      <w:r>
        <w:t>p</w:t>
      </w:r>
      <w:r w:rsidR="00DE16B1">
        <w:t>obudi za oceno ustavnosti Zakona o dolgotrajni oskrbi</w:t>
      </w:r>
    </w:p>
    <w:p w14:paraId="392DDA4A" w14:textId="50EAEA66" w:rsidR="00534B77" w:rsidRDefault="00534B77" w:rsidP="00534B77">
      <w:r>
        <w:t>Vlada Republike Slovenije je sprejela mnenje o pobudi za oceno ustavnosti Zakona o dolgotrajni oskrbi in ga poslala Državnemu zboru ter Ustavnemu sodišču Republike Slovenije. Vlada meni, da je Zakon o dolgotrajni oskrbi v celoti skladen z Ustavo RS in zavrača očitke pobudnika o neustavnosti. Obvezno zavarovanje za dolgotrajno oskrbo temelji na 2. in 50. členu Ustave RS ter uresničuje pravico do socialne varnosti in načela socialne države, solidarnosti in univerzalnosti. Vlada v mnenju ugotavlja, da prispevek za obvezno zavarovanje za dolgotrajno oskrbo predstavlja dopusten in sorazmeren poseg v premoženje posameznika, ki zasleduje legitimen javni interes in ne posega v bistvo lastninske pravice.</w:t>
      </w:r>
    </w:p>
    <w:p w14:paraId="300E86B3" w14:textId="77777777" w:rsidR="00534B77" w:rsidRDefault="00534B77" w:rsidP="00534B77">
      <w:pPr>
        <w:pStyle w:val="Vir"/>
      </w:pPr>
      <w:r>
        <w:t>Vir: Ministrstvo za solidarno prihodnost</w:t>
      </w:r>
    </w:p>
    <w:p w14:paraId="2CEF144F" w14:textId="0CF968E4" w:rsidR="005E601E" w:rsidRDefault="005E601E" w:rsidP="00A4748F">
      <w:pPr>
        <w:pStyle w:val="Naslov2"/>
      </w:pPr>
      <w:r>
        <w:t>Vlada sprejela stališče RS k predlogu uredbe Evropskega parlamenta in Sveta o prevozu vojaške opreme</w:t>
      </w:r>
    </w:p>
    <w:p w14:paraId="6AEAF091" w14:textId="3A59872A" w:rsidR="005E601E" w:rsidRDefault="005E601E" w:rsidP="005E601E">
      <w:r>
        <w:t>Vlada Republike Slovenije je na današnji dopisni seji sprejela stališče Republike Slovenije k predlogu Uredbe Evropskega parlamenta in Sveta o vzpostavitvi okvira ukrepov za olajšanje prevoza vojaške opreme, blaga in osebja v Uniji.</w:t>
      </w:r>
    </w:p>
    <w:p w14:paraId="521BCAA8" w14:textId="77777777" w:rsidR="005E601E" w:rsidRDefault="005E601E" w:rsidP="005E601E"/>
    <w:p w14:paraId="0F3A8319" w14:textId="77777777" w:rsidR="005E601E" w:rsidRDefault="005E601E" w:rsidP="005E601E">
      <w:r>
        <w:t xml:space="preserve">Republika Slovenija pozdravlja predlagano uredbo, ki predstavlja korak v pravo smer, saj je v trenutnem geopolitičnem in varnostnem okolju povečana potreba po zagotavljanju pravočasnega in učinkovitega olajšanega vojaškega prevoza z vsemi ustreznimi sredstvi. Prizadevanja, ki so bila v preteklosti opravljena v okviru različnih institucij in pobud Evropske unije, so bila s predlagano uredbo združena v enoten okvir. Ta instrument bo še dodatno okrepil dosedanje delo in zagotovil, da bodo vsi vidiki združeni pod skupnim imenovalcem. </w:t>
      </w:r>
    </w:p>
    <w:p w14:paraId="52C4176B" w14:textId="77777777" w:rsidR="005E601E" w:rsidRDefault="005E601E" w:rsidP="005E601E"/>
    <w:p w14:paraId="1969A34F" w14:textId="47C34CB2" w:rsidR="00DE16B1" w:rsidRDefault="005E601E" w:rsidP="005E601E">
      <w:r>
        <w:t xml:space="preserve">V tem kontekstu Republika Slovenija deluje na predpostavki, da se prej sklenjeni tehnični dogovori za postopke dovoljenj za čezmejno gibanje ne bodo več uporabljali. Zelo je pomembno, da so aktivirani procesi oziroma elementi v okviru Evropskega sistema za okrepljeno odzivanje vojaške mobilnosti EMERS (angl. </w:t>
      </w:r>
      <w:proofErr w:type="spellStart"/>
      <w:r>
        <w:t>European</w:t>
      </w:r>
      <w:proofErr w:type="spellEnd"/>
      <w:r>
        <w:t xml:space="preserve"> Military Mobility </w:t>
      </w:r>
      <w:proofErr w:type="spellStart"/>
      <w:r>
        <w:t>Enhanced</w:t>
      </w:r>
      <w:proofErr w:type="spellEnd"/>
      <w:r>
        <w:t xml:space="preserve"> </w:t>
      </w:r>
      <w:proofErr w:type="spellStart"/>
      <w:r>
        <w:t>Response</w:t>
      </w:r>
      <w:proofErr w:type="spellEnd"/>
      <w:r>
        <w:t xml:space="preserve"> System) v soglasju (usklajeni) z aktiviranimi </w:t>
      </w:r>
      <w:proofErr w:type="gramStart"/>
      <w:r>
        <w:t>Natovim</w:t>
      </w:r>
      <w:proofErr w:type="gramEnd"/>
      <w:r>
        <w:t xml:space="preserve"> ukrepi odzivanja (angl. NATO </w:t>
      </w:r>
      <w:proofErr w:type="spellStart"/>
      <w:r>
        <w:t>Response</w:t>
      </w:r>
      <w:proofErr w:type="spellEnd"/>
      <w:r>
        <w:t xml:space="preserve"> </w:t>
      </w:r>
      <w:proofErr w:type="spellStart"/>
      <w:r>
        <w:t>Measures</w:t>
      </w:r>
      <w:proofErr w:type="spellEnd"/>
      <w:r>
        <w:t xml:space="preserve">). Kljub odpravi birokratskih ovir pa je treba </w:t>
      </w:r>
      <w:proofErr w:type="gramStart"/>
      <w:r>
        <w:t>izpostaviti</w:t>
      </w:r>
      <w:proofErr w:type="gramEnd"/>
      <w:r>
        <w:t xml:space="preserve">, da posamezna država članica še vedno izvaja nadzor nad vojaškimi premiki znotraj svojega ozemlja. Pozdravljamo dejstvo, da se določbe te predlagane uredbe razširjajo tudi na zaveznice Nata, ki niso članice Evropske unije. V času, ko so meje med mirom in konfliktom vse bolj zabrisane, je vzpostavitev Evropskega sistema za okrepljeno odzivanje vojaške mobilnosti (angl. </w:t>
      </w:r>
      <w:proofErr w:type="spellStart"/>
      <w:r>
        <w:t>European</w:t>
      </w:r>
      <w:proofErr w:type="spellEnd"/>
      <w:r>
        <w:t xml:space="preserve"> Military Mobility </w:t>
      </w:r>
      <w:proofErr w:type="spellStart"/>
      <w:r>
        <w:t>Enhanced</w:t>
      </w:r>
      <w:proofErr w:type="spellEnd"/>
      <w:r>
        <w:t xml:space="preserve"> </w:t>
      </w:r>
      <w:proofErr w:type="spellStart"/>
      <w:r>
        <w:t>Response</w:t>
      </w:r>
      <w:proofErr w:type="spellEnd"/>
      <w:r>
        <w:t xml:space="preserve"> System – EMERS) še toliko bolj dobrodošla.</w:t>
      </w:r>
    </w:p>
    <w:p w14:paraId="68D553A2" w14:textId="44A631A5" w:rsidR="005E601E" w:rsidRDefault="005E601E" w:rsidP="005E601E">
      <w:pPr>
        <w:pStyle w:val="Vir"/>
      </w:pPr>
      <w:r w:rsidRPr="005E601E">
        <w:t>Vir: Ministrstvo za obrambo</w:t>
      </w:r>
    </w:p>
    <w:p w14:paraId="69EC2283" w14:textId="26F0A8B1" w:rsidR="003E4E19" w:rsidRDefault="003E4E19" w:rsidP="003E4E19">
      <w:pPr>
        <w:pStyle w:val="Naslov2"/>
      </w:pPr>
      <w:r>
        <w:t>Slovenska finančna uprava bo črnogorski donirala carinsko programsko opremo</w:t>
      </w:r>
    </w:p>
    <w:p w14:paraId="2A053397" w14:textId="11978586" w:rsidR="003E4E19" w:rsidRDefault="003E4E19" w:rsidP="003E4E19">
      <w:r>
        <w:t>Vlada se je danes seznanila z informacijo o nameravanem podpisu sporazuma med Finančno upravo Republike Slovenije in Carinsko upravo Črne gore, skladno</w:t>
      </w:r>
      <w:proofErr w:type="gramStart"/>
      <w:r w:rsidR="00A4748F">
        <w:t xml:space="preserve"> </w:t>
      </w:r>
      <w:r>
        <w:t>s</w:t>
      </w:r>
      <w:proofErr w:type="gramEnd"/>
      <w:r>
        <w:t xml:space="preserve"> katerim bo slovenska finančna uprava črnogorski donirala programsko opremo in jo tako podprla pri vzpostavitvi sodobnega in z Evropsko unijo usklajenega carinskega informacijskega sistema.</w:t>
      </w:r>
    </w:p>
    <w:p w14:paraId="2498E23A" w14:textId="77777777" w:rsidR="003E4E19" w:rsidRDefault="003E4E19" w:rsidP="003E4E19"/>
    <w:p w14:paraId="182B91A8" w14:textId="77777777" w:rsidR="003E4E19" w:rsidRDefault="003E4E19" w:rsidP="003E4E19">
      <w:r>
        <w:t>Donacija je namenjena nadgradnji in celoviti posodobitvi obstoječega carinskega informacijskega sistema v Črni gori. Vključuje specializirane carinske informacijske sisteme in module, ki so del slovenskega carinskega informacijskega sistema.</w:t>
      </w:r>
    </w:p>
    <w:p w14:paraId="5A7F918D" w14:textId="77777777" w:rsidR="003E4E19" w:rsidRDefault="003E4E19" w:rsidP="003E4E19"/>
    <w:p w14:paraId="6AFFBEEA" w14:textId="77777777" w:rsidR="003E4E19" w:rsidRDefault="003E4E19" w:rsidP="003E4E19">
      <w:r>
        <w:t>Črni gori bo omogočila digitalizacijo procesov, večjo preglednost ter učinkovitejši boj proti nedovoljeni trgovini in korupciji. Hkrati predstavlja pomemben korak k zaprtju poglavja o carinski uniji v pristopnih pogajanjih Črne gore z Evropsko unijo.</w:t>
      </w:r>
    </w:p>
    <w:p w14:paraId="704BF80A" w14:textId="77777777" w:rsidR="003E4E19" w:rsidRDefault="003E4E19" w:rsidP="003E4E19"/>
    <w:p w14:paraId="2D777A2A" w14:textId="77777777" w:rsidR="003E4E19" w:rsidRDefault="003E4E19" w:rsidP="003E4E19">
      <w:r>
        <w:t xml:space="preserve">Ocenjena skupna vrednost donacije informacijskih sistemov in modulov znaša približno 15 milijonov evrov. </w:t>
      </w:r>
    </w:p>
    <w:p w14:paraId="24F59634" w14:textId="5B9671B3" w:rsidR="00DE16B1" w:rsidRDefault="003E4E19" w:rsidP="003E4E19">
      <w:pPr>
        <w:pStyle w:val="Vir"/>
      </w:pPr>
      <w:r>
        <w:t>Vir: Ministrstvo za finance</w:t>
      </w:r>
    </w:p>
    <w:p w14:paraId="31B5D5A9" w14:textId="6C468877" w:rsidR="002D7874" w:rsidRDefault="002D7874" w:rsidP="002D7874">
      <w:pPr>
        <w:pStyle w:val="Naslov2"/>
      </w:pPr>
      <w:r>
        <w:t xml:space="preserve">Vlada imenovala Stanko Vauh za zastopnico </w:t>
      </w:r>
      <w:proofErr w:type="gramStart"/>
      <w:r>
        <w:t>pacientovih</w:t>
      </w:r>
      <w:proofErr w:type="gramEnd"/>
      <w:r>
        <w:t xml:space="preserve"> pravic</w:t>
      </w:r>
    </w:p>
    <w:p w14:paraId="50DBA5AC" w14:textId="77777777" w:rsidR="002D7874" w:rsidRDefault="002D7874" w:rsidP="002D7874">
      <w:r>
        <w:t xml:space="preserve">Vlada Republike Slovenije je izdala odločbo o imenovanju Stanke Vauh za zastopnico pacientovih pravic za območje območne enote Nacionalnega inštituta za javno zdravje Ljubljana, za obdobje petih let., in sicer od </w:t>
      </w:r>
      <w:proofErr w:type="gramStart"/>
      <w:r>
        <w:t>16. 2. 2026</w:t>
      </w:r>
      <w:proofErr w:type="gramEnd"/>
      <w:r>
        <w:t>.</w:t>
      </w:r>
    </w:p>
    <w:p w14:paraId="156F8736" w14:textId="77777777" w:rsidR="002D7874" w:rsidRDefault="002D7874" w:rsidP="002D7874"/>
    <w:p w14:paraId="72A2E048" w14:textId="77777777" w:rsidR="002D7874" w:rsidRDefault="002D7874" w:rsidP="002D7874">
      <w:r>
        <w:t xml:space="preserve">Stanka Vauh je po izobrazbi univerzitetna diplomirana profesorica razrednega pouka z opravljenim strokovnim izpitom ter strokovnim izpitom iz upravnega postopka. Večino časa je službovala v javnem sektorju – v državni upravi in javnih zavodih, predvsem na vodilnih delovnih mestih. Dvajset let je opravljala </w:t>
      </w:r>
      <w:proofErr w:type="gramStart"/>
      <w:r>
        <w:t>funkcijo</w:t>
      </w:r>
      <w:proofErr w:type="gramEnd"/>
      <w:r>
        <w:t xml:space="preserve"> direktorice zavoda Doma starejših Na Fari Prevalje ter Centra za socialno delo Škofja Loka. Kandidatka je že bila zastopnica </w:t>
      </w:r>
      <w:proofErr w:type="gramStart"/>
      <w:r>
        <w:t>pacientovih</w:t>
      </w:r>
      <w:proofErr w:type="gramEnd"/>
      <w:r>
        <w:t xml:space="preserve"> pravic v obdobju med 2009 do 2019, na območju NIJZ Ravne na Koroškem. Na podlagi navedenega predlagana kandidatka izpolnjuje vse pogoje za zastopnico pacientovih pravic tako, da se imenuje z dnem </w:t>
      </w:r>
      <w:proofErr w:type="gramStart"/>
      <w:r>
        <w:t>16. 2. 2026</w:t>
      </w:r>
      <w:proofErr w:type="gramEnd"/>
      <w:r>
        <w:t>, za mandatno dobo petih let, kot izhaja iz izreka te odločbe.</w:t>
      </w:r>
    </w:p>
    <w:p w14:paraId="40F96450" w14:textId="6D8316CD" w:rsidR="00DE16B1" w:rsidRDefault="002D7874" w:rsidP="002D7874">
      <w:pPr>
        <w:pStyle w:val="Vir"/>
      </w:pPr>
      <w:r>
        <w:t>Vir: Ministrstvo za zdravje</w:t>
      </w:r>
    </w:p>
    <w:p w14:paraId="23D168CB" w14:textId="22AEE686" w:rsidR="007041B7" w:rsidRDefault="007041B7" w:rsidP="007041B7">
      <w:pPr>
        <w:pStyle w:val="Naslov2"/>
      </w:pPr>
      <w:r>
        <w:t>Spremenjen sklep o imenovanju pogajalske skupine za pogajanja za sklenitev Kolektivne pogodbe za državne organe in uprave samoupravnih lokalnih skupnosti - normativni del</w:t>
      </w:r>
    </w:p>
    <w:p w14:paraId="362F71F8" w14:textId="77777777" w:rsidR="007041B7" w:rsidRDefault="007041B7" w:rsidP="007041B7">
      <w:r>
        <w:t>Vlada Republike Slovenije je sprejela sklep, s katerim se spreminja sestava pogajalske skupine za pogajanja za sklenitev Kolektivne pogodbe za državne organe in uprave samoupravnih lokalnih skupnosti – normativni del. In sicer se z mesta člana razreši Andrej Verhovnik Marovšek in namesto njega</w:t>
      </w:r>
      <w:proofErr w:type="gramStart"/>
      <w:r>
        <w:t xml:space="preserve"> kot</w:t>
      </w:r>
      <w:proofErr w:type="gramEnd"/>
      <w:r>
        <w:t xml:space="preserve"> članici imenujeta Polona Tomec iz Uprave za izvrševanje kazenskih sankcij in Špela Intihar iz Ministrstva za pravosodje, kot članica pa se doda še Anja Juvan iz Ministrstva za javno upravo.  </w:t>
      </w:r>
    </w:p>
    <w:p w14:paraId="615A9490" w14:textId="55340278" w:rsidR="00DE16B1" w:rsidRDefault="007041B7" w:rsidP="007041B7">
      <w:pPr>
        <w:pStyle w:val="Vir"/>
      </w:pPr>
      <w:r>
        <w:t>Vir: Ministrstvo za javno upravo</w:t>
      </w:r>
    </w:p>
    <w:p w14:paraId="2928C64B" w14:textId="4AF57283" w:rsidR="00C244B7" w:rsidRDefault="00C244B7" w:rsidP="00C244B7">
      <w:pPr>
        <w:pStyle w:val="Naslov2"/>
      </w:pPr>
      <w:r>
        <w:t>Spremembe Skupnega kadrovskega načrta (SKN) organov državne uprave za leti 2025 in 2026</w:t>
      </w:r>
    </w:p>
    <w:p w14:paraId="2A5DBAD3" w14:textId="77777777" w:rsidR="00C244B7" w:rsidRDefault="00C244B7" w:rsidP="00C244B7">
      <w:r>
        <w:t>Vlada Republike Slovenije je sprejela sklep, da se SKN organov državne uprave za leti 2025 in 2026 zaradi trajnega prenosa kvot spremeni tako, da se tri kvote prenesejo na Ministrstvo za naravne vire in prostor (po ena iz Ministrstva za finance, iz Ministrstva za pravosodje in iz Ministrstva za infrastrukturo), ena kvota pa se iz Ministrstva za delo, družino, socialne zadeve in enake možnosti prenese na Ministrstvo za javno upravo.</w:t>
      </w:r>
    </w:p>
    <w:p w14:paraId="68D4E76C" w14:textId="77777777" w:rsidR="00C244B7" w:rsidRDefault="00C244B7" w:rsidP="00C244B7"/>
    <w:p w14:paraId="4ABF11F8" w14:textId="77777777" w:rsidR="00C244B7" w:rsidRDefault="00C244B7" w:rsidP="00C244B7">
      <w:r>
        <w:t>Sredstva za prenose kvot zagotovijo proračunski uporabniki v okviru sredstev za stroške dela v svojih finančnih načrtih ali z medsebojno prerazporeditvijo sredstev za stroške dela v svojih finančnih načrtih.</w:t>
      </w:r>
    </w:p>
    <w:p w14:paraId="559C2DE2" w14:textId="1F213AFA" w:rsidR="00DE16B1" w:rsidRDefault="00C244B7" w:rsidP="00C244B7">
      <w:pPr>
        <w:pStyle w:val="Vir"/>
      </w:pPr>
      <w:r>
        <w:t>Vir: Ministrstvo za javno upravo</w:t>
      </w:r>
    </w:p>
    <w:sectPr w:rsidR="00DE16B1" w:rsidSect="00F01966">
      <w:type w:val="continuous"/>
      <w:pgSz w:w="11906" w:h="16838"/>
      <w:pgMar w:top="1135" w:right="1417" w:bottom="1417" w:left="1417" w:header="1417"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86828" w14:textId="77777777" w:rsidR="0067375D" w:rsidRDefault="0067375D" w:rsidP="00750D01">
      <w:pPr>
        <w:spacing w:line="240" w:lineRule="auto"/>
      </w:pPr>
      <w:r>
        <w:separator/>
      </w:r>
    </w:p>
  </w:endnote>
  <w:endnote w:type="continuationSeparator" w:id="0">
    <w:p w14:paraId="382D8D7B" w14:textId="77777777" w:rsidR="0067375D" w:rsidRDefault="0067375D" w:rsidP="00750D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905DB" w14:textId="77777777" w:rsidR="0067375D" w:rsidRDefault="0067375D" w:rsidP="00750D01">
      <w:pPr>
        <w:spacing w:line="240" w:lineRule="auto"/>
      </w:pPr>
      <w:r>
        <w:separator/>
      </w:r>
    </w:p>
  </w:footnote>
  <w:footnote w:type="continuationSeparator" w:id="0">
    <w:p w14:paraId="56A3F1D9" w14:textId="77777777" w:rsidR="0067375D" w:rsidRDefault="0067375D" w:rsidP="00750D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16B71" w14:textId="77777777" w:rsidR="009540E4" w:rsidRPr="00110CBD" w:rsidRDefault="009540E4"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DF38C" w14:textId="1CA9CECA" w:rsidR="00F01966" w:rsidRDefault="00F01966">
    <w:pPr>
      <w:pStyle w:val="Glava"/>
    </w:pPr>
    <w:r>
      <w:rPr>
        <w:noProof/>
      </w:rPr>
      <w:drawing>
        <wp:anchor distT="0" distB="0" distL="114300" distR="114300" simplePos="0" relativeHeight="251660288" behindDoc="0" locked="0" layoutInCell="1" allowOverlap="1" wp14:anchorId="3B4E3537" wp14:editId="27ACADE6">
          <wp:simplePos x="0" y="0"/>
          <wp:positionH relativeFrom="column">
            <wp:posOffset>-742950</wp:posOffset>
          </wp:positionH>
          <wp:positionV relativeFrom="paragraph">
            <wp:posOffset>387098</wp:posOffset>
          </wp:positionV>
          <wp:extent cx="2216989" cy="329086"/>
          <wp:effectExtent l="0" t="0" r="0" b="0"/>
          <wp:wrapNone/>
          <wp:docPr id="2" name="Slika 2" descr="Slika, ki vsebuje besede grafika, simbol, risanka, oblikovanje&#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Slika, ki vsebuje besede grafika, simbol, risanka, oblikovanje&#10;&#10;Opis je samodejno ustvarj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6989" cy="329086"/>
                  </a:xfrm>
                  <a:prstGeom prst="rect">
                    <a:avLst/>
                  </a:prstGeom>
                  <a:noFill/>
                  <a:ln>
                    <a:noFill/>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77E27"/>
    <w:multiLevelType w:val="hybridMultilevel"/>
    <w:tmpl w:val="B5CE16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4126880"/>
    <w:multiLevelType w:val="hybridMultilevel"/>
    <w:tmpl w:val="771E3FAA"/>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3E323B4"/>
    <w:multiLevelType w:val="hybridMultilevel"/>
    <w:tmpl w:val="AC5615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A171EEE"/>
    <w:multiLevelType w:val="hybridMultilevel"/>
    <w:tmpl w:val="6A3E292E"/>
    <w:lvl w:ilvl="0" w:tplc="725C927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6F3640C"/>
    <w:multiLevelType w:val="hybridMultilevel"/>
    <w:tmpl w:val="2F2E77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72D2AC2"/>
    <w:multiLevelType w:val="hybridMultilevel"/>
    <w:tmpl w:val="056094CA"/>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85D2CF9"/>
    <w:multiLevelType w:val="hybridMultilevel"/>
    <w:tmpl w:val="1CDA2A0A"/>
    <w:lvl w:ilvl="0" w:tplc="5044B500">
      <w:start w:val="1"/>
      <w:numFmt w:val="bullet"/>
      <w:lvlText w:val=""/>
      <w:lvlJc w:val="left"/>
      <w:pPr>
        <w:ind w:left="720" w:hanging="360"/>
      </w:pPr>
      <w:rPr>
        <w:rFonts w:ascii="Symbol" w:hAnsi="Symbol" w:hint="default"/>
      </w:rPr>
    </w:lvl>
    <w:lvl w:ilvl="1" w:tplc="41860F60">
      <w:start w:val="20"/>
      <w:numFmt w:val="bullet"/>
      <w:lvlText w:val="-"/>
      <w:lvlJc w:val="left"/>
      <w:pPr>
        <w:ind w:left="1650" w:hanging="57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95E3891"/>
    <w:multiLevelType w:val="hybridMultilevel"/>
    <w:tmpl w:val="9308082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F533FC0"/>
    <w:multiLevelType w:val="hybridMultilevel"/>
    <w:tmpl w:val="7AFEF6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74B092F"/>
    <w:multiLevelType w:val="hybridMultilevel"/>
    <w:tmpl w:val="DD6405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D134D39"/>
    <w:multiLevelType w:val="hybridMultilevel"/>
    <w:tmpl w:val="D8B680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1C90CBE"/>
    <w:multiLevelType w:val="hybridMultilevel"/>
    <w:tmpl w:val="F1F83CB2"/>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3F84D0F"/>
    <w:multiLevelType w:val="hybridMultilevel"/>
    <w:tmpl w:val="B07ABD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7BD65D3"/>
    <w:multiLevelType w:val="hybridMultilevel"/>
    <w:tmpl w:val="35043D9E"/>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68271FA"/>
    <w:multiLevelType w:val="hybridMultilevel"/>
    <w:tmpl w:val="DAEC4C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8932246"/>
    <w:multiLevelType w:val="hybridMultilevel"/>
    <w:tmpl w:val="6E9018A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A981AB6"/>
    <w:multiLevelType w:val="hybridMultilevel"/>
    <w:tmpl w:val="CD027C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71406EF5"/>
    <w:multiLevelType w:val="hybridMultilevel"/>
    <w:tmpl w:val="C582AAB6"/>
    <w:lvl w:ilvl="0" w:tplc="9BB603B4">
      <w:start w:val="1"/>
      <w:numFmt w:val="bullet"/>
      <w:pStyle w:val="Odstavekseznama"/>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A0D175E"/>
    <w:multiLevelType w:val="hybridMultilevel"/>
    <w:tmpl w:val="3F46B55A"/>
    <w:lvl w:ilvl="0" w:tplc="5044B500">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16cid:durableId="1176576364">
    <w:abstractNumId w:val="17"/>
  </w:num>
  <w:num w:numId="2" w16cid:durableId="984821814">
    <w:abstractNumId w:val="12"/>
  </w:num>
  <w:num w:numId="3" w16cid:durableId="150218247">
    <w:abstractNumId w:val="1"/>
  </w:num>
  <w:num w:numId="4" w16cid:durableId="1026903286">
    <w:abstractNumId w:val="13"/>
  </w:num>
  <w:num w:numId="5" w16cid:durableId="231817878">
    <w:abstractNumId w:val="6"/>
  </w:num>
  <w:num w:numId="6" w16cid:durableId="2110814889">
    <w:abstractNumId w:val="18"/>
  </w:num>
  <w:num w:numId="7" w16cid:durableId="695153758">
    <w:abstractNumId w:val="7"/>
  </w:num>
  <w:num w:numId="8" w16cid:durableId="853298866">
    <w:abstractNumId w:val="11"/>
  </w:num>
  <w:num w:numId="9" w16cid:durableId="1789348953">
    <w:abstractNumId w:val="5"/>
  </w:num>
  <w:num w:numId="10" w16cid:durableId="1415012333">
    <w:abstractNumId w:val="14"/>
  </w:num>
  <w:num w:numId="11" w16cid:durableId="886650520">
    <w:abstractNumId w:val="8"/>
  </w:num>
  <w:num w:numId="12" w16cid:durableId="312607874">
    <w:abstractNumId w:val="2"/>
  </w:num>
  <w:num w:numId="13" w16cid:durableId="1398894926">
    <w:abstractNumId w:val="0"/>
  </w:num>
  <w:num w:numId="14" w16cid:durableId="857430202">
    <w:abstractNumId w:val="4"/>
  </w:num>
  <w:num w:numId="15" w16cid:durableId="682360922">
    <w:abstractNumId w:val="9"/>
  </w:num>
  <w:num w:numId="16" w16cid:durableId="162476534">
    <w:abstractNumId w:val="15"/>
  </w:num>
  <w:num w:numId="17" w16cid:durableId="319192199">
    <w:abstractNumId w:val="3"/>
  </w:num>
  <w:num w:numId="18" w16cid:durableId="261764048">
    <w:abstractNumId w:val="16"/>
  </w:num>
  <w:num w:numId="19" w16cid:durableId="2437341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0E4"/>
    <w:rsid w:val="00001547"/>
    <w:rsid w:val="00004626"/>
    <w:rsid w:val="00005AA2"/>
    <w:rsid w:val="000318E4"/>
    <w:rsid w:val="00050A56"/>
    <w:rsid w:val="00057D37"/>
    <w:rsid w:val="000610D5"/>
    <w:rsid w:val="00076DF7"/>
    <w:rsid w:val="00081C1F"/>
    <w:rsid w:val="00085D04"/>
    <w:rsid w:val="00087069"/>
    <w:rsid w:val="00087A14"/>
    <w:rsid w:val="00096432"/>
    <w:rsid w:val="00097B85"/>
    <w:rsid w:val="000D5520"/>
    <w:rsid w:val="000E0453"/>
    <w:rsid w:val="000E0657"/>
    <w:rsid w:val="00101665"/>
    <w:rsid w:val="00110637"/>
    <w:rsid w:val="001106F5"/>
    <w:rsid w:val="00110B8F"/>
    <w:rsid w:val="00111A16"/>
    <w:rsid w:val="00113F85"/>
    <w:rsid w:val="0012724F"/>
    <w:rsid w:val="0013016C"/>
    <w:rsid w:val="001357B6"/>
    <w:rsid w:val="00151FF5"/>
    <w:rsid w:val="001602C9"/>
    <w:rsid w:val="00164895"/>
    <w:rsid w:val="0016530C"/>
    <w:rsid w:val="001673A5"/>
    <w:rsid w:val="00173343"/>
    <w:rsid w:val="001A4787"/>
    <w:rsid w:val="001B01DD"/>
    <w:rsid w:val="001B42F9"/>
    <w:rsid w:val="001B48E4"/>
    <w:rsid w:val="001C3560"/>
    <w:rsid w:val="001C5F19"/>
    <w:rsid w:val="001D4277"/>
    <w:rsid w:val="001D69D6"/>
    <w:rsid w:val="001F51BC"/>
    <w:rsid w:val="001F7F63"/>
    <w:rsid w:val="00203CAB"/>
    <w:rsid w:val="00203F5F"/>
    <w:rsid w:val="00215140"/>
    <w:rsid w:val="00220CDD"/>
    <w:rsid w:val="00223A7C"/>
    <w:rsid w:val="0022511A"/>
    <w:rsid w:val="00231021"/>
    <w:rsid w:val="00232921"/>
    <w:rsid w:val="002501CE"/>
    <w:rsid w:val="00284A0B"/>
    <w:rsid w:val="002856E5"/>
    <w:rsid w:val="002C0766"/>
    <w:rsid w:val="002C36A6"/>
    <w:rsid w:val="002D5B5D"/>
    <w:rsid w:val="002D7874"/>
    <w:rsid w:val="002E3F96"/>
    <w:rsid w:val="002F3BE7"/>
    <w:rsid w:val="00302938"/>
    <w:rsid w:val="0032428F"/>
    <w:rsid w:val="0033383A"/>
    <w:rsid w:val="003343BF"/>
    <w:rsid w:val="0033519E"/>
    <w:rsid w:val="003459DC"/>
    <w:rsid w:val="00346E22"/>
    <w:rsid w:val="00351E1E"/>
    <w:rsid w:val="00357DC0"/>
    <w:rsid w:val="00361255"/>
    <w:rsid w:val="00381018"/>
    <w:rsid w:val="003847C8"/>
    <w:rsid w:val="00385767"/>
    <w:rsid w:val="003877EB"/>
    <w:rsid w:val="00390582"/>
    <w:rsid w:val="00390DF7"/>
    <w:rsid w:val="0039662C"/>
    <w:rsid w:val="003A1F91"/>
    <w:rsid w:val="003A3742"/>
    <w:rsid w:val="003B1257"/>
    <w:rsid w:val="003D64D8"/>
    <w:rsid w:val="003E122C"/>
    <w:rsid w:val="003E17B6"/>
    <w:rsid w:val="003E1B89"/>
    <w:rsid w:val="003E4E19"/>
    <w:rsid w:val="003E6170"/>
    <w:rsid w:val="003F4CC5"/>
    <w:rsid w:val="00404C45"/>
    <w:rsid w:val="00415527"/>
    <w:rsid w:val="00424DF8"/>
    <w:rsid w:val="00432937"/>
    <w:rsid w:val="004403EC"/>
    <w:rsid w:val="00447B57"/>
    <w:rsid w:val="0045565C"/>
    <w:rsid w:val="00455B63"/>
    <w:rsid w:val="00460370"/>
    <w:rsid w:val="00465543"/>
    <w:rsid w:val="00472762"/>
    <w:rsid w:val="00474CBD"/>
    <w:rsid w:val="004969DD"/>
    <w:rsid w:val="004A00A8"/>
    <w:rsid w:val="004A7BFC"/>
    <w:rsid w:val="004A7CAD"/>
    <w:rsid w:val="004B4753"/>
    <w:rsid w:val="004B5C38"/>
    <w:rsid w:val="004B7346"/>
    <w:rsid w:val="004C3F67"/>
    <w:rsid w:val="004C721D"/>
    <w:rsid w:val="004D5711"/>
    <w:rsid w:val="00514121"/>
    <w:rsid w:val="00522637"/>
    <w:rsid w:val="00527867"/>
    <w:rsid w:val="00527AA5"/>
    <w:rsid w:val="005314D7"/>
    <w:rsid w:val="00534B77"/>
    <w:rsid w:val="00544398"/>
    <w:rsid w:val="005458D4"/>
    <w:rsid w:val="005515BD"/>
    <w:rsid w:val="00571BC9"/>
    <w:rsid w:val="005740C1"/>
    <w:rsid w:val="0059143B"/>
    <w:rsid w:val="005948F8"/>
    <w:rsid w:val="005A570D"/>
    <w:rsid w:val="005B1739"/>
    <w:rsid w:val="005B215C"/>
    <w:rsid w:val="005B5886"/>
    <w:rsid w:val="005C1523"/>
    <w:rsid w:val="005C6DFB"/>
    <w:rsid w:val="005E1ABB"/>
    <w:rsid w:val="005E601E"/>
    <w:rsid w:val="005F7476"/>
    <w:rsid w:val="00614FFD"/>
    <w:rsid w:val="006205AE"/>
    <w:rsid w:val="00622F2B"/>
    <w:rsid w:val="006247F1"/>
    <w:rsid w:val="00626A98"/>
    <w:rsid w:val="006274BB"/>
    <w:rsid w:val="00634EFA"/>
    <w:rsid w:val="00635D43"/>
    <w:rsid w:val="006367B9"/>
    <w:rsid w:val="00647772"/>
    <w:rsid w:val="00657B15"/>
    <w:rsid w:val="0066249C"/>
    <w:rsid w:val="0067375D"/>
    <w:rsid w:val="00676F03"/>
    <w:rsid w:val="00677662"/>
    <w:rsid w:val="006906AF"/>
    <w:rsid w:val="00693BA3"/>
    <w:rsid w:val="006B03A9"/>
    <w:rsid w:val="006B3F12"/>
    <w:rsid w:val="006C0131"/>
    <w:rsid w:val="006C1B31"/>
    <w:rsid w:val="006C4733"/>
    <w:rsid w:val="006C53DE"/>
    <w:rsid w:val="006D294C"/>
    <w:rsid w:val="006D36E2"/>
    <w:rsid w:val="006F1754"/>
    <w:rsid w:val="006F29FA"/>
    <w:rsid w:val="0070324C"/>
    <w:rsid w:val="007041B7"/>
    <w:rsid w:val="0071171B"/>
    <w:rsid w:val="007120FD"/>
    <w:rsid w:val="007130E1"/>
    <w:rsid w:val="00716545"/>
    <w:rsid w:val="00717E59"/>
    <w:rsid w:val="0073796B"/>
    <w:rsid w:val="00750D01"/>
    <w:rsid w:val="007643A0"/>
    <w:rsid w:val="0076517E"/>
    <w:rsid w:val="007669A3"/>
    <w:rsid w:val="00767A18"/>
    <w:rsid w:val="00775843"/>
    <w:rsid w:val="00780AEF"/>
    <w:rsid w:val="00781345"/>
    <w:rsid w:val="007830B9"/>
    <w:rsid w:val="00784E57"/>
    <w:rsid w:val="0079749C"/>
    <w:rsid w:val="007A4C0B"/>
    <w:rsid w:val="007A6460"/>
    <w:rsid w:val="007B0ADD"/>
    <w:rsid w:val="007B35EE"/>
    <w:rsid w:val="007B515F"/>
    <w:rsid w:val="007C21FB"/>
    <w:rsid w:val="007D15EC"/>
    <w:rsid w:val="007E198F"/>
    <w:rsid w:val="007E3E63"/>
    <w:rsid w:val="007F5D6B"/>
    <w:rsid w:val="007F6EF7"/>
    <w:rsid w:val="008114E9"/>
    <w:rsid w:val="00814664"/>
    <w:rsid w:val="008154EA"/>
    <w:rsid w:val="008220A3"/>
    <w:rsid w:val="008244C0"/>
    <w:rsid w:val="008336E7"/>
    <w:rsid w:val="00836E94"/>
    <w:rsid w:val="00847AA2"/>
    <w:rsid w:val="00847AD3"/>
    <w:rsid w:val="00851CB6"/>
    <w:rsid w:val="00851FE1"/>
    <w:rsid w:val="00860907"/>
    <w:rsid w:val="008624E8"/>
    <w:rsid w:val="008A10A5"/>
    <w:rsid w:val="008A16D8"/>
    <w:rsid w:val="008A172A"/>
    <w:rsid w:val="008A4E2F"/>
    <w:rsid w:val="008B6738"/>
    <w:rsid w:val="008B7AF2"/>
    <w:rsid w:val="008C4231"/>
    <w:rsid w:val="008D49BD"/>
    <w:rsid w:val="008D6C89"/>
    <w:rsid w:val="008E28DB"/>
    <w:rsid w:val="00905C96"/>
    <w:rsid w:val="009174DA"/>
    <w:rsid w:val="00927C04"/>
    <w:rsid w:val="00933061"/>
    <w:rsid w:val="00933087"/>
    <w:rsid w:val="00936908"/>
    <w:rsid w:val="00945A32"/>
    <w:rsid w:val="00945B27"/>
    <w:rsid w:val="009540E4"/>
    <w:rsid w:val="00974186"/>
    <w:rsid w:val="00983241"/>
    <w:rsid w:val="009900DE"/>
    <w:rsid w:val="009A41AA"/>
    <w:rsid w:val="009B3707"/>
    <w:rsid w:val="009C2C98"/>
    <w:rsid w:val="009C2D77"/>
    <w:rsid w:val="009C562E"/>
    <w:rsid w:val="009C60EF"/>
    <w:rsid w:val="009D10D1"/>
    <w:rsid w:val="009D7AF2"/>
    <w:rsid w:val="009E214A"/>
    <w:rsid w:val="009F37F4"/>
    <w:rsid w:val="009F4DB0"/>
    <w:rsid w:val="00A06971"/>
    <w:rsid w:val="00A231C7"/>
    <w:rsid w:val="00A2471A"/>
    <w:rsid w:val="00A30052"/>
    <w:rsid w:val="00A31764"/>
    <w:rsid w:val="00A34FC4"/>
    <w:rsid w:val="00A445DF"/>
    <w:rsid w:val="00A4748F"/>
    <w:rsid w:val="00A521C4"/>
    <w:rsid w:val="00A5415F"/>
    <w:rsid w:val="00A60A37"/>
    <w:rsid w:val="00A60FBF"/>
    <w:rsid w:val="00A66FB9"/>
    <w:rsid w:val="00A67305"/>
    <w:rsid w:val="00A726C3"/>
    <w:rsid w:val="00A7412B"/>
    <w:rsid w:val="00A767ED"/>
    <w:rsid w:val="00A775C9"/>
    <w:rsid w:val="00AB1DC2"/>
    <w:rsid w:val="00AC33A6"/>
    <w:rsid w:val="00AD1AFD"/>
    <w:rsid w:val="00AD4D3D"/>
    <w:rsid w:val="00AE6CD6"/>
    <w:rsid w:val="00AF0D10"/>
    <w:rsid w:val="00AF5FC8"/>
    <w:rsid w:val="00B0001F"/>
    <w:rsid w:val="00B022E5"/>
    <w:rsid w:val="00B058CB"/>
    <w:rsid w:val="00B06EAB"/>
    <w:rsid w:val="00B47F61"/>
    <w:rsid w:val="00B53594"/>
    <w:rsid w:val="00B602CF"/>
    <w:rsid w:val="00B60F58"/>
    <w:rsid w:val="00B70F5B"/>
    <w:rsid w:val="00B753A8"/>
    <w:rsid w:val="00B84862"/>
    <w:rsid w:val="00B903E5"/>
    <w:rsid w:val="00BA743D"/>
    <w:rsid w:val="00BB1111"/>
    <w:rsid w:val="00BB73C0"/>
    <w:rsid w:val="00BE5C43"/>
    <w:rsid w:val="00C244B7"/>
    <w:rsid w:val="00C3152B"/>
    <w:rsid w:val="00C354D9"/>
    <w:rsid w:val="00C365A8"/>
    <w:rsid w:val="00C458C2"/>
    <w:rsid w:val="00C56365"/>
    <w:rsid w:val="00C666AC"/>
    <w:rsid w:val="00C97F7B"/>
    <w:rsid w:val="00CA5624"/>
    <w:rsid w:val="00CC3123"/>
    <w:rsid w:val="00CC37B3"/>
    <w:rsid w:val="00CE20C0"/>
    <w:rsid w:val="00CE21D5"/>
    <w:rsid w:val="00CE45D7"/>
    <w:rsid w:val="00D10EB4"/>
    <w:rsid w:val="00D14EEC"/>
    <w:rsid w:val="00D22282"/>
    <w:rsid w:val="00D60A92"/>
    <w:rsid w:val="00D64FA4"/>
    <w:rsid w:val="00D650E2"/>
    <w:rsid w:val="00D7373E"/>
    <w:rsid w:val="00D85532"/>
    <w:rsid w:val="00D9208E"/>
    <w:rsid w:val="00D95BC6"/>
    <w:rsid w:val="00D966FF"/>
    <w:rsid w:val="00D97B4B"/>
    <w:rsid w:val="00DA3B4D"/>
    <w:rsid w:val="00DA3BD5"/>
    <w:rsid w:val="00DA5C0D"/>
    <w:rsid w:val="00DA5D7A"/>
    <w:rsid w:val="00DB1E1A"/>
    <w:rsid w:val="00DB55BA"/>
    <w:rsid w:val="00DC7ED6"/>
    <w:rsid w:val="00DD11E2"/>
    <w:rsid w:val="00DE16B1"/>
    <w:rsid w:val="00DE199D"/>
    <w:rsid w:val="00DE1B54"/>
    <w:rsid w:val="00DE27BA"/>
    <w:rsid w:val="00E02AB3"/>
    <w:rsid w:val="00E05EEE"/>
    <w:rsid w:val="00E14AAE"/>
    <w:rsid w:val="00E20351"/>
    <w:rsid w:val="00E2036F"/>
    <w:rsid w:val="00E3207D"/>
    <w:rsid w:val="00E3507E"/>
    <w:rsid w:val="00E40BD7"/>
    <w:rsid w:val="00E7132A"/>
    <w:rsid w:val="00E83E60"/>
    <w:rsid w:val="00E86C78"/>
    <w:rsid w:val="00E92749"/>
    <w:rsid w:val="00E948BD"/>
    <w:rsid w:val="00E96045"/>
    <w:rsid w:val="00EC012E"/>
    <w:rsid w:val="00ED5AAF"/>
    <w:rsid w:val="00EE167A"/>
    <w:rsid w:val="00EE35F8"/>
    <w:rsid w:val="00EF1263"/>
    <w:rsid w:val="00EF7154"/>
    <w:rsid w:val="00F01966"/>
    <w:rsid w:val="00F03257"/>
    <w:rsid w:val="00F20884"/>
    <w:rsid w:val="00F21123"/>
    <w:rsid w:val="00F21419"/>
    <w:rsid w:val="00F21BAD"/>
    <w:rsid w:val="00F23144"/>
    <w:rsid w:val="00F240E9"/>
    <w:rsid w:val="00F31222"/>
    <w:rsid w:val="00F462C7"/>
    <w:rsid w:val="00F56111"/>
    <w:rsid w:val="00F6522C"/>
    <w:rsid w:val="00F92545"/>
    <w:rsid w:val="00F93A56"/>
    <w:rsid w:val="00F9731A"/>
    <w:rsid w:val="00FA1D6E"/>
    <w:rsid w:val="00FA792D"/>
    <w:rsid w:val="00FC2D38"/>
    <w:rsid w:val="00FD6F18"/>
    <w:rsid w:val="00FE5604"/>
    <w:rsid w:val="00FF245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48F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50D01"/>
    <w:pPr>
      <w:spacing w:after="0" w:line="260" w:lineRule="exact"/>
    </w:pPr>
    <w:rPr>
      <w:rFonts w:ascii="Arial" w:eastAsia="Times New Roman" w:hAnsi="Arial" w:cs="Times New Roman"/>
      <w:sz w:val="20"/>
      <w:szCs w:val="24"/>
    </w:rPr>
  </w:style>
  <w:style w:type="paragraph" w:styleId="Naslov1">
    <w:name w:val="heading 1"/>
    <w:basedOn w:val="Navaden"/>
    <w:next w:val="Navaden"/>
    <w:link w:val="Naslov1Znak"/>
    <w:uiPriority w:val="9"/>
    <w:qFormat/>
    <w:rsid w:val="0039662C"/>
    <w:pPr>
      <w:autoSpaceDE w:val="0"/>
      <w:autoSpaceDN w:val="0"/>
      <w:adjustRightInd w:val="0"/>
      <w:spacing w:after="240" w:line="240" w:lineRule="auto"/>
      <w:outlineLvl w:val="0"/>
    </w:pPr>
    <w:rPr>
      <w:b/>
      <w:bCs/>
      <w:sz w:val="28"/>
      <w:szCs w:val="28"/>
    </w:rPr>
  </w:style>
  <w:style w:type="paragraph" w:styleId="Naslov2">
    <w:name w:val="heading 2"/>
    <w:basedOn w:val="Navaden"/>
    <w:next w:val="Navaden"/>
    <w:link w:val="Naslov2Znak"/>
    <w:uiPriority w:val="9"/>
    <w:unhideWhenUsed/>
    <w:qFormat/>
    <w:rsid w:val="005E1ABB"/>
    <w:pPr>
      <w:autoSpaceDE w:val="0"/>
      <w:autoSpaceDN w:val="0"/>
      <w:adjustRightInd w:val="0"/>
      <w:spacing w:after="240" w:line="240" w:lineRule="auto"/>
      <w:contextualSpacing/>
      <w:outlineLvl w:val="1"/>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APEK-4,Header Char Char,Header Char1 Char Char,Header Char Char Char Char,Header Char1 Char Char Char Char,Header Char Char Char Char Char Char,Header Char1 Char Char Char Char Char Char,Header Char Char Char Char Char Char Char Char"/>
    <w:basedOn w:val="Navaden"/>
    <w:link w:val="GlavaZnak"/>
    <w:uiPriority w:val="99"/>
    <w:rsid w:val="00750D01"/>
    <w:pPr>
      <w:tabs>
        <w:tab w:val="center" w:pos="4320"/>
        <w:tab w:val="right" w:pos="8640"/>
      </w:tabs>
    </w:pPr>
  </w:style>
  <w:style w:type="character" w:customStyle="1" w:styleId="GlavaZnak">
    <w:name w:val="Glava Znak"/>
    <w:aliases w:val="APEK-4 Znak,Header Char Char Znak,Header Char1 Char Char Znak,Header Char Char Char Char Znak,Header Char1 Char Char Char Char Znak,Header Char Char Char Char Char Char Znak,Header Char1 Char Char Char Char Char Char Znak"/>
    <w:basedOn w:val="Privzetapisavaodstavka"/>
    <w:link w:val="Glava"/>
    <w:uiPriority w:val="99"/>
    <w:rsid w:val="00750D01"/>
    <w:rPr>
      <w:rFonts w:ascii="Arial" w:eastAsia="Times New Roman" w:hAnsi="Arial" w:cs="Times New Roman"/>
      <w:sz w:val="20"/>
      <w:szCs w:val="24"/>
    </w:rPr>
  </w:style>
  <w:style w:type="paragraph" w:styleId="Noga">
    <w:name w:val="footer"/>
    <w:basedOn w:val="Navaden"/>
    <w:link w:val="NogaZnak"/>
    <w:rsid w:val="00750D01"/>
    <w:pPr>
      <w:tabs>
        <w:tab w:val="center" w:pos="4320"/>
        <w:tab w:val="right" w:pos="8640"/>
      </w:tabs>
    </w:pPr>
  </w:style>
  <w:style w:type="character" w:customStyle="1" w:styleId="NogaZnak">
    <w:name w:val="Noga Znak"/>
    <w:basedOn w:val="Privzetapisavaodstavka"/>
    <w:link w:val="Noga"/>
    <w:rsid w:val="00750D01"/>
    <w:rPr>
      <w:rFonts w:ascii="Arial" w:eastAsia="Times New Roman" w:hAnsi="Arial" w:cs="Times New Roman"/>
      <w:sz w:val="20"/>
      <w:szCs w:val="24"/>
    </w:rPr>
  </w:style>
  <w:style w:type="character" w:styleId="tevilkastrani">
    <w:name w:val="page number"/>
    <w:basedOn w:val="Privzetapisavaodstavka"/>
    <w:rsid w:val="00750D01"/>
  </w:style>
  <w:style w:type="paragraph" w:styleId="Naslov">
    <w:name w:val="Title"/>
    <w:basedOn w:val="Navaden"/>
    <w:next w:val="Navaden"/>
    <w:link w:val="NaslovZnak"/>
    <w:uiPriority w:val="10"/>
    <w:qFormat/>
    <w:rsid w:val="009D10D1"/>
    <w:pPr>
      <w:spacing w:before="480" w:after="240" w:line="240" w:lineRule="auto"/>
      <w:contextualSpacing/>
    </w:pPr>
    <w:rPr>
      <w:rFonts w:eastAsiaTheme="majorEastAsia" w:cs="Arial"/>
      <w:spacing w:val="-10"/>
      <w:kern w:val="28"/>
      <w:szCs w:val="20"/>
    </w:rPr>
  </w:style>
  <w:style w:type="character" w:customStyle="1" w:styleId="NaslovZnak">
    <w:name w:val="Naslov Znak"/>
    <w:basedOn w:val="Privzetapisavaodstavka"/>
    <w:link w:val="Naslov"/>
    <w:uiPriority w:val="10"/>
    <w:rsid w:val="009D10D1"/>
    <w:rPr>
      <w:rFonts w:ascii="Arial" w:eastAsiaTheme="majorEastAsia" w:hAnsi="Arial" w:cs="Arial"/>
      <w:spacing w:val="-10"/>
      <w:kern w:val="28"/>
      <w:sz w:val="20"/>
      <w:szCs w:val="20"/>
    </w:rPr>
  </w:style>
  <w:style w:type="character" w:customStyle="1" w:styleId="Naslov1Znak">
    <w:name w:val="Naslov 1 Znak"/>
    <w:basedOn w:val="Privzetapisavaodstavka"/>
    <w:link w:val="Naslov1"/>
    <w:uiPriority w:val="9"/>
    <w:rsid w:val="0039662C"/>
    <w:rPr>
      <w:rFonts w:ascii="Arial" w:eastAsia="Times New Roman" w:hAnsi="Arial" w:cs="Times New Roman"/>
      <w:b/>
      <w:bCs/>
      <w:sz w:val="28"/>
      <w:szCs w:val="28"/>
    </w:rPr>
  </w:style>
  <w:style w:type="paragraph" w:customStyle="1" w:styleId="DatumSZJ">
    <w:name w:val="Datum SZJ"/>
    <w:basedOn w:val="Navaden"/>
    <w:next w:val="Navaden"/>
    <w:link w:val="DatumSZJZnak"/>
    <w:qFormat/>
    <w:rsid w:val="00A7412B"/>
    <w:pPr>
      <w:autoSpaceDE w:val="0"/>
      <w:autoSpaceDN w:val="0"/>
      <w:adjustRightInd w:val="0"/>
      <w:spacing w:after="360" w:line="240" w:lineRule="auto"/>
    </w:pPr>
  </w:style>
  <w:style w:type="character" w:customStyle="1" w:styleId="Naslov2Znak">
    <w:name w:val="Naslov 2 Znak"/>
    <w:basedOn w:val="Privzetapisavaodstavka"/>
    <w:link w:val="Naslov2"/>
    <w:uiPriority w:val="9"/>
    <w:rsid w:val="005E1ABB"/>
    <w:rPr>
      <w:rFonts w:ascii="Arial" w:eastAsia="Times New Roman" w:hAnsi="Arial" w:cs="Times New Roman"/>
      <w:b/>
      <w:bCs/>
      <w:sz w:val="20"/>
      <w:szCs w:val="24"/>
    </w:rPr>
  </w:style>
  <w:style w:type="character" w:customStyle="1" w:styleId="DatumSZJZnak">
    <w:name w:val="Datum SZJ Znak"/>
    <w:basedOn w:val="Privzetapisavaodstavka"/>
    <w:link w:val="DatumSZJ"/>
    <w:rsid w:val="00A7412B"/>
    <w:rPr>
      <w:rFonts w:ascii="Arial" w:eastAsia="Times New Roman" w:hAnsi="Arial" w:cs="Times New Roman"/>
      <w:sz w:val="20"/>
      <w:szCs w:val="24"/>
    </w:rPr>
  </w:style>
  <w:style w:type="paragraph" w:customStyle="1" w:styleId="Vir">
    <w:name w:val="Vir"/>
    <w:basedOn w:val="Navaden"/>
    <w:next w:val="Navaden"/>
    <w:link w:val="VirZnak"/>
    <w:qFormat/>
    <w:rsid w:val="00110B8F"/>
    <w:pPr>
      <w:autoSpaceDE w:val="0"/>
      <w:autoSpaceDN w:val="0"/>
      <w:adjustRightInd w:val="0"/>
      <w:spacing w:before="240" w:after="360" w:line="240" w:lineRule="auto"/>
    </w:pPr>
  </w:style>
  <w:style w:type="paragraph" w:styleId="Odstavekseznama">
    <w:name w:val="List Paragraph"/>
    <w:basedOn w:val="Navaden"/>
    <w:uiPriority w:val="34"/>
    <w:qFormat/>
    <w:rsid w:val="00203F5F"/>
    <w:pPr>
      <w:numPr>
        <w:numId w:val="1"/>
      </w:numPr>
      <w:contextualSpacing/>
    </w:pPr>
  </w:style>
  <w:style w:type="character" w:customStyle="1" w:styleId="VirZnak">
    <w:name w:val="Vir Znak"/>
    <w:basedOn w:val="Privzetapisavaodstavka"/>
    <w:link w:val="Vir"/>
    <w:rsid w:val="00110B8F"/>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5D5117429E6D7418C58FC90322A8638" ma:contentTypeVersion="3" ma:contentTypeDescription="Create a new document." ma:contentTypeScope="" ma:versionID="af7836002ab36a4cf9d574b9cf62edcf">
  <xsd:schema xmlns:xsd="http://www.w3.org/2001/XMLSchema" xmlns:xs="http://www.w3.org/2001/XMLSchema" xmlns:p="http://schemas.microsoft.com/office/2006/metadata/properties" xmlns:ns3="eb582466-1b59-4d29-8755-2962c9164f84" targetNamespace="http://schemas.microsoft.com/office/2006/metadata/properties" ma:root="true" ma:fieldsID="8f3c0790d4e523edad3a139ab2c0a08f" ns3:_="">
    <xsd:import namespace="eb582466-1b59-4d29-8755-2962c9164f84"/>
    <xsd:element name="properties">
      <xsd:complexType>
        <xsd:sequence>
          <xsd:element name="documentManagement">
            <xsd:complexType>
              <xsd:all>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82466-1b59-4d29-8755-2962c9164f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695D88-41D0-4D94-8F20-06CCAE564D2D}">
  <ds:schemaRefs>
    <ds:schemaRef ds:uri="eb582466-1b59-4d29-8755-2962c9164f84"/>
    <ds:schemaRef ds:uri="http://schemas.openxmlformats.org/package/2006/metadata/core-properties"/>
    <ds:schemaRef ds:uri="http://www.w3.org/XML/1998/namespace"/>
    <ds:schemaRef ds:uri="http://purl.org/dc/term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0CA01A8C-74B0-4B71-BCE1-F6503D59E079}">
  <ds:schemaRefs>
    <ds:schemaRef ds:uri="http://schemas.openxmlformats.org/officeDocument/2006/bibliography"/>
  </ds:schemaRefs>
</ds:datastoreItem>
</file>

<file path=customXml/itemProps3.xml><?xml version="1.0" encoding="utf-8"?>
<ds:datastoreItem xmlns:ds="http://schemas.openxmlformats.org/officeDocument/2006/customXml" ds:itemID="{6B5584C5-23D0-42C4-903E-C12EFBD15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82466-1b59-4d29-8755-2962c9164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4DDD5E-BF2A-42E4-BF83-F29C09BA9F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1868</Words>
  <Characters>10653</Characters>
  <Application>Microsoft Office Word</Application>
  <DocSecurity>0</DocSecurity>
  <Lines>88</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2026-02-09T14:37:00Z</dcterms:created>
  <dcterms:modified xsi:type="dcterms:W3CDTF">2026-02-10T09:19:00Z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0x010100E5D5117429E6D7418C58FC90322A8638</vt:lpwstr>
  </property>
</Properties>
</file>