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11"/>
          <w:headerReference w:type="first" r:id="rId12"/>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013BA8E0" w:rsidR="0073796B" w:rsidRPr="0039662C" w:rsidRDefault="00223A7C" w:rsidP="0039662C">
      <w:pPr>
        <w:pStyle w:val="Naslov1"/>
      </w:pPr>
      <w:r>
        <w:t>40</w:t>
      </w:r>
      <w:r w:rsidR="006C0131">
        <w:t>9</w:t>
      </w:r>
      <w:r w:rsidR="0073796B" w:rsidRPr="0039662C">
        <w:t xml:space="preserve">. </w:t>
      </w:r>
      <w:r w:rsidR="00F03257">
        <w:t xml:space="preserve">dopisna </w:t>
      </w:r>
      <w:r w:rsidR="0073796B" w:rsidRPr="0039662C">
        <w:t>seja Vlade Republike Slovenije</w:t>
      </w:r>
    </w:p>
    <w:p w14:paraId="27F30B92" w14:textId="547DC581" w:rsidR="0073796B" w:rsidRDefault="006C0131" w:rsidP="008B7AF2">
      <w:pPr>
        <w:pStyle w:val="DatumSZJ"/>
      </w:pPr>
      <w:r>
        <w:t>4</w:t>
      </w:r>
      <w:r w:rsidR="002856E5">
        <w:t>.</w:t>
      </w:r>
      <w:r w:rsidR="008220A3">
        <w:t xml:space="preserve"> </w:t>
      </w:r>
      <w:r>
        <w:t>febr</w:t>
      </w:r>
      <w:r w:rsidR="00F03257">
        <w:t>uar</w:t>
      </w:r>
      <w:r w:rsidR="00DA3B4D">
        <w:t xml:space="preserve"> </w:t>
      </w:r>
      <w:r w:rsidR="0073796B" w:rsidRPr="008B7AF2">
        <w:t>202</w:t>
      </w:r>
      <w:r w:rsidR="00F03257">
        <w:t>6</w:t>
      </w:r>
    </w:p>
    <w:p w14:paraId="5F100D16" w14:textId="6FA32636" w:rsidR="00FA1D6E" w:rsidRDefault="00FA1D6E" w:rsidP="00FA1D6E">
      <w:pPr>
        <w:pStyle w:val="Naslov2"/>
      </w:pPr>
      <w:r>
        <w:t>Izdana Uredba o samooskrbi z električno energijo iz obnovljivih virov energije</w:t>
      </w:r>
    </w:p>
    <w:p w14:paraId="07BDEBE8" w14:textId="77777777" w:rsidR="00FA1D6E" w:rsidRDefault="00FA1D6E" w:rsidP="00FA1D6E">
      <w:r>
        <w:t xml:space="preserve">Vlada je izdala Uredbo o spremembah Uredbe o samooskrbi z električno energijo iz obnovljivih virov energije. Sprememba predmetne uredbe pomeni uskladitev z novim pravnim okvirom na področju splošne pomoči »de </w:t>
      </w:r>
      <w:proofErr w:type="spellStart"/>
      <w:r>
        <w:t>minimis</w:t>
      </w:r>
      <w:proofErr w:type="spellEnd"/>
      <w:r>
        <w:t>« na ravni EU.</w:t>
      </w:r>
    </w:p>
    <w:p w14:paraId="1C0FCD8B" w14:textId="77777777" w:rsidR="00FA1D6E" w:rsidRDefault="00FA1D6E" w:rsidP="00FA1D6E"/>
    <w:p w14:paraId="254D120F" w14:textId="77777777" w:rsidR="00FA1D6E" w:rsidRDefault="00FA1D6E" w:rsidP="00FA1D6E">
      <w:r>
        <w:t xml:space="preserve">Uredba o samooskrbi se v svojih določbah še vedno sklicuje na Uredbo Komisije (EU) št. 1407/2013 o uporabi členov 107 in 108 PDEU pri pomoči »de </w:t>
      </w:r>
      <w:proofErr w:type="spellStart"/>
      <w:r>
        <w:t>minimis</w:t>
      </w:r>
      <w:proofErr w:type="spellEnd"/>
      <w:r>
        <w:t xml:space="preserve">«. Navedena uredba je prenehala veljati, zato je treba nacionalni predpis ustrezno prilagoditi. </w:t>
      </w:r>
    </w:p>
    <w:p w14:paraId="18BA84A5" w14:textId="77777777" w:rsidR="00FA1D6E" w:rsidRDefault="00FA1D6E" w:rsidP="00FA1D6E"/>
    <w:p w14:paraId="467F7473" w14:textId="77777777" w:rsidR="00FA1D6E" w:rsidRDefault="00FA1D6E" w:rsidP="00FA1D6E">
      <w:r>
        <w:t xml:space="preserve">Na področju splošne pomoči »de </w:t>
      </w:r>
      <w:proofErr w:type="spellStart"/>
      <w:r>
        <w:t>minimis</w:t>
      </w:r>
      <w:proofErr w:type="spellEnd"/>
      <w:r>
        <w:t xml:space="preserve">« se </w:t>
      </w:r>
      <w:proofErr w:type="gramStart"/>
      <w:r>
        <w:t>sedaj</w:t>
      </w:r>
      <w:proofErr w:type="gramEnd"/>
      <w:r>
        <w:t xml:space="preserve"> uporablja Uredba Komisije (EU) 2023/2831. Nova uredba ohranja temeljno logiko sistema »de </w:t>
      </w:r>
      <w:proofErr w:type="spellStart"/>
      <w:r>
        <w:t>minimis</w:t>
      </w:r>
      <w:proofErr w:type="spellEnd"/>
      <w:r>
        <w:t xml:space="preserve">«, hkrati pa prinaša pomembne posodobitve, ki jih morajo upoštevati tudi sektorski oziroma izvedbeni nacionalni predpisi, zlasti glede višine zgornje meje pomoči, časovnega okvira njenega seštevanja in drugo. Ker predmetna uredba vsebuje določbe, ki se neposredno nanašajo na dodeljevanje naložbene pomoči v obliki pomoči »de </w:t>
      </w:r>
      <w:proofErr w:type="spellStart"/>
      <w:r>
        <w:t>minimis</w:t>
      </w:r>
      <w:proofErr w:type="spellEnd"/>
      <w:r>
        <w:t>«, je nujno, da se uporabljeni pojmi in definicije razlagajo v skladu z veljavno uredbo EU.</w:t>
      </w:r>
    </w:p>
    <w:p w14:paraId="35A63544" w14:textId="22A336B2" w:rsidR="00927C04" w:rsidRDefault="00FA1D6E" w:rsidP="00FA1D6E">
      <w:pPr>
        <w:pStyle w:val="Vir"/>
      </w:pPr>
      <w:r>
        <w:t>Vir: Ministrstvo za okolje, podnebje in energijo</w:t>
      </w:r>
    </w:p>
    <w:p w14:paraId="3B197DC2" w14:textId="56430539" w:rsidR="00284A0B" w:rsidRDefault="00284A0B" w:rsidP="00284A0B">
      <w:pPr>
        <w:pStyle w:val="Naslov2"/>
      </w:pPr>
      <w:r>
        <w:t xml:space="preserve">Vlada podaljšala koncesijo za prirejanja iger na srečo </w:t>
      </w:r>
    </w:p>
    <w:p w14:paraId="5BFA4C9F" w14:textId="77777777" w:rsidR="00284A0B" w:rsidRDefault="00284A0B" w:rsidP="00284A0B">
      <w:r>
        <w:t>Vlada je na današnji dopisni seji gospodarski družbi Športna loterija podaljšala koncesiji za trajno prirejanje klasičnih iger na srečo Prve stave in Petica.</w:t>
      </w:r>
    </w:p>
    <w:p w14:paraId="29DD13CC" w14:textId="77777777" w:rsidR="00284A0B" w:rsidRDefault="00284A0B" w:rsidP="00284A0B"/>
    <w:p w14:paraId="2C5A651A" w14:textId="21CF542D" w:rsidR="00284A0B" w:rsidRDefault="00284A0B" w:rsidP="00284A0B">
      <w:r>
        <w:t>Gospodarski družbi Športna loterija se za klasični igri na srečo Prve stave in Petica koncesija podaljša do 30. junija 2031.</w:t>
      </w:r>
    </w:p>
    <w:p w14:paraId="2B40CACF" w14:textId="77777777" w:rsidR="00284A0B" w:rsidRDefault="00284A0B" w:rsidP="00284A0B"/>
    <w:p w14:paraId="493CC39E" w14:textId="6FB131D3" w:rsidR="00927C04" w:rsidRDefault="00284A0B" w:rsidP="00284A0B">
      <w:r>
        <w:t>Prirediteljica ima dolgoletne izkušnje na področju trajnega prirejanja klasičnih iger. Vseh šest klasičnih iger na srečo, za katere ji je vlada že dodelila koncesijo, prireja v skladu s pravili iger, sprejetim kodeksom družbeno odgovornega igralništva in po tehnološkem postopku, ki velja za posamezno igro na srečo</w:t>
      </w:r>
      <w:r>
        <w:t>.</w:t>
      </w:r>
    </w:p>
    <w:p w14:paraId="2BA507FF" w14:textId="6433EFB7" w:rsidR="00284A0B" w:rsidRDefault="00284A0B" w:rsidP="00284A0B">
      <w:pPr>
        <w:pStyle w:val="Vir"/>
      </w:pPr>
      <w:r>
        <w:t>Vir: Ministrstvo za finance</w:t>
      </w:r>
    </w:p>
    <w:p w14:paraId="2D68734D" w14:textId="6B20558B" w:rsidR="005C6DFB" w:rsidRDefault="005C6DFB" w:rsidP="005C6DFB">
      <w:pPr>
        <w:pStyle w:val="Naslov2"/>
      </w:pPr>
      <w:r>
        <w:t>Vlada podpira izvajanje letalske obrambe pred točo tudi v letih 2026 in 2027</w:t>
      </w:r>
    </w:p>
    <w:p w14:paraId="234CD79B" w14:textId="77777777" w:rsidR="005C6DFB" w:rsidRDefault="005C6DFB" w:rsidP="005C6DFB">
      <w:r>
        <w:t xml:space="preserve">Vlada se je seznanila z Informacijo o izvajanju letalske obrambe pred točo s posipanjem </w:t>
      </w:r>
      <w:proofErr w:type="spellStart"/>
      <w:r>
        <w:t>točonosnih</w:t>
      </w:r>
      <w:proofErr w:type="spellEnd"/>
      <w:r>
        <w:t xml:space="preserve"> oblakov s srebrovim jodidom na območju severovzhodne Slovenije v letih 2024 in 2025. Tovrstno obrambo podpira tudi v letih 2026 in 2027. </w:t>
      </w:r>
    </w:p>
    <w:p w14:paraId="55F821BC" w14:textId="77777777" w:rsidR="005C6DFB" w:rsidRDefault="005C6DFB" w:rsidP="005C6DFB"/>
    <w:p w14:paraId="2B330DA1" w14:textId="77777777" w:rsidR="005C6DFB" w:rsidRDefault="005C6DFB" w:rsidP="005C6DFB">
      <w:r>
        <w:t xml:space="preserve">Sredstva za sofinanciranje izvajanja letalske obrambe pred točo na območju severovzhodne Slovenije se zagotovijo iz proračuna, če je v izvajanje letalske obrambe pred točo vključena vsaj polovica občin z branjenega območja. To zajema vseh 27 občin v statistični </w:t>
      </w:r>
      <w:proofErr w:type="gramStart"/>
      <w:r>
        <w:t>regiji</w:t>
      </w:r>
      <w:proofErr w:type="gramEnd"/>
      <w:r>
        <w:t xml:space="preserve"> Pomurje, vseh 41 občin v statistični regiji Podravje ter dodatno občine Slovenske Konjice, Zreče in Podvelka. Celotno območje tako obsega 71 občin in meri 3.775,6 kvadratnih kilometrov.</w:t>
      </w:r>
    </w:p>
    <w:p w14:paraId="609E9548" w14:textId="77777777" w:rsidR="005C6DFB" w:rsidRDefault="005C6DFB" w:rsidP="005C6DFB"/>
    <w:p w14:paraId="3ED1C30C" w14:textId="77777777" w:rsidR="005C6DFB" w:rsidRDefault="005C6DFB" w:rsidP="005C6DFB">
      <w:r>
        <w:t xml:space="preserve">Ministrstvo za kmetijstvo, gozdarstvo in prehrano prispeva do 35 odstotkov sredstev za izvedbo priložnostnega skupnega javnega naročila za izbiro izvajalca letalske obrambe pred točo, preostali del sredstev pa zagotovijo vključene občine. </w:t>
      </w:r>
    </w:p>
    <w:p w14:paraId="4024B866" w14:textId="10347FAD" w:rsidR="00927C04" w:rsidRDefault="005C6DFB" w:rsidP="005C6DFB">
      <w:pPr>
        <w:pStyle w:val="Vir"/>
      </w:pPr>
      <w:r>
        <w:t>Vir: Ministrstvo za kmetijstvo, gozdarstvo in prehrano</w:t>
      </w:r>
    </w:p>
    <w:p w14:paraId="27F516DC" w14:textId="7C60291C" w:rsidR="004B5C38" w:rsidRDefault="004B5C38" w:rsidP="004B5C38">
      <w:pPr>
        <w:pStyle w:val="Naslov2"/>
      </w:pPr>
      <w:r>
        <w:t>Vlada o proračunskih prerazporeditvah</w:t>
      </w:r>
    </w:p>
    <w:p w14:paraId="02282186" w14:textId="77777777" w:rsidR="004B5C38" w:rsidRDefault="004B5C38" w:rsidP="004B5C38">
      <w:r>
        <w:t>Vlada je danes potrdila prerazporeditve pravic porabe v letošnjem državnem proračunu.</w:t>
      </w:r>
    </w:p>
    <w:p w14:paraId="589AD15E" w14:textId="77777777" w:rsidR="004B5C38" w:rsidRDefault="004B5C38" w:rsidP="004B5C38"/>
    <w:p w14:paraId="465EF79F" w14:textId="77777777" w:rsidR="004B5C38" w:rsidRDefault="004B5C38" w:rsidP="004B5C38">
      <w:r>
        <w:t>Ministrstvo za visoko šolstvo, znanost in inovacije bo prerazporedilo sredstva znotraj svojega finančnega načrta v višini štirih milijonov evrov. Sredstva se zagotavljajo za začetek in izvajanje že razpisanih nacionalnih in mednarodnih raziskovalnih projektov.</w:t>
      </w:r>
    </w:p>
    <w:p w14:paraId="444E72A4" w14:textId="77777777" w:rsidR="004B5C38" w:rsidRDefault="004B5C38" w:rsidP="004B5C38"/>
    <w:p w14:paraId="1090DC4A" w14:textId="77777777" w:rsidR="004B5C38" w:rsidRDefault="004B5C38" w:rsidP="004B5C38">
      <w:r>
        <w:t>Policija bo znotraj svojega finančnega načrta prerazporedila pravice porabe v višini 647.209 evrov za kritje stroškov davka na dodano vrednost v okviru izvajanja Načrta za okrevanje in odpornost za leto 2026.</w:t>
      </w:r>
    </w:p>
    <w:p w14:paraId="205FCD24" w14:textId="77777777" w:rsidR="004B5C38" w:rsidRDefault="004B5C38" w:rsidP="004B5C38"/>
    <w:p w14:paraId="5F909259" w14:textId="164D91C8" w:rsidR="00927C04" w:rsidRDefault="004B5C38" w:rsidP="004B5C38">
      <w:r>
        <w:t>Državnemu zboru bomo prerazporedili sredstva splošne proračunske rezervacije v višini 508.465 evrov. Zakon o Državnem zboru med drugim določa, da sredstva, ki jih poslanska skupina ni porabila v preteklem letu, lahko porabi v tekočem letu tako, da se neporabljena sredstva prenesejo v proračun Državnega zbora za tekoče leto.</w:t>
      </w:r>
    </w:p>
    <w:p w14:paraId="1A9135A4" w14:textId="1E079313" w:rsidR="004B5C38" w:rsidRDefault="004B5C38" w:rsidP="004B5C38">
      <w:pPr>
        <w:pStyle w:val="Vir"/>
      </w:pPr>
      <w:r>
        <w:t>Vir: Ministrstvo za finance</w:t>
      </w:r>
    </w:p>
    <w:p w14:paraId="530435BD" w14:textId="46E71494" w:rsidR="004B5C38" w:rsidRDefault="004B5C38" w:rsidP="004B5C38">
      <w:pPr>
        <w:pStyle w:val="Naslov2"/>
      </w:pPr>
      <w:r>
        <w:t>Vlada o odprtju proračunske postavke pri Ministrstvu za naravne vire in prostor</w:t>
      </w:r>
    </w:p>
    <w:p w14:paraId="6A7034A5" w14:textId="77777777" w:rsidR="004B5C38" w:rsidRDefault="004B5C38" w:rsidP="004B5C38">
      <w:r>
        <w:t>Vlada je danes potrdila odprtje nove integralne proračunske postavke pri Ministrstvu za naravne vire in prostor z namenom zagotavljanja sredstev za izvajanje programa odprave posledic škode po neurjih s poplavami in plazovi med 5. in 7. majem 2025.</w:t>
      </w:r>
    </w:p>
    <w:p w14:paraId="6DA0808B" w14:textId="77777777" w:rsidR="004B5C38" w:rsidRDefault="004B5C38" w:rsidP="004B5C38"/>
    <w:p w14:paraId="41705632" w14:textId="77777777" w:rsidR="004B5C38" w:rsidRDefault="004B5C38" w:rsidP="004B5C38">
      <w:r>
        <w:t>Sredstva za pokrivanje obveznosti z nove postavke v višini približno 2,5 milijona evrov se v letu 2026 zagotovijo s prerazporeditvijo pravic porabe znotraj finančnega načrta Ministrstva za naravne vire in prostor.</w:t>
      </w:r>
    </w:p>
    <w:p w14:paraId="0BC69BD8" w14:textId="0768B1D6" w:rsidR="00927C04" w:rsidRDefault="004B5C38" w:rsidP="004B5C38">
      <w:pPr>
        <w:pStyle w:val="Vir"/>
      </w:pPr>
      <w:r>
        <w:t>Vir: Ministrstvo za finance</w:t>
      </w:r>
    </w:p>
    <w:p w14:paraId="4983EACE" w14:textId="3A9EF6E1" w:rsidR="00FA1D6E" w:rsidRDefault="00FA1D6E" w:rsidP="00FA1D6E">
      <w:pPr>
        <w:pStyle w:val="Naslov2"/>
      </w:pPr>
      <w:r>
        <w:t xml:space="preserve">Uvrstitev projekta 2570-26-1002 </w:t>
      </w:r>
      <w:proofErr w:type="gramStart"/>
      <w:r>
        <w:t>Sončna elektrarna</w:t>
      </w:r>
      <w:proofErr w:type="gramEnd"/>
      <w:r>
        <w:t xml:space="preserve"> Zlatoličje Formin</w:t>
      </w:r>
    </w:p>
    <w:p w14:paraId="29CCEF19" w14:textId="77777777" w:rsidR="00FA1D6E" w:rsidRDefault="00FA1D6E" w:rsidP="00FA1D6E">
      <w:r>
        <w:t xml:space="preserve">Vlada je v veljavni Načrt razvojnih programov 2026-2029 uvrstila novi projekt 2570-26-1002 </w:t>
      </w:r>
      <w:proofErr w:type="gramStart"/>
      <w:r>
        <w:t>Sončna elektrarna</w:t>
      </w:r>
      <w:proofErr w:type="gramEnd"/>
      <w:r>
        <w:t xml:space="preserve"> Zlatoličje Formin. </w:t>
      </w:r>
    </w:p>
    <w:p w14:paraId="35FD6481" w14:textId="77777777" w:rsidR="00FA1D6E" w:rsidRDefault="00FA1D6E" w:rsidP="00FA1D6E"/>
    <w:p w14:paraId="55057B35" w14:textId="77777777" w:rsidR="00FA1D6E" w:rsidRDefault="00FA1D6E" w:rsidP="00FA1D6E">
      <w:r>
        <w:t>Cilj projekta je izgradnja sončne elektrarne z inštalirano močjo 21,92</w:t>
      </w:r>
      <w:proofErr w:type="gramStart"/>
      <w:r>
        <w:t xml:space="preserve"> MWh</w:t>
      </w:r>
      <w:proofErr w:type="gramEnd"/>
      <w:r>
        <w:t xml:space="preserve"> in s povprečno proizvodnjo električne energije v ekonomski dobi 24.093 MWh letno. Predvidena je namestitev 37.160 sončnih modulov na območju hidroenergetskih objektov Zlatoličje in Formin.</w:t>
      </w:r>
    </w:p>
    <w:p w14:paraId="4E5491FF" w14:textId="77777777" w:rsidR="00FA1D6E" w:rsidRDefault="00FA1D6E" w:rsidP="00FA1D6E"/>
    <w:p w14:paraId="1D71B323" w14:textId="77777777" w:rsidR="00FA1D6E" w:rsidRDefault="00FA1D6E" w:rsidP="00FA1D6E">
      <w:r>
        <w:t xml:space="preserve">Projekt se izvaja v okviru Sklada za </w:t>
      </w:r>
      <w:proofErr w:type="gramStart"/>
      <w:r>
        <w:t>modernizacijo</w:t>
      </w:r>
      <w:proofErr w:type="gramEnd"/>
      <w:r>
        <w:t>, programa Evropske unije za podporo naložbam v modernizacijo energetskih sistemov v obdobju 2021–2030. Ministrstvo za okolje, podnebje in energijo je kot koordinacijski organ 27. julija 2023 objavilo javni poziv za izbor projektnih predlogov za uvrstitev na indikativni seznam naložb, pri čemer je bil projekt uvrščen na A listo prednostnih projektov.</w:t>
      </w:r>
    </w:p>
    <w:p w14:paraId="2DF214D7" w14:textId="77777777" w:rsidR="00FA1D6E" w:rsidRDefault="00FA1D6E" w:rsidP="00FA1D6E"/>
    <w:p w14:paraId="3B164EC1" w14:textId="230AB237" w:rsidR="00FA1D6E" w:rsidRDefault="00FA1D6E" w:rsidP="00FA1D6E">
      <w:r>
        <w:lastRenderedPageBreak/>
        <w:t xml:space="preserve">Na podlagi povabila k predložitvi vlog za neposredno potrditev projektov v okviru Sheme OVE (sončna in vetrna energija), objavljenega 11. julija 2025 je bil 19. decembra 2025 izdan sklep o dodelitvi nepovratnih sredstev v višini do 8.447.570,05 evra iz Sklada za </w:t>
      </w:r>
      <w:proofErr w:type="gramStart"/>
      <w:r>
        <w:t>modernizacijo</w:t>
      </w:r>
      <w:proofErr w:type="gramEnd"/>
      <w:r>
        <w:t>, pod odložnim pogojem.</w:t>
      </w:r>
    </w:p>
    <w:p w14:paraId="61D80300" w14:textId="77777777" w:rsidR="00FA1D6E" w:rsidRDefault="00FA1D6E" w:rsidP="00FA1D6E"/>
    <w:p w14:paraId="36F7FC61" w14:textId="77777777" w:rsidR="00FA1D6E" w:rsidRDefault="00FA1D6E" w:rsidP="00FA1D6E">
      <w:r>
        <w:t xml:space="preserve">Skupna vrednost projekta znaša 21.687.902,05 evra, od tega 13.240.332,00 evra zagotavlja investitor. Zaključek </w:t>
      </w:r>
      <w:proofErr w:type="gramStart"/>
      <w:r>
        <w:t>investicije</w:t>
      </w:r>
      <w:proofErr w:type="gramEnd"/>
      <w:r>
        <w:t xml:space="preserve"> je predviden februarja 2028, začetek obratovanja pa marca 2028. Datum zaključka financiranja projekta je 31. december 2028.</w:t>
      </w:r>
    </w:p>
    <w:p w14:paraId="6299E5DC" w14:textId="77777777" w:rsidR="00FA1D6E" w:rsidRDefault="00FA1D6E" w:rsidP="00FA1D6E"/>
    <w:p w14:paraId="451413D8" w14:textId="77777777" w:rsidR="00FA1D6E" w:rsidRDefault="00FA1D6E" w:rsidP="00FA1D6E">
      <w:r>
        <w:t>Za projekt so pripravljeni in potrjeni DIIP, PIZ in IP, v teku pa je razpisni postopek za izbor izvajalca.</w:t>
      </w:r>
    </w:p>
    <w:p w14:paraId="32B0D057" w14:textId="2E4A2707" w:rsidR="00927C04" w:rsidRDefault="00FA1D6E" w:rsidP="00FA1D6E">
      <w:pPr>
        <w:pStyle w:val="Vir"/>
      </w:pPr>
      <w:r>
        <w:t>Vir: Ministrstvo za okolje, podnebje in energijo</w:t>
      </w:r>
    </w:p>
    <w:p w14:paraId="277C5FD2" w14:textId="1C0D76AA" w:rsidR="00FA1D6E" w:rsidRDefault="00FA1D6E" w:rsidP="00FA1D6E">
      <w:pPr>
        <w:pStyle w:val="Naslov2"/>
      </w:pPr>
      <w:r>
        <w:t xml:space="preserve">Uvrstitev projekta 2570-26-1001 Sončna elektrarna </w:t>
      </w:r>
      <w:proofErr w:type="gramStart"/>
      <w:r>
        <w:t>Kanalski vrh</w:t>
      </w:r>
      <w:proofErr w:type="gramEnd"/>
    </w:p>
    <w:p w14:paraId="3D4FFC24" w14:textId="77777777" w:rsidR="00FA1D6E" w:rsidRDefault="00FA1D6E" w:rsidP="00FA1D6E">
      <w:r>
        <w:t xml:space="preserve">Vlada je v veljavni Načrt razvojnih programov 2026-2029 uvrstila novi projekt 2570-26-1001 Sončna elektrarna </w:t>
      </w:r>
      <w:proofErr w:type="gramStart"/>
      <w:r>
        <w:t>Kanalski vrh</w:t>
      </w:r>
      <w:proofErr w:type="gramEnd"/>
      <w:r>
        <w:t>, ki omogoča Soškim elektrarnam Nova Gorica možnost dodatnega izkoriščanja naravnih potencialov na področju obnovljivih virov.</w:t>
      </w:r>
    </w:p>
    <w:p w14:paraId="4088CDB1" w14:textId="77777777" w:rsidR="00FA1D6E" w:rsidRDefault="00FA1D6E" w:rsidP="00FA1D6E"/>
    <w:p w14:paraId="5B47C642" w14:textId="77777777" w:rsidR="00FA1D6E" w:rsidRDefault="00FA1D6E" w:rsidP="00FA1D6E">
      <w:r>
        <w:t xml:space="preserve">Projekt investitorju Soške elektrarne Nova Gorica omogoča dodatno izkoriščanje naravnih potencialov na področju obnovljivih virov energije ter uporabo proizvedene sončne energije za potrebe </w:t>
      </w:r>
      <w:proofErr w:type="gramStart"/>
      <w:r>
        <w:t>fleksibilnosti</w:t>
      </w:r>
      <w:proofErr w:type="gramEnd"/>
      <w:r>
        <w:t xml:space="preserve"> proizvodnje in omrežnih storitev v povezavi s črpalno hidroelektrarno Avče in verigo hidroelektrarn na Soči. Skupna inštalirana moč sončne elektrarne </w:t>
      </w:r>
      <w:proofErr w:type="gramStart"/>
      <w:r>
        <w:t>Kanalski vrh</w:t>
      </w:r>
      <w:proofErr w:type="gramEnd"/>
      <w:r>
        <w:t xml:space="preserve"> znaša 7,3 MW, predvidena letna proizvodnja pa 8.013 MWh.</w:t>
      </w:r>
    </w:p>
    <w:p w14:paraId="6B8DAC56" w14:textId="77777777" w:rsidR="00FA1D6E" w:rsidRDefault="00FA1D6E" w:rsidP="00FA1D6E"/>
    <w:p w14:paraId="351961B1" w14:textId="77777777" w:rsidR="00FA1D6E" w:rsidRDefault="00FA1D6E" w:rsidP="00FA1D6E">
      <w:r>
        <w:t xml:space="preserve">Projekt se izvaja v okviru Sklada za </w:t>
      </w:r>
      <w:proofErr w:type="gramStart"/>
      <w:r>
        <w:t>modernizacijo</w:t>
      </w:r>
      <w:proofErr w:type="gramEnd"/>
      <w:r>
        <w:t>. Ministrstvo za okolje, podnebje in energijo je 27. julija 2023 objavilo javni poziv za izbor projektnih predlogov za uvrstitev na indikativni seznam naložb, pri čemer je bil projekt uvrščen na A listo prednostnih projektov. Na podlagi povabila k predložitvi vlog za neposredno potrditev projektov, objavljenega 11. julija 2025, je bil 22. decembra 2025 izdan sklep o sofinanciranju projekta v višini do 5.923.242,16 evra.</w:t>
      </w:r>
    </w:p>
    <w:p w14:paraId="29C5A648" w14:textId="77777777" w:rsidR="00FA1D6E" w:rsidRDefault="00FA1D6E" w:rsidP="00FA1D6E"/>
    <w:p w14:paraId="1E88EFF9" w14:textId="77777777" w:rsidR="00FA1D6E" w:rsidRDefault="00FA1D6E" w:rsidP="00FA1D6E">
      <w:r>
        <w:t>Skupna vrednost projekta znaša 14.144.602,25 evra, od tega 8.221.360,09 evra zagotavlja investitor. Datum konca financiranja projekta je 31. december 2027. Trenutno je v pripravi dokumentacija za javni razpis za dobavo in vgradnjo opreme ter izvedbo gradbenih del.</w:t>
      </w:r>
    </w:p>
    <w:p w14:paraId="51E56AB9" w14:textId="066AF8CE" w:rsidR="00927C04" w:rsidRDefault="00FA1D6E" w:rsidP="00FA1D6E">
      <w:pPr>
        <w:pStyle w:val="Vir"/>
      </w:pPr>
      <w:r>
        <w:t>Vir: Ministrstvo za okolje, podnebje in energijo</w:t>
      </w:r>
    </w:p>
    <w:p w14:paraId="183E1F77" w14:textId="3F5A4A5A" w:rsidR="00164895" w:rsidRDefault="00164895" w:rsidP="00164895">
      <w:pPr>
        <w:pStyle w:val="Naslov2"/>
      </w:pPr>
      <w:r>
        <w:t>Uvrstitev projekta 2570-26-1000 Sončna elektrarna na odlagališču odpadkov Pobrežje</w:t>
      </w:r>
    </w:p>
    <w:p w14:paraId="03695852" w14:textId="77777777" w:rsidR="00164895" w:rsidRDefault="00164895" w:rsidP="00164895">
      <w:r>
        <w:t xml:space="preserve">Vlada je v veljavni Načrt razvojnih programov 2026-2029 uvrstila novi projekt 2570-26-1000 Sončna elektrarna na odlagališču odpadkov Pobrežje. </w:t>
      </w:r>
    </w:p>
    <w:p w14:paraId="7B6DE3A7" w14:textId="77777777" w:rsidR="00164895" w:rsidRDefault="00164895" w:rsidP="00164895"/>
    <w:p w14:paraId="41C381C4" w14:textId="77777777" w:rsidR="00164895" w:rsidRDefault="00164895" w:rsidP="00164895">
      <w:r>
        <w:t>Projekt predvideva izgradnjo sončne elektrarne na zahodnem in osrednjem delu zaprtega odlagališča nenevarnih odpadkov Pobrežje z nazivno močjo do 10</w:t>
      </w:r>
      <w:proofErr w:type="gramStart"/>
      <w:r>
        <w:t xml:space="preserve"> MW</w:t>
      </w:r>
      <w:proofErr w:type="gramEnd"/>
      <w:r>
        <w:t xml:space="preserve">, vključno s pripadajočo tehnično opremo in priključki na elektroenergetsko omrežje. Namen </w:t>
      </w:r>
      <w:proofErr w:type="gramStart"/>
      <w:r>
        <w:t>investicije</w:t>
      </w:r>
      <w:proofErr w:type="gramEnd"/>
      <w:r>
        <w:t xml:space="preserve"> je neposredna prodaja in oddaja električne energije v omrežje ter povečanje proizvodnje električne energije iz obnovljivih virov.</w:t>
      </w:r>
    </w:p>
    <w:p w14:paraId="04561F0A" w14:textId="77777777" w:rsidR="00164895" w:rsidRDefault="00164895" w:rsidP="00164895"/>
    <w:p w14:paraId="76F16625" w14:textId="77777777" w:rsidR="00164895" w:rsidRDefault="00164895" w:rsidP="00164895">
      <w:r>
        <w:t xml:space="preserve">Projekt se izvaja v okviru Sklada za </w:t>
      </w:r>
      <w:proofErr w:type="gramStart"/>
      <w:r>
        <w:t>modernizacijo</w:t>
      </w:r>
      <w:proofErr w:type="gramEnd"/>
      <w:r>
        <w:t xml:space="preserve">. Ministrstvo za okolje, podnebje in energijo je 27. julija 2023 objavilo javni poziv za izbor projektnih predlogov, projekt pa je bil uvrščen na A listo prednostnih projektov. Na podlagi povabila k predložitvi vlog za neposredno potrditev projektov, objavljenega 11. julija 2025, je bil 3. decembra 2025 izdan sklep o sofinanciranju projekta v višini do 3.992.929,03 evra, pod </w:t>
      </w:r>
      <w:proofErr w:type="gramStart"/>
      <w:r>
        <w:t>odložnim</w:t>
      </w:r>
      <w:proofErr w:type="gramEnd"/>
      <w:r>
        <w:t xml:space="preserve"> pogojem.</w:t>
      </w:r>
    </w:p>
    <w:p w14:paraId="25E89D64" w14:textId="77777777" w:rsidR="00164895" w:rsidRDefault="00164895" w:rsidP="00164895"/>
    <w:p w14:paraId="67EADA38" w14:textId="77777777" w:rsidR="00164895" w:rsidRDefault="00164895" w:rsidP="00164895">
      <w:r>
        <w:lastRenderedPageBreak/>
        <w:t xml:space="preserve">Skupna vrednost projekta znaša 9.593.350,22 evra, od tega 5.600.421,19 evra zagotavlja investitor. Datum konca financiranja projekta je 31. december 2027. Za projekt so pripravljeni in potrjeni dokumenti DIIP, PIZ in IP, v teku pa je priprava razpisnega postopka za izvedbo </w:t>
      </w:r>
      <w:proofErr w:type="gramStart"/>
      <w:r>
        <w:t>investicije</w:t>
      </w:r>
      <w:proofErr w:type="gramEnd"/>
      <w:r>
        <w:t>.</w:t>
      </w:r>
    </w:p>
    <w:p w14:paraId="421FB219" w14:textId="37C28ED4" w:rsidR="00927C04" w:rsidRDefault="00164895" w:rsidP="00164895">
      <w:pPr>
        <w:pStyle w:val="Vir"/>
      </w:pPr>
      <w:r>
        <w:t>Vir: Ministrstvo za okolje, podnebje in energijo</w:t>
      </w:r>
    </w:p>
    <w:p w14:paraId="04057234" w14:textId="21C64128" w:rsidR="004969DD" w:rsidRDefault="004969DD" w:rsidP="004969DD">
      <w:pPr>
        <w:pStyle w:val="Naslov2"/>
      </w:pPr>
      <w:r>
        <w:t>Vlada se je seznanila z izvajanjem resolucije o preprečevanju nasilja v družini</w:t>
      </w:r>
    </w:p>
    <w:p w14:paraId="395A9CAE" w14:textId="1A587CAA" w:rsidR="004969DD" w:rsidRDefault="004969DD" w:rsidP="004969DD">
      <w:r>
        <w:t xml:space="preserve">Vlada se je seznanila s poročilom o izvajanju Resolucije o nacionalnem programu preprečevanja nasilja v družini in nasilja nad ženskami za obdobje 2024–2025 in ga pošlje Državnemu zboru. Skladno s 13. členom Zakona o preprečevanju nasilja v družini (ZPND) vlada vsaki dve leti poroča Državnemu zboru o izvajanju Resolucije o nacionalnem programu preprečevanja nasilja v družini in nasilja nad ženskami. V poročilu navede ukrepe in </w:t>
      </w:r>
      <w:proofErr w:type="gramStart"/>
      <w:r>
        <w:t>aktivnosti</w:t>
      </w:r>
      <w:proofErr w:type="gramEnd"/>
      <w:r>
        <w:t>, izvedene v preteklem dveletnem obdobju.</w:t>
      </w:r>
    </w:p>
    <w:p w14:paraId="64399C7F" w14:textId="77777777" w:rsidR="004969DD" w:rsidRDefault="004969DD" w:rsidP="004969DD"/>
    <w:p w14:paraId="391B1AB4" w14:textId="77777777" w:rsidR="004969DD" w:rsidRDefault="004969DD" w:rsidP="004969DD">
      <w:r>
        <w:t xml:space="preserve">Državni zbor je 26. aprila 2024 sprejel Resolucijo o nacionalnem programu preprečevanja nasilja v družini in nasilja nad ženskami 2024–2029. Resolucija se osredotoča na sedem ključnih ciljev, in sicer: </w:t>
      </w:r>
    </w:p>
    <w:p w14:paraId="1CD50296" w14:textId="77777777" w:rsidR="004969DD" w:rsidRDefault="004969DD" w:rsidP="004969DD"/>
    <w:p w14:paraId="0F386706" w14:textId="77777777" w:rsidR="004969DD" w:rsidRDefault="004969DD" w:rsidP="004969DD">
      <w:pPr>
        <w:pStyle w:val="Odstavekseznama"/>
        <w:numPr>
          <w:ilvl w:val="0"/>
          <w:numId w:val="18"/>
        </w:numPr>
      </w:pPr>
      <w:r>
        <w:t>okrepiti socialnovarstvene in druge programe pomoči žrtvam in povzročiteljem nasilja ter jih narediti bolj dostopne;</w:t>
      </w:r>
    </w:p>
    <w:p w14:paraId="5F23F4F7" w14:textId="77777777" w:rsidR="004969DD" w:rsidRDefault="004969DD" w:rsidP="004969DD">
      <w:pPr>
        <w:pStyle w:val="Odstavekseznama"/>
        <w:numPr>
          <w:ilvl w:val="0"/>
          <w:numId w:val="18"/>
        </w:numPr>
      </w:pPr>
      <w:r>
        <w:t xml:space="preserve">izboljšati postopke, obravnavo, položaj in zaščito žrtev nasilja v družini in nasilja nad ženskami; </w:t>
      </w:r>
    </w:p>
    <w:p w14:paraId="7A949B19" w14:textId="77777777" w:rsidR="004969DD" w:rsidRDefault="004969DD" w:rsidP="004969DD">
      <w:pPr>
        <w:pStyle w:val="Odstavekseznama"/>
        <w:numPr>
          <w:ilvl w:val="0"/>
          <w:numId w:val="18"/>
        </w:numPr>
      </w:pPr>
      <w:r>
        <w:t xml:space="preserve">strokovno okrepiti kader, ki se pri svojem delu srečuje s problematiko ter žrtvami nasilja; </w:t>
      </w:r>
    </w:p>
    <w:p w14:paraId="3A74E7D1" w14:textId="77777777" w:rsidR="004969DD" w:rsidRDefault="004969DD" w:rsidP="004969DD">
      <w:pPr>
        <w:pStyle w:val="Odstavekseznama"/>
        <w:numPr>
          <w:ilvl w:val="0"/>
          <w:numId w:val="18"/>
        </w:numPr>
      </w:pPr>
      <w:r>
        <w:t xml:space="preserve">dvigniti ozaveščenost družbe o problematiki nasilja v družini in nad ženskami; </w:t>
      </w:r>
    </w:p>
    <w:p w14:paraId="4E5F5F7F" w14:textId="77777777" w:rsidR="004969DD" w:rsidRDefault="004969DD" w:rsidP="004969DD">
      <w:pPr>
        <w:pStyle w:val="Odstavekseznama"/>
        <w:numPr>
          <w:ilvl w:val="0"/>
          <w:numId w:val="18"/>
        </w:numPr>
      </w:pPr>
      <w:r>
        <w:t>posodobiti predpise na področju preprečevanja nasilja v družini in nasilja nad ženskami;</w:t>
      </w:r>
    </w:p>
    <w:p w14:paraId="6C5E4400" w14:textId="77777777" w:rsidR="004969DD" w:rsidRDefault="004969DD" w:rsidP="004969DD">
      <w:pPr>
        <w:pStyle w:val="Odstavekseznama"/>
        <w:numPr>
          <w:ilvl w:val="0"/>
          <w:numId w:val="18"/>
        </w:numPr>
      </w:pPr>
      <w:r>
        <w:t>okrepiti spremljanje nasilja v družini in nad ženskami ter</w:t>
      </w:r>
    </w:p>
    <w:p w14:paraId="16E39E4A" w14:textId="31D6F682" w:rsidR="004969DD" w:rsidRDefault="004969DD" w:rsidP="004969DD">
      <w:pPr>
        <w:pStyle w:val="Odstavekseznama"/>
        <w:numPr>
          <w:ilvl w:val="0"/>
          <w:numId w:val="18"/>
        </w:numPr>
      </w:pPr>
      <w:r>
        <w:t xml:space="preserve">izboljšati organizacijo področja in okrepiti medinstitucionalno sodelovanje. </w:t>
      </w:r>
    </w:p>
    <w:p w14:paraId="633192E8" w14:textId="77777777" w:rsidR="004969DD" w:rsidRDefault="004969DD" w:rsidP="004969DD"/>
    <w:p w14:paraId="11359373" w14:textId="353C3E5F" w:rsidR="004969DD" w:rsidRDefault="004969DD" w:rsidP="004969DD">
      <w:r>
        <w:t xml:space="preserve">Cilji so skladni s temeljnimi evropskimi smernicami na področju preprečevanja in obravnave nasilja v družini in nasilja nad ženskami. Opredeljeni ukrepi za doseganje ciljev resolucije so del politike preprečevanja in obravnave nasilja v družini in nasilja nad ženskami in so se usklajeno izvajali na vseh resorjih, organih in organizacijah, pristojnih za naslavljanje nasilja v družini in nasilja nad ženskami. </w:t>
      </w:r>
    </w:p>
    <w:p w14:paraId="4F66580D" w14:textId="77777777" w:rsidR="004969DD" w:rsidRDefault="004969DD" w:rsidP="004969DD"/>
    <w:p w14:paraId="077E591D" w14:textId="244CCA2F" w:rsidR="00927C04" w:rsidRDefault="004969DD" w:rsidP="004969DD">
      <w:r>
        <w:t xml:space="preserve">V obdobju 2024 in 2025 so bili </w:t>
      </w:r>
      <w:proofErr w:type="gramStart"/>
      <w:r>
        <w:t>realizirani</w:t>
      </w:r>
      <w:proofErr w:type="gramEnd"/>
      <w:r>
        <w:t xml:space="preserve"> ukrepi pri vseh sedmih ciljih. Od skupno 112 ukrepov iz resolucije je bilo od maja 2024 do decembra 2025 </w:t>
      </w:r>
      <w:proofErr w:type="gramStart"/>
      <w:r>
        <w:t>realiziranih</w:t>
      </w:r>
      <w:proofErr w:type="gramEnd"/>
      <w:r>
        <w:t xml:space="preserve"> 34 ukrepov. Poročilo o izvajanju Resolucije za obdobje 2024-2025 tabelarično prikazuje </w:t>
      </w:r>
      <w:proofErr w:type="gramStart"/>
      <w:r>
        <w:t>realizacijo</w:t>
      </w:r>
      <w:proofErr w:type="gramEnd"/>
      <w:r>
        <w:t xml:space="preserve">. Pri vsakem ukrepu so opredeljeni </w:t>
      </w:r>
      <w:proofErr w:type="gramStart"/>
      <w:r>
        <w:t>sledeči</w:t>
      </w:r>
      <w:proofErr w:type="gramEnd"/>
      <w:r>
        <w:t xml:space="preserve"> elementi: kazalniki, nosilci ukrepa ter leto realizacije. Ostali ukrepi iz resolucije bodo izvedeni do konca leta 2029.</w:t>
      </w:r>
    </w:p>
    <w:p w14:paraId="1F1F83E3" w14:textId="5F34D244" w:rsidR="004969DD" w:rsidRDefault="004969DD" w:rsidP="004969DD">
      <w:pPr>
        <w:pStyle w:val="Vir"/>
      </w:pPr>
      <w:r>
        <w:t>Vir: Ministrstvo za delo, družino, socialne zadeve in enake možnosti</w:t>
      </w:r>
    </w:p>
    <w:p w14:paraId="53A5F0EB" w14:textId="76A3827F" w:rsidR="005F7476" w:rsidRDefault="005F7476" w:rsidP="005F7476">
      <w:pPr>
        <w:pStyle w:val="Naslov2"/>
      </w:pPr>
      <w:r>
        <w:t xml:space="preserve">Odgovor na uradni opomin Evropske komisije glede </w:t>
      </w:r>
      <w:proofErr w:type="gramStart"/>
      <w:r>
        <w:t>direktive</w:t>
      </w:r>
      <w:proofErr w:type="gramEnd"/>
      <w:r>
        <w:t xml:space="preserve"> o orožju</w:t>
      </w:r>
    </w:p>
    <w:p w14:paraId="5BFDD822" w14:textId="77777777" w:rsidR="005F7476" w:rsidRDefault="005F7476" w:rsidP="005F7476">
      <w:r>
        <w:t xml:space="preserve">Vlada Republike Slovenije je sprejela odgovor Republike Slovenije v predsodnem postopku na uradni opomin Evropske komisije, št. C(2025)7914 </w:t>
      </w:r>
      <w:proofErr w:type="spellStart"/>
      <w:proofErr w:type="gramStart"/>
      <w:r>
        <w:t>final</w:t>
      </w:r>
      <w:proofErr w:type="spellEnd"/>
      <w:proofErr w:type="gramEnd"/>
      <w:r>
        <w:t xml:space="preserve"> z dne 11. 12. 2025, zaradi neustreznega prenosa Direktive (EU) 2021/555 Evropskega parlamenta in Sveta z dne 24. marca 2021 o nadzoru nabave in posedovanja orožja (kodificirano besedilo) v pravni red Republike Slovenije.</w:t>
      </w:r>
    </w:p>
    <w:p w14:paraId="3459895D" w14:textId="77777777" w:rsidR="005F7476" w:rsidRDefault="005F7476" w:rsidP="005F7476"/>
    <w:p w14:paraId="69F775AC" w14:textId="77777777" w:rsidR="005F7476" w:rsidRDefault="005F7476" w:rsidP="005F7476">
      <w:r>
        <w:t xml:space="preserve">Evropska komisija v uradnem opominu Republiki Sloveniji očita, da ni izpolnila svojih obveznosti iz prvega odstavka 1. člena, prvega, četrtega in petega odstavka 4. člena, tretjega odstavka 6. člena, 7. člena, drugega in tretjega odstavka 9. člena, prvega odstavka 12. člena, prvega in drugega odstavka 13. člena, tretjega odstavka 16. člena ter II. in III. dela Priloge I k </w:t>
      </w:r>
      <w:proofErr w:type="gramStart"/>
      <w:r>
        <w:t>Direktivi</w:t>
      </w:r>
      <w:proofErr w:type="gramEnd"/>
      <w:r>
        <w:t xml:space="preserve"> (EU) 2021/555.</w:t>
      </w:r>
    </w:p>
    <w:p w14:paraId="556A2CDD" w14:textId="77777777" w:rsidR="005F7476" w:rsidRDefault="005F7476" w:rsidP="005F7476"/>
    <w:p w14:paraId="6547EAE8" w14:textId="77777777" w:rsidR="005F7476" w:rsidRDefault="005F7476" w:rsidP="005F7476">
      <w:r>
        <w:t>V odgovoru pojasnjujemo, da se z ugotovitvami Evropske komisije glede neustreznega prenosa nekaterih določb, ki se nanašajo na pojem strelnega orožja in bistvenega sestavnega dela, dostop do evidenc o strelnem orožju in bistvenih sestavnih delov ter nabavo naprav za polnjenje polavtomatskega strelnega orožja, strinjamo in bodo ob naslednji spremembi relevantnih predpisov ugotovljene nepravilnosti odpravljene.</w:t>
      </w:r>
    </w:p>
    <w:p w14:paraId="130BB135" w14:textId="77777777" w:rsidR="005F7476" w:rsidRDefault="005F7476" w:rsidP="005F7476"/>
    <w:p w14:paraId="4299F973" w14:textId="77777777" w:rsidR="005F7476" w:rsidRDefault="005F7476" w:rsidP="005F7476">
      <w:r>
        <w:t>Glede ostalih določb pa se v odgovoru na uradni opomin izraža nestrinjanje z ugotovitvami Evropske komisije in podaja obrazložitev razlogov, zaradi katerih menimo, da so določbe ustrezno prenesene v pravni red Republike Slovenije.</w:t>
      </w:r>
    </w:p>
    <w:p w14:paraId="1B539B14" w14:textId="28037749" w:rsidR="00927C04" w:rsidRDefault="005F7476" w:rsidP="005F7476">
      <w:pPr>
        <w:pStyle w:val="Vir"/>
      </w:pPr>
      <w:r>
        <w:t>Vir: Ministrstvo za notranje zadeve</w:t>
      </w:r>
    </w:p>
    <w:p w14:paraId="1F380625" w14:textId="502DABDD" w:rsidR="00AD4D3D" w:rsidRDefault="00AD4D3D" w:rsidP="00AD4D3D">
      <w:pPr>
        <w:pStyle w:val="Naslov2"/>
      </w:pPr>
      <w:r>
        <w:t xml:space="preserve">Uredba o ratifikaciji Večstranskega sporazuma med pristojnimi organi o </w:t>
      </w:r>
      <w:proofErr w:type="gramStart"/>
      <w:r>
        <w:t>avtomatični</w:t>
      </w:r>
      <w:proofErr w:type="gramEnd"/>
      <w:r>
        <w:t xml:space="preserve"> izmenjavi informacij na podlagi okvira poročanja o kriptosredstvih </w:t>
      </w:r>
    </w:p>
    <w:p w14:paraId="0240C496" w14:textId="77777777" w:rsidR="00AD4D3D" w:rsidRDefault="00AD4D3D" w:rsidP="00AD4D3D">
      <w:r>
        <w:t xml:space="preserve">Vlada Republike Slovenije je izdala Uredbo o ratifikaciji Večstranskega sporazuma med pristojnimi organi o </w:t>
      </w:r>
      <w:proofErr w:type="gramStart"/>
      <w:r>
        <w:t>avtomatični</w:t>
      </w:r>
      <w:proofErr w:type="gramEnd"/>
      <w:r>
        <w:t xml:space="preserve"> izmenjavi informacij na podlagi okvira poročanja o kriptosredstvih, podpisanega v Asuncionu 26. novembra 2024, in jo objavi v Uradnem listu Republike Slovenije.</w:t>
      </w:r>
    </w:p>
    <w:p w14:paraId="09C262F2" w14:textId="77777777" w:rsidR="00AD4D3D" w:rsidRDefault="00AD4D3D" w:rsidP="00AD4D3D"/>
    <w:p w14:paraId="015A9717" w14:textId="77777777" w:rsidR="00AD4D3D" w:rsidRDefault="00AD4D3D" w:rsidP="00AD4D3D">
      <w:r>
        <w:t xml:space="preserve">Na podlagi politične zaveze držav članic OECD, držav skupine G20 in držav članic Globalnega foruma za preglednost in izmenjavo informacij za davčne namene k </w:t>
      </w:r>
      <w:proofErr w:type="gramStart"/>
      <w:r>
        <w:t>avtomatični</w:t>
      </w:r>
      <w:proofErr w:type="gramEnd"/>
      <w:r>
        <w:t xml:space="preserve"> izmenjavi informacij o kriptosredstvih, je bil podpisan večstranski sporazum med pristojnimi organi o avtomatični izmenjavi informacij na podlagi okvira poročanja o kriptosredstvih.</w:t>
      </w:r>
    </w:p>
    <w:p w14:paraId="0B63082B" w14:textId="77777777" w:rsidR="00AD4D3D" w:rsidRDefault="00AD4D3D" w:rsidP="00AD4D3D">
      <w:r>
        <w:t xml:space="preserve"> </w:t>
      </w:r>
    </w:p>
    <w:p w14:paraId="713D1464" w14:textId="77777777" w:rsidR="00AD4D3D" w:rsidRDefault="00AD4D3D" w:rsidP="00AD4D3D">
      <w:r>
        <w:t xml:space="preserve">S sporazumom se zagotavlja izvajanje pravil glede poročanja informacij v zvezi s kriptosredstvi na podlagi domačega poročanja in </w:t>
      </w:r>
      <w:proofErr w:type="gramStart"/>
      <w:r>
        <w:t>avtomatične</w:t>
      </w:r>
      <w:proofErr w:type="gramEnd"/>
      <w:r>
        <w:t xml:space="preserve"> izmenjave informacij v skladu s Konvencijo o medsebojni upravni pomoči pri davčnih zadevah, kot je bila spremenjena s Protokolom o spremembi Konvencije o medsebojni upravni pomoči pri davčnih zadevah.</w:t>
      </w:r>
    </w:p>
    <w:p w14:paraId="4F443CA9" w14:textId="77777777" w:rsidR="00AD4D3D" w:rsidRDefault="00AD4D3D" w:rsidP="00AD4D3D"/>
    <w:p w14:paraId="07D80DC5" w14:textId="77777777" w:rsidR="00AD4D3D" w:rsidRDefault="00AD4D3D" w:rsidP="00AD4D3D">
      <w:proofErr w:type="gramStart"/>
      <w:r>
        <w:t>OECD okvir</w:t>
      </w:r>
      <w:proofErr w:type="gramEnd"/>
      <w:r>
        <w:t xml:space="preserve"> poročanja o kriptosredstvih - CARF, ki je nastal zaradi hitre rasti trga kriptosredstev in na zahtevo skupine G20, ureja standardizirano poročanje o davčno relevantnih informacijah v zvezi s transakcijami s kriptosredstvi za namene avtomatične izmenjave takih informacij z jurisdikcijami rezidentstva davčnih zavezancev na letni ravni.</w:t>
      </w:r>
    </w:p>
    <w:p w14:paraId="0694E10A" w14:textId="77777777" w:rsidR="00AD4D3D" w:rsidRDefault="00AD4D3D" w:rsidP="00AD4D3D"/>
    <w:p w14:paraId="1889DF07" w14:textId="77777777" w:rsidR="00AD4D3D" w:rsidRDefault="00AD4D3D" w:rsidP="00AD4D3D">
      <w:r>
        <w:t xml:space="preserve">Za izvajanje večstranskega sporazuma skrbi ministrstvo, pristojno za finance. </w:t>
      </w:r>
    </w:p>
    <w:p w14:paraId="6A946FC9" w14:textId="77777777" w:rsidR="00AD4D3D" w:rsidRDefault="00AD4D3D" w:rsidP="00AD4D3D">
      <w:pPr>
        <w:pStyle w:val="Vir"/>
      </w:pPr>
      <w:r>
        <w:t>Vir: Ministrstvo za zunanje in evropske zadeve Republike Slovenije</w:t>
      </w:r>
    </w:p>
    <w:p w14:paraId="69727B4A" w14:textId="5FD24CAB" w:rsidR="00945A32" w:rsidRDefault="00945A32" w:rsidP="00945A32">
      <w:pPr>
        <w:pStyle w:val="Naslov2"/>
      </w:pPr>
      <w:r>
        <w:t xml:space="preserve">Uredba o ratifikaciji </w:t>
      </w:r>
      <w:r>
        <w:t>d</w:t>
      </w:r>
      <w:r>
        <w:t xml:space="preserve">odatka k </w:t>
      </w:r>
      <w:r>
        <w:t>v</w:t>
      </w:r>
      <w:r>
        <w:t xml:space="preserve">ečstranskemu sporazumu med pristojnimi organi o </w:t>
      </w:r>
      <w:proofErr w:type="gramStart"/>
      <w:r>
        <w:t>avtomatični</w:t>
      </w:r>
      <w:proofErr w:type="gramEnd"/>
      <w:r>
        <w:t xml:space="preserve"> izmenjavi informacij o finančnih računih</w:t>
      </w:r>
    </w:p>
    <w:p w14:paraId="19457EAD" w14:textId="542E9789" w:rsidR="00945A32" w:rsidRDefault="00945A32" w:rsidP="00945A32">
      <w:r>
        <w:t xml:space="preserve">Vlada Republike Slovenije je izdala Uredbo o ratifikaciji </w:t>
      </w:r>
      <w:r>
        <w:t>d</w:t>
      </w:r>
      <w:r>
        <w:t xml:space="preserve">odatka k </w:t>
      </w:r>
      <w:r>
        <w:t>v</w:t>
      </w:r>
      <w:r>
        <w:t xml:space="preserve">ečstranskemu sporazumu med pristojnimi organi o </w:t>
      </w:r>
      <w:proofErr w:type="gramStart"/>
      <w:r>
        <w:t>avtomatični</w:t>
      </w:r>
      <w:proofErr w:type="gramEnd"/>
      <w:r>
        <w:t xml:space="preserve"> izmenjavi informacij o finančnih računih, podpisanega v Asuncionu 26. novembra 2024, in jo objavi v Uradnem listu Republike Slovenije.</w:t>
      </w:r>
    </w:p>
    <w:p w14:paraId="1A198439" w14:textId="77777777" w:rsidR="00945A32" w:rsidRDefault="00945A32" w:rsidP="00945A32"/>
    <w:p w14:paraId="5FF23C39" w14:textId="77777777" w:rsidR="00945A32" w:rsidRDefault="00945A32" w:rsidP="00945A32">
      <w:r>
        <w:t xml:space="preserve">Z dodatkom se zagotavlja izvajanje dopolnjenih pravil za poročanje informacij o finančnih računih in </w:t>
      </w:r>
      <w:proofErr w:type="gramStart"/>
      <w:r>
        <w:t>elektronskemu</w:t>
      </w:r>
      <w:proofErr w:type="gramEnd"/>
      <w:r>
        <w:t xml:space="preserve"> denarju na podlagi domačega poročanja in avtomatične izmenjave informacij v skladu s Konvencijo o medsebojni upravni pomoči pri davčnih zadevah, kot je bila spremenjena s Protokolom o spremembi Konvencije o medsebojni upravni pomoči pri davčnih zadevah.</w:t>
      </w:r>
    </w:p>
    <w:p w14:paraId="6AFD356A" w14:textId="77777777" w:rsidR="00945A32" w:rsidRDefault="00945A32" w:rsidP="00945A32"/>
    <w:p w14:paraId="0EF71421" w14:textId="77777777" w:rsidR="00945A32" w:rsidRDefault="00945A32" w:rsidP="00945A32">
      <w:r>
        <w:t xml:space="preserve">Spremembe enotnega standarda poročanja - CRS, ki ga je OECD prvič objavil leta 2014 in katerega namen je spodbujanje davčne preglednosti v zvezi s finančnimi računi v tujini, širijo obseg </w:t>
      </w:r>
      <w:r>
        <w:lastRenderedPageBreak/>
        <w:t xml:space="preserve">kriptosredstev na nekatere produkte elektronskega denarja in centralnobančne digitalne </w:t>
      </w:r>
      <w:proofErr w:type="gramStart"/>
      <w:r>
        <w:t>valute</w:t>
      </w:r>
      <w:proofErr w:type="gramEnd"/>
      <w:r>
        <w:t>. Narejene so bile tudi spremembe, ki zagotavljajo, da so neposredne naložbe v kriptosredstva prek izvedenih finančnih instrumentov in naložbenih nosilcev zdaj zajete v CRS.</w:t>
      </w:r>
    </w:p>
    <w:p w14:paraId="37CBE9C4" w14:textId="77777777" w:rsidR="00945A32" w:rsidRDefault="00945A32" w:rsidP="00945A32"/>
    <w:p w14:paraId="24D3CB63" w14:textId="12F07061" w:rsidR="00945A32" w:rsidRDefault="00945A32" w:rsidP="00945A32">
      <w:r>
        <w:t xml:space="preserve">Za izvajanje </w:t>
      </w:r>
      <w:r>
        <w:t>d</w:t>
      </w:r>
      <w:r>
        <w:t xml:space="preserve">odatka k </w:t>
      </w:r>
      <w:proofErr w:type="gramStart"/>
      <w:r>
        <w:t>sporazuma</w:t>
      </w:r>
      <w:proofErr w:type="gramEnd"/>
      <w:r>
        <w:t xml:space="preserve"> skrbi ministrstvo, pristojno za finance. </w:t>
      </w:r>
    </w:p>
    <w:p w14:paraId="64A6977D" w14:textId="49D403BC" w:rsidR="00927C04" w:rsidRDefault="00945A32" w:rsidP="00945A32">
      <w:pPr>
        <w:pStyle w:val="Vir"/>
      </w:pPr>
      <w:r>
        <w:t>Vir: Ministrstvo za zunanje in evropske zadeve Republike Slovenije</w:t>
      </w:r>
    </w:p>
    <w:p w14:paraId="232EBBBB" w14:textId="0B626402" w:rsidR="006D294C" w:rsidRDefault="006D294C" w:rsidP="006D294C">
      <w:pPr>
        <w:pStyle w:val="Naslov2"/>
      </w:pPr>
      <w:r>
        <w:t xml:space="preserve">Uredba o ratifikaciji Večstranskega sporazuma med pristojnimi organi o izmenjavi informacij </w:t>
      </w:r>
      <w:proofErr w:type="spellStart"/>
      <w:r>
        <w:t>GloBE</w:t>
      </w:r>
      <w:proofErr w:type="spellEnd"/>
    </w:p>
    <w:p w14:paraId="2A9904BF" w14:textId="77777777" w:rsidR="006D294C" w:rsidRDefault="006D294C" w:rsidP="006D294C">
      <w:r>
        <w:t xml:space="preserve">Vlada Republike Slovenije je izdala Uredbo o ratifikaciji Večstranskega sporazuma med pristojnimi organi o izmenjavi informacij </w:t>
      </w:r>
      <w:proofErr w:type="spellStart"/>
      <w:r>
        <w:t>GloBE</w:t>
      </w:r>
      <w:proofErr w:type="spellEnd"/>
      <w:r>
        <w:t>, podpisanega v Parizu 22. decembra 2025, in jo objavi v Uradnem listu Republike Slovenije.</w:t>
      </w:r>
    </w:p>
    <w:p w14:paraId="4B57E5E2" w14:textId="77777777" w:rsidR="006D294C" w:rsidRDefault="006D294C" w:rsidP="006D294C"/>
    <w:p w14:paraId="061AE86C" w14:textId="77777777" w:rsidR="006D294C" w:rsidRDefault="006D294C" w:rsidP="006D294C">
      <w:r>
        <w:t xml:space="preserve">Na podlagi politične zaveze držav članic OECD, držav skupine G20 in držav članic vključujočega okvira OECD /G20 k izmenjavi informacij </w:t>
      </w:r>
      <w:proofErr w:type="spellStart"/>
      <w:r>
        <w:t>GloBE</w:t>
      </w:r>
      <w:proofErr w:type="spellEnd"/>
      <w:r>
        <w:t xml:space="preserve"> je bil podpisan večstranski sporazum med pristojnimi organi o izmenjavi informacij </w:t>
      </w:r>
      <w:proofErr w:type="spellStart"/>
      <w:r>
        <w:t>GloBE</w:t>
      </w:r>
      <w:proofErr w:type="spellEnd"/>
      <w:r>
        <w:t xml:space="preserve">. </w:t>
      </w:r>
    </w:p>
    <w:p w14:paraId="47FD1DA6" w14:textId="77777777" w:rsidR="006D294C" w:rsidRDefault="006D294C" w:rsidP="006D294C"/>
    <w:p w14:paraId="51531821" w14:textId="38A5B427" w:rsidR="006D294C" w:rsidRDefault="006D294C" w:rsidP="006D294C">
      <w:r>
        <w:t xml:space="preserve">S sporazumom se zagotavlja izvajanje vzorčnih pravil </w:t>
      </w:r>
      <w:proofErr w:type="spellStart"/>
      <w:r>
        <w:t>GloBE</w:t>
      </w:r>
      <w:proofErr w:type="spellEnd"/>
      <w:r>
        <w:t xml:space="preserve"> in poročanja informacij v </w:t>
      </w:r>
      <w:proofErr w:type="spellStart"/>
      <w:r>
        <w:t>GloBE</w:t>
      </w:r>
      <w:proofErr w:type="spellEnd"/>
      <w:r>
        <w:t xml:space="preserve"> na podlagi domačega poročanja in izmenjave informacij v skladu s Konvencijo o medsebojni upravni pomoči pri davčnih zadevah, kot je bila spremenjena s Protokolom o spremembi Konvencije o medsebojni upravni pomoči pri davčnih zadevah.</w:t>
      </w:r>
    </w:p>
    <w:p w14:paraId="1A567F4B" w14:textId="77777777" w:rsidR="006D294C" w:rsidRDefault="006D294C" w:rsidP="006D294C"/>
    <w:p w14:paraId="7BD179DC" w14:textId="54674F35" w:rsidR="006D294C" w:rsidRDefault="006D294C" w:rsidP="006D294C">
      <w:r>
        <w:t xml:space="preserve">Za izvajanje večstranskega sporazuma skrbi ministrstvo, pristojno za finance. </w:t>
      </w:r>
    </w:p>
    <w:p w14:paraId="58393C44" w14:textId="703F8EF1" w:rsidR="00927C04" w:rsidRDefault="006D294C" w:rsidP="006D294C">
      <w:pPr>
        <w:pStyle w:val="Vir"/>
      </w:pPr>
      <w:r>
        <w:t>Vir: Ministrstvo za zunanje in evropske zadeve Republike Slovenije</w:t>
      </w:r>
    </w:p>
    <w:p w14:paraId="1D64E966" w14:textId="30CF1B5D" w:rsidR="00860907" w:rsidRDefault="00860907" w:rsidP="00860907">
      <w:pPr>
        <w:pStyle w:val="Naslov2"/>
      </w:pPr>
      <w:r>
        <w:t xml:space="preserve">Slovenija in Islandija v krepitev sodelovanja na področju intelektualne lastnine  </w:t>
      </w:r>
    </w:p>
    <w:p w14:paraId="087A9E7E" w14:textId="77777777" w:rsidR="00860907" w:rsidRDefault="00860907" w:rsidP="00860907">
      <w:r>
        <w:t xml:space="preserve">Vlada se je seznanila z informacijo o sklenitvi Memoranduma o soglasju o dvostranskem sodelovanju med Uradom Republike Slovenije za intelektualno lastnino (URSIL) in Uradom Islandije za intelektualno lastnino, ki določa nekatere </w:t>
      </w:r>
      <w:proofErr w:type="gramStart"/>
      <w:r>
        <w:t>aktivnosti</w:t>
      </w:r>
      <w:proofErr w:type="gramEnd"/>
      <w:r>
        <w:t xml:space="preserve"> sodelovanja, ki so v skupnem interesu obeh uradov oziroma podpisnikov. Memorandum se bo izvajal v okviru rednih dejavnosti URSIL in zanje niso potrebna dodatna finančna sredstva. </w:t>
      </w:r>
    </w:p>
    <w:p w14:paraId="631F09C9" w14:textId="77777777" w:rsidR="00860907" w:rsidRDefault="00860907" w:rsidP="00860907"/>
    <w:p w14:paraId="38C73ED5" w14:textId="77777777" w:rsidR="00860907" w:rsidRDefault="00860907" w:rsidP="00860907">
      <w:r>
        <w:t xml:space="preserve">Memorandum bosta sklenili direktorica URSIL Karin Žvokelj in generalna direktorica Urada Islandije za intelektualno lastnino </w:t>
      </w:r>
      <w:proofErr w:type="spellStart"/>
      <w:r>
        <w:t>Borghildur</w:t>
      </w:r>
      <w:proofErr w:type="spellEnd"/>
      <w:r>
        <w:t xml:space="preserve"> </w:t>
      </w:r>
      <w:proofErr w:type="spellStart"/>
      <w:r>
        <w:t>Erlingsdóttir</w:t>
      </w:r>
      <w:proofErr w:type="spellEnd"/>
      <w:r>
        <w:t>.</w:t>
      </w:r>
    </w:p>
    <w:p w14:paraId="4EC250E9" w14:textId="77777777" w:rsidR="00860907" w:rsidRDefault="00860907" w:rsidP="00860907"/>
    <w:p w14:paraId="0FA6EB31" w14:textId="77777777" w:rsidR="00860907" w:rsidRDefault="00860907" w:rsidP="00860907">
      <w:r>
        <w:t>Cilj memoranduma je razvoj sodelovanja na področjih intelektualne lastnine, na katerih imata podpisnika skupni interes za enako in obojestransko korist, v skladu z določbami memoranduma in veljavno zakonodajo obeh držav. Sodelovanje med podpisnikoma med drugim vključuje zlasti:</w:t>
      </w:r>
    </w:p>
    <w:p w14:paraId="11996389" w14:textId="77777777" w:rsidR="00860907" w:rsidRDefault="00860907" w:rsidP="00860907"/>
    <w:p w14:paraId="448C431B" w14:textId="153EC8EF" w:rsidR="00860907" w:rsidRDefault="00860907" w:rsidP="00860907">
      <w:pPr>
        <w:pStyle w:val="Odstavekseznama"/>
        <w:numPr>
          <w:ilvl w:val="0"/>
          <w:numId w:val="17"/>
        </w:numPr>
      </w:pPr>
      <w:r>
        <w:t xml:space="preserve">izmenjavo </w:t>
      </w:r>
      <w:proofErr w:type="spellStart"/>
      <w:r>
        <w:t>nezaupnih</w:t>
      </w:r>
      <w:proofErr w:type="spellEnd"/>
      <w:r>
        <w:t xml:space="preserve"> informacij in najboljših praks v zvezi z IL;</w:t>
      </w:r>
    </w:p>
    <w:p w14:paraId="53F72F76" w14:textId="75F722E0" w:rsidR="00860907" w:rsidRDefault="00860907" w:rsidP="00860907">
      <w:pPr>
        <w:pStyle w:val="Odstavekseznama"/>
        <w:numPr>
          <w:ilvl w:val="0"/>
          <w:numId w:val="17"/>
        </w:numPr>
      </w:pPr>
      <w:r>
        <w:t>izmenjavo znanja in izkušenj pri zagotavljanju specializiranih storitev IL;</w:t>
      </w:r>
    </w:p>
    <w:p w14:paraId="4CE494BD" w14:textId="2CB7F336" w:rsidR="00860907" w:rsidRDefault="00860907" w:rsidP="00860907">
      <w:pPr>
        <w:pStyle w:val="Odstavekseznama"/>
        <w:numPr>
          <w:ilvl w:val="0"/>
          <w:numId w:val="17"/>
        </w:numPr>
      </w:pPr>
      <w:r>
        <w:t>razpravo o aktualnih vprašanjih s področja mednarodnega sodelovanja na področju IL in njegovega razvoja;</w:t>
      </w:r>
    </w:p>
    <w:p w14:paraId="782AEC73" w14:textId="097455E7" w:rsidR="00860907" w:rsidRDefault="00860907" w:rsidP="00860907">
      <w:pPr>
        <w:pStyle w:val="Odstavekseznama"/>
        <w:numPr>
          <w:ilvl w:val="0"/>
          <w:numId w:val="17"/>
        </w:numPr>
      </w:pPr>
      <w:r>
        <w:t>izmenjavo znanja o dejavnostih ozaveščanja glede IL, namenjenih končnim uporabnikom sistema IL;</w:t>
      </w:r>
    </w:p>
    <w:p w14:paraId="21BDF728" w14:textId="1A678D82" w:rsidR="00860907" w:rsidRDefault="00860907" w:rsidP="00860907">
      <w:pPr>
        <w:pStyle w:val="Odstavekseznama"/>
        <w:numPr>
          <w:ilvl w:val="0"/>
          <w:numId w:val="17"/>
        </w:numPr>
      </w:pPr>
      <w:r>
        <w:t>izmenjavo znanja in izkušenj glede boja proti ponarejanju, vključno s sodelovanjem med pristojnimi organi, kampanjami za ozaveščanje potrošnikov in drugimi pobudami.</w:t>
      </w:r>
    </w:p>
    <w:p w14:paraId="0FBF8B48" w14:textId="77777777" w:rsidR="00860907" w:rsidRDefault="00860907" w:rsidP="00860907"/>
    <w:p w14:paraId="424F0327" w14:textId="77777777" w:rsidR="00860907" w:rsidRDefault="00860907" w:rsidP="00860907">
      <w:r>
        <w:lastRenderedPageBreak/>
        <w:t>Memorandum ne bo posegal v veljavne predpise in zakonodajo, zaradi njegove sklenitve pa prav tako ne bodo nastale nikakršne obveznosti po mednarodnem pravu. Podpisnika v vseh zadevah v zvezi s tem memorandumom krijeta vsak svoje stroške.</w:t>
      </w:r>
    </w:p>
    <w:p w14:paraId="2BB65BF3" w14:textId="57287E8E" w:rsidR="00927C04" w:rsidRDefault="00860907" w:rsidP="00860907">
      <w:pPr>
        <w:pStyle w:val="Vir"/>
      </w:pPr>
      <w:r>
        <w:t>Vir: Ministrstvo za gospodarstvo, turizem in šport</w:t>
      </w:r>
    </w:p>
    <w:p w14:paraId="521FF350" w14:textId="7E90EE98" w:rsidR="00C56365" w:rsidRDefault="00C56365" w:rsidP="00C56365">
      <w:pPr>
        <w:pStyle w:val="Naslov2"/>
      </w:pPr>
      <w:r>
        <w:t xml:space="preserve">Vlada se je seznanila z informacijo podpisu tehničnega dogovora z obrambnim ministrstvom Švicarske konfederacije o uporabi simulatorja letenja v </w:t>
      </w:r>
      <w:proofErr w:type="spellStart"/>
      <w:r>
        <w:t>Emmenu</w:t>
      </w:r>
      <w:proofErr w:type="spellEnd"/>
      <w:r>
        <w:t xml:space="preserve">                                                                                                                                                                                                                                                    </w:t>
      </w:r>
    </w:p>
    <w:p w14:paraId="0552CC1B" w14:textId="77777777" w:rsidR="00C56365" w:rsidRDefault="00C56365" w:rsidP="00C56365">
      <w:r>
        <w:t xml:space="preserve">Na simulatorju letenja za helikopter Cougar AS 332 L1 v bazi zračnih sil </w:t>
      </w:r>
      <w:proofErr w:type="spellStart"/>
      <w:r>
        <w:t>Emmen</w:t>
      </w:r>
      <w:proofErr w:type="spellEnd"/>
      <w:r>
        <w:t xml:space="preserve"> v Švici že več let potekajo usposabljanja pripadnikov Slovenske vojske (SV), ki se od leta 2023 izvajajo na podlagi krovnega tehničnega dogovora. </w:t>
      </w:r>
      <w:proofErr w:type="gramStart"/>
      <w:r>
        <w:t>Slednji</w:t>
      </w:r>
      <w:proofErr w:type="gramEnd"/>
      <w:r>
        <w:t xml:space="preserve"> vsebuje določbo, da učinkuje do začetka veljavnosti Sporazuma med Vlado Republike Slovenije in Zveznim svetom Švicarske konfederacije o dvostranskem sodelovanju na področju vojaškega usposabljanja, zato je treba skleniti nov krovni tehnični dogovor.</w:t>
      </w:r>
    </w:p>
    <w:p w14:paraId="546CDCA2" w14:textId="77777777" w:rsidR="00C56365" w:rsidRDefault="00C56365" w:rsidP="00C56365"/>
    <w:p w14:paraId="6F590EDC" w14:textId="77777777" w:rsidR="00C56365" w:rsidRDefault="00C56365" w:rsidP="00C56365">
      <w:r>
        <w:t xml:space="preserve">Tehnični dogovor podrobneje opredeljuje medsebojne obveznosti in splošna načela za izvajanje usposabljanj pripadnikov SV na simulatorju, predvsem status sil, </w:t>
      </w:r>
      <w:proofErr w:type="gramStart"/>
      <w:r>
        <w:t>jurisdikcijo</w:t>
      </w:r>
      <w:proofErr w:type="gramEnd"/>
      <w:r>
        <w:t xml:space="preserve"> in disciplinsko odgovornost, nošenje uniforme in orožja, vstopne formalnosti, zdravstvene določbe in podobno.</w:t>
      </w:r>
    </w:p>
    <w:p w14:paraId="469C1039" w14:textId="77777777" w:rsidR="00C56365" w:rsidRDefault="00C56365" w:rsidP="00C56365"/>
    <w:p w14:paraId="6C272FC0" w14:textId="787C5158" w:rsidR="00C56365" w:rsidRDefault="00C56365" w:rsidP="00C56365">
      <w:r>
        <w:t xml:space="preserve">S podpisom tehničnega dogovora bodo vsako leto nastale finančne posledice v višini 134.500,00 </w:t>
      </w:r>
      <w:proofErr w:type="gramStart"/>
      <w:r>
        <w:t>evrov</w:t>
      </w:r>
      <w:proofErr w:type="gramEnd"/>
      <w:r>
        <w:t>. Finančna sredstva so namenjena za plačilo uporabe simulatorja in stroškov napotitve za do 20 pripadnikov SV, ki se bodo usposabljali na simulatorju.</w:t>
      </w:r>
    </w:p>
    <w:p w14:paraId="22017361" w14:textId="365FB8CF" w:rsidR="00927C04" w:rsidRDefault="00C56365" w:rsidP="00C56365">
      <w:pPr>
        <w:pStyle w:val="Vir"/>
      </w:pPr>
      <w:r>
        <w:t>Vir: Ministrstvo za obrambo</w:t>
      </w:r>
    </w:p>
    <w:p w14:paraId="127BC2F1" w14:textId="3719B0AF" w:rsidR="005B215C" w:rsidRDefault="005B215C" w:rsidP="005B215C">
      <w:pPr>
        <w:pStyle w:val="Naslov2"/>
      </w:pPr>
      <w:r>
        <w:t xml:space="preserve">Vlada se je seznanila z Informacijo o nameri pristopa Republike Slovenije v članstvo Medvladne platforme za biotsko raznovrstnost in ekosistemske storitve </w:t>
      </w:r>
    </w:p>
    <w:p w14:paraId="1761A9AF" w14:textId="77777777" w:rsidR="005B215C" w:rsidRDefault="005B215C" w:rsidP="005B215C">
      <w:r>
        <w:t>Medvladna platforma za biotsko raznovrstnost in ekosistemske storitve (</w:t>
      </w:r>
      <w:proofErr w:type="spellStart"/>
      <w:r>
        <w:t>Intergovernmental</w:t>
      </w:r>
      <w:proofErr w:type="spellEnd"/>
      <w:r>
        <w:t xml:space="preserve"> Science-</w:t>
      </w:r>
      <w:proofErr w:type="spellStart"/>
      <w:r>
        <w:t>Policy</w:t>
      </w:r>
      <w:proofErr w:type="spellEnd"/>
      <w:r>
        <w:t xml:space="preserve"> Platform on </w:t>
      </w:r>
      <w:proofErr w:type="spellStart"/>
      <w:r>
        <w:t>Biodiversity</w:t>
      </w:r>
      <w:proofErr w:type="spellEnd"/>
      <w:r>
        <w:t xml:space="preserve"> </w:t>
      </w:r>
      <w:proofErr w:type="gramStart"/>
      <w:r>
        <w:t>and</w:t>
      </w:r>
      <w:proofErr w:type="gramEnd"/>
      <w:r>
        <w:t xml:space="preserve"> </w:t>
      </w:r>
      <w:proofErr w:type="spellStart"/>
      <w:r>
        <w:t>Ecosystem</w:t>
      </w:r>
      <w:proofErr w:type="spellEnd"/>
      <w:r>
        <w:t xml:space="preserve"> Services - IPBES) je mednarodno telo, ki povezuje znanost in politiko. Ustanovljeno je bilo leta 2012 pod okriljem Združenih narodov z namenom krepitve povezav med znanostjo in oblikovanjem politik na področju biotske raznovrstnosti in ekosistemskih storitev. Njegova naloga je zbirati in ocenjevati znanstvena spoznanja o biotski raznovrstnosti, ekosistemih in koristih narave za ljudi ter jih posredovati odločevalcem. </w:t>
      </w:r>
    </w:p>
    <w:p w14:paraId="18B7684E" w14:textId="77777777" w:rsidR="005B215C" w:rsidRDefault="005B215C" w:rsidP="005B215C"/>
    <w:p w14:paraId="4F2947FC" w14:textId="77777777" w:rsidR="005B215C" w:rsidRDefault="005B215C" w:rsidP="005B215C">
      <w:r>
        <w:t xml:space="preserve">IPBES trenutno šteje 152 članic, vključno s 26 državami članicami EU. Slovenija je trenutno še edina </w:t>
      </w:r>
      <w:proofErr w:type="gramStart"/>
      <w:r>
        <w:t>EU država</w:t>
      </w:r>
      <w:proofErr w:type="gramEnd"/>
      <w:r>
        <w:t xml:space="preserve"> brez statusa članice (trenutno ima Slovenija že od leta 2021 status države opazovalke).</w:t>
      </w:r>
    </w:p>
    <w:p w14:paraId="7DBB6B9B" w14:textId="77777777" w:rsidR="005B215C" w:rsidRDefault="005B215C" w:rsidP="005B215C"/>
    <w:p w14:paraId="1A1C0A14" w14:textId="77777777" w:rsidR="005B215C" w:rsidRDefault="005B215C" w:rsidP="005B215C">
      <w:r>
        <w:t>Slovenija je biotsko izjemno raznolika država, z velikim deležem zavarovanih območij, omrežjem Natura 2000 ter pomembnimi ekosistemi, kot so gozdovi, vode in kulturna krajina. Zaradi teh značilnosti ima Slovenija poseben interes za aktivno sodelovanje v mednarodnih procesih, ki obravnavajo ohranjanje narave in trajnostno rabo naravnih virov.</w:t>
      </w:r>
    </w:p>
    <w:p w14:paraId="72EE3062" w14:textId="77777777" w:rsidR="00622F2B" w:rsidRDefault="00622F2B" w:rsidP="005B215C"/>
    <w:p w14:paraId="40BB62FA" w14:textId="2B36DDF8" w:rsidR="005B215C" w:rsidRDefault="005B215C" w:rsidP="005B215C">
      <w:r>
        <w:t>S pristopom k IPBES bi Republika Slovenija pridobila status polnopravne članice, možnost aktivnega sooblikovanja delovnega programa, proračuna in ključnih poročil IPBES. To bi omogočilo boljše zastopanje slovenskih interesov in posebnosti v globalnih ocenah stanja biotske raznovrstnosti.</w:t>
      </w:r>
    </w:p>
    <w:p w14:paraId="6FD0F61F" w14:textId="77777777" w:rsidR="005B215C" w:rsidRDefault="005B215C" w:rsidP="005B215C"/>
    <w:p w14:paraId="3E7EF348" w14:textId="77777777" w:rsidR="005B215C" w:rsidRDefault="005B215C" w:rsidP="005B215C">
      <w:r>
        <w:t xml:space="preserve">Članstvo bo okrepilo tudi položaj slovenske znanosti, saj se bodo povečale možnosti sodelovanja slovenskih strokovnjakov kot avtorjev in vodilnih avtorjev poročil IPBES, ter izboljšal prenos znanstvenih spoznanj v oblikovanje nacionalnih politik. </w:t>
      </w:r>
    </w:p>
    <w:p w14:paraId="2747D9EA" w14:textId="77777777" w:rsidR="005B215C" w:rsidRDefault="005B215C" w:rsidP="005B215C"/>
    <w:p w14:paraId="0A7FA7CC" w14:textId="77777777" w:rsidR="005B215C" w:rsidRDefault="005B215C" w:rsidP="005B215C">
      <w:r>
        <w:lastRenderedPageBreak/>
        <w:t>Pristop Republike Slovenije k IPBES je strokovno utemeljen, strateško smiseln in v skladu z nacionalnimi cilji na področju varstva okolja, trajnostnega razvoja ter krepitve mednarodne vloge Slovenije.</w:t>
      </w:r>
    </w:p>
    <w:p w14:paraId="117AEF98" w14:textId="5E550304" w:rsidR="00927C04" w:rsidRDefault="005B215C" w:rsidP="005B215C">
      <w:pPr>
        <w:pStyle w:val="Vir"/>
      </w:pPr>
      <w:r>
        <w:t>Vir: Ministrstvo za naravne vire in prostor</w:t>
      </w:r>
    </w:p>
    <w:p w14:paraId="2957720D" w14:textId="317C1598" w:rsidR="001106F5" w:rsidRDefault="001106F5" w:rsidP="001106F5">
      <w:pPr>
        <w:pStyle w:val="Naslov2"/>
      </w:pPr>
      <w:r>
        <w:t>Vlada o poslanskem predlogu zakona o uvedbi študentskega samostojnega podjetnika</w:t>
      </w:r>
    </w:p>
    <w:p w14:paraId="32BCF995" w14:textId="77777777" w:rsidR="001106F5" w:rsidRDefault="001106F5" w:rsidP="001106F5">
      <w:r>
        <w:t>Vlada zakona o uvedbi študentskega samostojnega podjetnika, ki ga je Državnemu zboru predložila skupina poslank in poslancev, ne podpira ter meni, da ni primeren za nadaljnjo obravnavo.</w:t>
      </w:r>
    </w:p>
    <w:p w14:paraId="16BFA033" w14:textId="77777777" w:rsidR="001106F5" w:rsidRDefault="001106F5" w:rsidP="001106F5"/>
    <w:p w14:paraId="50717A8D" w14:textId="13C000C7" w:rsidR="001106F5" w:rsidRDefault="001106F5" w:rsidP="001106F5">
      <w:r>
        <w:t>Vlada meni, da predlog zakona ni utemeljen</w:t>
      </w:r>
      <w:r>
        <w:t>,</w:t>
      </w:r>
      <w:r>
        <w:t xml:space="preserve"> in ni v javnem interesu. S predlogom se posega v številne družbene podsisteme z uvajanjem posebne obravnave za določeno ozko skupino fizičnih oseb, ki na trgu opravljajo samostojno dejavnost. S tem bi se te osebe postavilo v neutemeljeno drugačen/neenak položaj </w:t>
      </w:r>
      <w:proofErr w:type="gramStart"/>
      <w:r>
        <w:t>napram</w:t>
      </w:r>
      <w:proofErr w:type="gramEnd"/>
      <w:r>
        <w:t xml:space="preserve"> osebam, ki na istem trgu opravljajo samostojno dejavnost. S tem bi prihajalo do izkrivljanja konkurence, dodatnih </w:t>
      </w:r>
      <w:proofErr w:type="gramStart"/>
      <w:r>
        <w:t>distorzij</w:t>
      </w:r>
      <w:proofErr w:type="gramEnd"/>
      <w:r>
        <w:t xml:space="preserve"> na trgu dela, spodbujanja prikritih zaposlitev, rušenja sistema študentskega dela, povečevanja prekarizacije, poslabšanja položaja študentov z vidika pravic iz dela in socialne varnosti ter rušenja sistema olajšave za vzdrževane družinske člane pri dohodnini. Predlog bi pomenil spodbudo za plačevanje dohodkov iz dela drugih oseb (predvsem s študentom povezanih oseb) prek študentskega samostojnega podjetnika, torej za posojanje statusa študentskega samostojnega podjetnika. Predvsem pa bi predlog negativno vplival na dolžino (podaljšanje) študija ter s tem na kasnejši vstop študentov na trg dela kot diplomantov (</w:t>
      </w:r>
      <w:proofErr w:type="gramStart"/>
      <w:r>
        <w:t>delavcev</w:t>
      </w:r>
      <w:proofErr w:type="gramEnd"/>
      <w:r>
        <w:t xml:space="preserve">, ali fizičnih oseb, ki samostojno opravljajo dejavnost), kar je v nasprotju z interesom gospodarstva, javnih financ kot tudi dolgoročne vzdržnosti socialnih zavarovanj, ki predstavlja še poseben izziv starajoči družbi, kamor sodi tudi Slovenija. </w:t>
      </w:r>
    </w:p>
    <w:p w14:paraId="2C774BA4" w14:textId="77777777" w:rsidR="001106F5" w:rsidRDefault="001106F5" w:rsidP="001106F5"/>
    <w:p w14:paraId="779D92F0" w14:textId="77777777" w:rsidR="001106F5" w:rsidRDefault="001106F5" w:rsidP="001106F5">
      <w:r>
        <w:t xml:space="preserve">Vlada poudarja, da s ciljem, ki ga zasleduje obravnavani predlog (tj. olajšanje možnosti študentov, da ob izpolnjevanju študijskih obveznosti začnejo razvijati tudi poslovno idejo) država že nudi številne oblike podpore mladim podjetnikom, ne glede na njihov status – med drugim programe spodbujanja podjetništva, subvencije za samozaposlitev, podporne inkubatorje in </w:t>
      </w:r>
      <w:proofErr w:type="gramStart"/>
      <w:r>
        <w:t>start-up</w:t>
      </w:r>
      <w:proofErr w:type="gramEnd"/>
      <w:r>
        <w:t xml:space="preserve"> mehanizme. Vlada meni, da bi bilo namesto uvajanja nove izjeme primerneje krepiti obstoječe podporne mehanizme, ki mlade spodbujajo k podjetništvu na enakopravni osnovi oziroma razvijanju idej v času študija pod okriljem izobraževalnih, raziskovalnih in drugih institucij. </w:t>
      </w:r>
    </w:p>
    <w:p w14:paraId="0A3EBEE6" w14:textId="731B0283" w:rsidR="00927C04" w:rsidRDefault="001106F5" w:rsidP="001106F5">
      <w:pPr>
        <w:pStyle w:val="Vir"/>
      </w:pPr>
      <w:r>
        <w:t>Vir: Ministrstvo za finance</w:t>
      </w:r>
    </w:p>
    <w:p w14:paraId="78FACAA5" w14:textId="28986E3C" w:rsidR="003343BF" w:rsidRDefault="003343BF" w:rsidP="003343BF">
      <w:pPr>
        <w:pStyle w:val="Naslov2"/>
      </w:pPr>
      <w:r>
        <w:t xml:space="preserve">Vlada soglaša s predlogi amandmajev k Predlogu zakona o spremembah in dopolnitvah Zakona o rudarstvu </w:t>
      </w:r>
    </w:p>
    <w:p w14:paraId="28082F44" w14:textId="77777777" w:rsidR="003343BF" w:rsidRDefault="003343BF" w:rsidP="003343BF">
      <w:r>
        <w:t xml:space="preserve">Z amandmaji k Predlogu zakona o spremembah in dopolnitvah Zakona o rudarstvu se v največji možni meri naslavljajo ključne pripombe Zakonodajno pravne službe Državnega zbora, s čimer se izboljšuje pravna jasnost in skladnost predloga. </w:t>
      </w:r>
    </w:p>
    <w:p w14:paraId="5D0A0E2E" w14:textId="77777777" w:rsidR="003343BF" w:rsidRDefault="003343BF" w:rsidP="003343BF"/>
    <w:p w14:paraId="65CEE9AE" w14:textId="77777777" w:rsidR="003343BF" w:rsidRDefault="003343BF" w:rsidP="003343BF">
      <w:r>
        <w:t xml:space="preserve">Predlagane spremembe med drugim uvajajo natančnejša pravila glede popolnosti vlog in rokov za njihovo dopolnitev, urejajo dodaten nadzor nad preseganjem dovoljenih količin izkoriščanja mineralnih surovin ter določajo možnost uporabe zaprtih podzemnih rudniških objektov za druge dejavnosti. </w:t>
      </w:r>
    </w:p>
    <w:p w14:paraId="4DE7926D" w14:textId="77777777" w:rsidR="003343BF" w:rsidRDefault="003343BF" w:rsidP="003343BF"/>
    <w:p w14:paraId="47E92DBF" w14:textId="77777777" w:rsidR="003343BF" w:rsidRDefault="003343BF" w:rsidP="003343BF">
      <w:r>
        <w:t xml:space="preserve">S tem se </w:t>
      </w:r>
      <w:proofErr w:type="gramStart"/>
      <w:r>
        <w:t>krepi</w:t>
      </w:r>
      <w:proofErr w:type="gramEnd"/>
      <w:r>
        <w:t xml:space="preserve"> preglednost postopkov, učinkovitost upravljanja in zagotavlja varnejše ter bolj transparentno izvajanje rudarskih praks.</w:t>
      </w:r>
    </w:p>
    <w:p w14:paraId="194D0667" w14:textId="578CE388" w:rsidR="00927C04" w:rsidRDefault="003343BF" w:rsidP="003343BF">
      <w:pPr>
        <w:pStyle w:val="Vir"/>
      </w:pPr>
      <w:r>
        <w:t>Vir: Ministrstvo za naravne vire in prostor</w:t>
      </w:r>
    </w:p>
    <w:p w14:paraId="2F87764C" w14:textId="5EB60E03" w:rsidR="003E122C" w:rsidRDefault="003E122C" w:rsidP="003E122C">
      <w:pPr>
        <w:pStyle w:val="Naslov2"/>
      </w:pPr>
      <w:r>
        <w:lastRenderedPageBreak/>
        <w:t>Vlada imenovala v. d. generalne sekretarke Ministrstva za pravosodje</w:t>
      </w:r>
    </w:p>
    <w:p w14:paraId="67C1CFFA" w14:textId="15C5FF2E" w:rsidR="003E122C" w:rsidRDefault="003E122C" w:rsidP="003E122C">
      <w:r>
        <w:t>Vlada Republike Slovenije je na današnji seji za vršilko dolžnosti generalne sekretarke na Ministrstva za pravosodje imenovala Dragano Stojmenović, ki bo funkcijo nastopila s 5. februarjem 2026.</w:t>
      </w:r>
    </w:p>
    <w:p w14:paraId="57FC001C" w14:textId="11548BC1" w:rsidR="00927C04" w:rsidRDefault="003E122C" w:rsidP="003E122C">
      <w:pPr>
        <w:pStyle w:val="Vir"/>
      </w:pPr>
      <w:r>
        <w:t>Vir: Ministrstvo za pravosodje</w:t>
      </w:r>
    </w:p>
    <w:p w14:paraId="6976B805" w14:textId="7522FB54" w:rsidR="000E0453" w:rsidRDefault="00A31764" w:rsidP="000E0453">
      <w:pPr>
        <w:pStyle w:val="Naslov2"/>
      </w:pPr>
      <w:bookmarkStart w:id="0" w:name="_Hlk221092609"/>
      <w:r>
        <w:t>I</w:t>
      </w:r>
      <w:r w:rsidR="000E0453">
        <w:t>menovanja generalnega direktorja Direktorata za evropske zadeve v Ministrstvu za zunanje in evropske zadeve</w:t>
      </w:r>
    </w:p>
    <w:p w14:paraId="35DFC663" w14:textId="77777777" w:rsidR="000E0453" w:rsidRDefault="000E0453" w:rsidP="000E0453">
      <w:r>
        <w:t xml:space="preserve">Vlada Republike Slovenije je izdala odločbo o imenovanju Iztoka Jarca za generalnega direktorja Direktorata za evropske zadeve v Ministrstvu za zunanje in evropske zadeve za mandatno dobo petih let, in sicer od </w:t>
      </w:r>
      <w:proofErr w:type="gramStart"/>
      <w:r>
        <w:t>12. 2. 2026</w:t>
      </w:r>
      <w:proofErr w:type="gramEnd"/>
      <w:r>
        <w:t xml:space="preserve"> do 11. 2. 2031, z možnostjo ponovnega imenovanja.</w:t>
      </w:r>
    </w:p>
    <w:p w14:paraId="64CA872C" w14:textId="77777777" w:rsidR="000E0453" w:rsidRDefault="000E0453" w:rsidP="000E0453"/>
    <w:p w14:paraId="48B0A090" w14:textId="77777777" w:rsidR="000E0453" w:rsidRDefault="000E0453" w:rsidP="000E0453">
      <w:r>
        <w:t xml:space="preserve">Posebna natečajna komisija je izvedla postopek ugotavljanja strokovne usposobljenosti in primernosti kandidata za položaj generalnega direktorja Direktorata za evropske zadeve v Ministrstvu za zunanje in evropske zadeve in obvestila ministrico za zunanje in evropske zadeve z dopisom z dne </w:t>
      </w:r>
      <w:proofErr w:type="gramStart"/>
      <w:r>
        <w:t>14. 1. 2026</w:t>
      </w:r>
      <w:proofErr w:type="gramEnd"/>
      <w:r>
        <w:t>, da je Iztok Jarc primeren kandidat za ta položaj.</w:t>
      </w:r>
    </w:p>
    <w:p w14:paraId="6E2EA363" w14:textId="77777777" w:rsidR="000E0453" w:rsidRDefault="000E0453" w:rsidP="000E0453">
      <w:pPr>
        <w:pStyle w:val="Vir"/>
      </w:pPr>
      <w:r>
        <w:t>Vir: Ministrstvo za zunanje in evropske zadeve Republike Slovenije</w:t>
      </w:r>
    </w:p>
    <w:bookmarkEnd w:id="0"/>
    <w:p w14:paraId="04CC6662" w14:textId="1EF068F2" w:rsidR="00936908" w:rsidRDefault="00936908" w:rsidP="00936908">
      <w:pPr>
        <w:pStyle w:val="Naslov2"/>
      </w:pPr>
      <w:r>
        <w:t>Vlada ponovno imenovala Ano Le Marechal Kolar za generalno direktorico Direktorata za hrano in ribištvo</w:t>
      </w:r>
    </w:p>
    <w:p w14:paraId="48EF4FEA" w14:textId="77777777" w:rsidR="00936908" w:rsidRDefault="00936908" w:rsidP="00936908">
      <w:r>
        <w:t xml:space="preserve">Vlada je za generalno direktorico Direktorata za hrano in ribištvo na Ministrstvu za kmetijstvo, gozdarstvo in prehrano ponovno imenovala Ano Le Marechal Kolar, in sicer za mandatno dobo pet let, to je od 13. maja 2026 do 12. maja 2031, z možnostjo ponovnega imenovanja. Le Marechal Kolar je bila na ta položaj pred tem imenovana 13. maja 2021. </w:t>
      </w:r>
    </w:p>
    <w:p w14:paraId="2A02CA51" w14:textId="1FD99AC7" w:rsidR="00927C04" w:rsidRDefault="00936908" w:rsidP="00936908">
      <w:pPr>
        <w:pStyle w:val="Vir"/>
      </w:pPr>
      <w:r>
        <w:t>Vir: Ministrstvo za kmetijstvo, gozdarstvo in prehrano</w:t>
      </w:r>
    </w:p>
    <w:p w14:paraId="3E59F4AA" w14:textId="5DD12B30" w:rsidR="000E0453" w:rsidRDefault="000E0453" w:rsidP="000E0453">
      <w:pPr>
        <w:pStyle w:val="Naslov2"/>
      </w:pPr>
      <w:r>
        <w:t>Sklep o spremembi sklepa Vlade Republike Slovenije o imenovanju pogajalskih skupin za pogajanja in usklajevanja o predpisih in kolektivnih pogodbah po posameznih plačnih stebrih</w:t>
      </w:r>
    </w:p>
    <w:p w14:paraId="1309900A" w14:textId="77777777" w:rsidR="000E0453" w:rsidRDefault="000E0453" w:rsidP="000E0453">
      <w:r>
        <w:t>Vlada Republike Slovenije je sprejela sklep, s katerim se v pogajalskih skupinah za pogajanja in usklajevanja o predpisih in kolektivnih pogodbah po posameznih plačnih stebrih spremeni članstvo v dveh pogajalskih skupinah, in sicer:</w:t>
      </w:r>
    </w:p>
    <w:p w14:paraId="70E7965D" w14:textId="77777777" w:rsidR="000E0453" w:rsidRDefault="000E0453" w:rsidP="000E0453"/>
    <w:p w14:paraId="7F80599A" w14:textId="40EA7569" w:rsidR="000E0453" w:rsidRDefault="000E0453" w:rsidP="000E0453">
      <w:pPr>
        <w:pStyle w:val="Odstavekseznama"/>
        <w:numPr>
          <w:ilvl w:val="0"/>
          <w:numId w:val="19"/>
        </w:numPr>
      </w:pPr>
      <w:r>
        <w:t xml:space="preserve">v pogajalski skupini za plačni steber javnih uslužbencev v državnih organih, samoupravnih lokalnih skupnosti, javnih zavodih gasilcev in javnih uslužbencev plačne skupine B v teh uporabnikih proračuna se z mesta člana razreši Andrej Verhovnik Marovšek in namesto njega imenuje Polona Tomec ter z mesta člana razreši mag. Iztok Mori in namesto njega imenuje dr. Jana Bolta Saje; </w:t>
      </w:r>
    </w:p>
    <w:p w14:paraId="79FA77D5" w14:textId="77777777" w:rsidR="000E0453" w:rsidRDefault="000E0453" w:rsidP="000E0453"/>
    <w:p w14:paraId="18D40F35" w14:textId="29FD46C4" w:rsidR="000E0453" w:rsidRDefault="000E0453" w:rsidP="000E0453">
      <w:pPr>
        <w:pStyle w:val="Odstavekseznama"/>
        <w:numPr>
          <w:ilvl w:val="0"/>
          <w:numId w:val="19"/>
        </w:numPr>
      </w:pPr>
      <w:r>
        <w:t>v pogajalski skupini za plačni steber javnih uslužbencev v javnih agencijah, javnih skladih, drugih javnih zavodih, javnih gospodarskih zavodih in javnih uslužbencev plačne skupine B v teh uporabnikih proračuna se z mesta člana razreši Iztok Mori in namesto njega imenuje Miran Košpenda.</w:t>
      </w:r>
    </w:p>
    <w:p w14:paraId="6D58E055" w14:textId="413FAAD9" w:rsidR="00927C04" w:rsidRDefault="000E0453" w:rsidP="000E0453">
      <w:pPr>
        <w:pStyle w:val="Vir"/>
      </w:pPr>
      <w:r>
        <w:t>Vir: Ministrstvo za javno upravo</w:t>
      </w:r>
    </w:p>
    <w:p w14:paraId="114A8B3C" w14:textId="2C09849C" w:rsidR="000E0453" w:rsidRDefault="000E0453" w:rsidP="000E0453">
      <w:pPr>
        <w:pStyle w:val="Naslov2"/>
      </w:pPr>
      <w:r>
        <w:t>Določitev višine denarne Nagrade Republike Slovenije za prostovoljstvo in Priznanja Republike Slovenije za prostovoljstvo za leto 2025</w:t>
      </w:r>
    </w:p>
    <w:p w14:paraId="7BF75881" w14:textId="77777777" w:rsidR="000E0453" w:rsidRDefault="000E0453" w:rsidP="000E0453">
      <w:r>
        <w:lastRenderedPageBreak/>
        <w:t>Vlada Republike Slovenije je sprejela sklep, s katerim je določila višino denarne Nagrade Republike Slovenije za prostovoljstvo za leto 2025 v višini 3.000 evrov in Priznanja Republike Slovenije za prostovoljstvo za leto 2025 v višini 1.000 evrov za vsako posamezno podeljeno priznanje.</w:t>
      </w:r>
    </w:p>
    <w:p w14:paraId="5B0B3A55" w14:textId="77777777" w:rsidR="000E0453" w:rsidRDefault="000E0453" w:rsidP="000E0453"/>
    <w:p w14:paraId="58C9B741" w14:textId="77777777" w:rsidR="000E0453" w:rsidRDefault="000E0453" w:rsidP="000E0453">
      <w:r>
        <w:t>Višino denarne nagrade in priznanja za leto 2025 je s sklepom predlagal Odbor Republike Slovenije za podelitev državnih priznanj na področju prostovoljstva. Predlagana višina denarne nagrade in priznanja je znotraj vrednosti</w:t>
      </w:r>
      <w:proofErr w:type="gramStart"/>
      <w:r>
        <w:t xml:space="preserve"> kot</w:t>
      </w:r>
      <w:proofErr w:type="gramEnd"/>
      <w:r>
        <w:t xml:space="preserve"> ga določa Uredba o nagradi in priznanjih za prostovoljstvo. V skladu z Zakonom o prostovoljstvu se lahko vsako leto zaslužnim prostovoljcem ali prostovoljskim organizacijam podeli največ ena nagrada ter največ šest priznanj.</w:t>
      </w:r>
    </w:p>
    <w:p w14:paraId="7EEE3307" w14:textId="4D88136D" w:rsidR="00927C04" w:rsidRDefault="000E0453" w:rsidP="000E0453">
      <w:pPr>
        <w:pStyle w:val="Vir"/>
      </w:pPr>
      <w:r>
        <w:t>Vir: Ministrstvo za javno upravo</w:t>
      </w:r>
    </w:p>
    <w:p w14:paraId="13289519" w14:textId="77777777" w:rsidR="00927C04" w:rsidRDefault="00927C04" w:rsidP="00927C04"/>
    <w:p w14:paraId="020EEE8C" w14:textId="77777777" w:rsidR="00465543" w:rsidRPr="00465543" w:rsidRDefault="00465543" w:rsidP="00465543"/>
    <w:sectPr w:rsidR="00465543" w:rsidRPr="00465543"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6828" w14:textId="77777777" w:rsidR="0067375D" w:rsidRDefault="0067375D" w:rsidP="00750D01">
      <w:pPr>
        <w:spacing w:line="240" w:lineRule="auto"/>
      </w:pPr>
      <w:r>
        <w:separator/>
      </w:r>
    </w:p>
  </w:endnote>
  <w:endnote w:type="continuationSeparator" w:id="0">
    <w:p w14:paraId="382D8D7B" w14:textId="77777777" w:rsidR="0067375D" w:rsidRDefault="0067375D"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05DB" w14:textId="77777777" w:rsidR="0067375D" w:rsidRDefault="0067375D" w:rsidP="00750D01">
      <w:pPr>
        <w:spacing w:line="240" w:lineRule="auto"/>
      </w:pPr>
      <w:r>
        <w:separator/>
      </w:r>
    </w:p>
  </w:footnote>
  <w:footnote w:type="continuationSeparator" w:id="0">
    <w:p w14:paraId="56A3F1D9" w14:textId="77777777" w:rsidR="0067375D" w:rsidRDefault="0067375D"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E27"/>
    <w:multiLevelType w:val="hybridMultilevel"/>
    <w:tmpl w:val="B5CE16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E323B4"/>
    <w:multiLevelType w:val="hybridMultilevel"/>
    <w:tmpl w:val="AC5615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171EEE"/>
    <w:multiLevelType w:val="hybridMultilevel"/>
    <w:tmpl w:val="6A3E292E"/>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6F3640C"/>
    <w:multiLevelType w:val="hybridMultilevel"/>
    <w:tmpl w:val="2F2E77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F533FC0"/>
    <w:multiLevelType w:val="hybridMultilevel"/>
    <w:tmpl w:val="7AFEF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74B092F"/>
    <w:multiLevelType w:val="hybridMultilevel"/>
    <w:tmpl w:val="DD6405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D134D39"/>
    <w:multiLevelType w:val="hybridMultilevel"/>
    <w:tmpl w:val="D8B680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68271FA"/>
    <w:multiLevelType w:val="hybridMultilevel"/>
    <w:tmpl w:val="DAEC4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8932246"/>
    <w:multiLevelType w:val="hybridMultilevel"/>
    <w:tmpl w:val="6E9018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A981AB6"/>
    <w:multiLevelType w:val="hybridMultilevel"/>
    <w:tmpl w:val="CD027C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176576364">
    <w:abstractNumId w:val="17"/>
  </w:num>
  <w:num w:numId="2" w16cid:durableId="984821814">
    <w:abstractNumId w:val="12"/>
  </w:num>
  <w:num w:numId="3" w16cid:durableId="150218247">
    <w:abstractNumId w:val="1"/>
  </w:num>
  <w:num w:numId="4" w16cid:durableId="1026903286">
    <w:abstractNumId w:val="13"/>
  </w:num>
  <w:num w:numId="5" w16cid:durableId="231817878">
    <w:abstractNumId w:val="6"/>
  </w:num>
  <w:num w:numId="6" w16cid:durableId="2110814889">
    <w:abstractNumId w:val="18"/>
  </w:num>
  <w:num w:numId="7" w16cid:durableId="695153758">
    <w:abstractNumId w:val="7"/>
  </w:num>
  <w:num w:numId="8" w16cid:durableId="853298866">
    <w:abstractNumId w:val="11"/>
  </w:num>
  <w:num w:numId="9" w16cid:durableId="1789348953">
    <w:abstractNumId w:val="5"/>
  </w:num>
  <w:num w:numId="10" w16cid:durableId="1415012333">
    <w:abstractNumId w:val="14"/>
  </w:num>
  <w:num w:numId="11" w16cid:durableId="886650520">
    <w:abstractNumId w:val="8"/>
  </w:num>
  <w:num w:numId="12" w16cid:durableId="312607874">
    <w:abstractNumId w:val="2"/>
  </w:num>
  <w:num w:numId="13" w16cid:durableId="1398894926">
    <w:abstractNumId w:val="0"/>
  </w:num>
  <w:num w:numId="14" w16cid:durableId="857430202">
    <w:abstractNumId w:val="4"/>
  </w:num>
  <w:num w:numId="15" w16cid:durableId="682360922">
    <w:abstractNumId w:val="9"/>
  </w:num>
  <w:num w:numId="16" w16cid:durableId="162476534">
    <w:abstractNumId w:val="15"/>
  </w:num>
  <w:num w:numId="17" w16cid:durableId="319192199">
    <w:abstractNumId w:val="3"/>
  </w:num>
  <w:num w:numId="18" w16cid:durableId="261764048">
    <w:abstractNumId w:val="16"/>
  </w:num>
  <w:num w:numId="19" w16cid:durableId="2437341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04626"/>
    <w:rsid w:val="000318E4"/>
    <w:rsid w:val="00050A56"/>
    <w:rsid w:val="00057D37"/>
    <w:rsid w:val="000610D5"/>
    <w:rsid w:val="00076DF7"/>
    <w:rsid w:val="00081C1F"/>
    <w:rsid w:val="00085D04"/>
    <w:rsid w:val="00087069"/>
    <w:rsid w:val="00087A14"/>
    <w:rsid w:val="00096432"/>
    <w:rsid w:val="00097B85"/>
    <w:rsid w:val="000D5520"/>
    <w:rsid w:val="000E0453"/>
    <w:rsid w:val="000E0657"/>
    <w:rsid w:val="00101665"/>
    <w:rsid w:val="001106F5"/>
    <w:rsid w:val="00110B8F"/>
    <w:rsid w:val="00111A16"/>
    <w:rsid w:val="00113F85"/>
    <w:rsid w:val="0012724F"/>
    <w:rsid w:val="0013016C"/>
    <w:rsid w:val="001357B6"/>
    <w:rsid w:val="00151FF5"/>
    <w:rsid w:val="001602C9"/>
    <w:rsid w:val="00164895"/>
    <w:rsid w:val="0016530C"/>
    <w:rsid w:val="001673A5"/>
    <w:rsid w:val="00173343"/>
    <w:rsid w:val="001A4787"/>
    <w:rsid w:val="001B01DD"/>
    <w:rsid w:val="001B42F9"/>
    <w:rsid w:val="001B48E4"/>
    <w:rsid w:val="001C3560"/>
    <w:rsid w:val="001C5F19"/>
    <w:rsid w:val="001D4277"/>
    <w:rsid w:val="001D69D6"/>
    <w:rsid w:val="001F51BC"/>
    <w:rsid w:val="001F7F63"/>
    <w:rsid w:val="00203CAB"/>
    <w:rsid w:val="00203F5F"/>
    <w:rsid w:val="00215140"/>
    <w:rsid w:val="00220CDD"/>
    <w:rsid w:val="00223A7C"/>
    <w:rsid w:val="0022511A"/>
    <w:rsid w:val="00231021"/>
    <w:rsid w:val="00232921"/>
    <w:rsid w:val="002501CE"/>
    <w:rsid w:val="00284A0B"/>
    <w:rsid w:val="002856E5"/>
    <w:rsid w:val="002C0766"/>
    <w:rsid w:val="002C36A6"/>
    <w:rsid w:val="002D5B5D"/>
    <w:rsid w:val="002E3F96"/>
    <w:rsid w:val="002F3BE7"/>
    <w:rsid w:val="00302938"/>
    <w:rsid w:val="0032428F"/>
    <w:rsid w:val="0033383A"/>
    <w:rsid w:val="003343BF"/>
    <w:rsid w:val="0033519E"/>
    <w:rsid w:val="00346E22"/>
    <w:rsid w:val="00351E1E"/>
    <w:rsid w:val="00357DC0"/>
    <w:rsid w:val="00361255"/>
    <w:rsid w:val="00381018"/>
    <w:rsid w:val="003847C8"/>
    <w:rsid w:val="00385767"/>
    <w:rsid w:val="003877EB"/>
    <w:rsid w:val="00390582"/>
    <w:rsid w:val="00390DF7"/>
    <w:rsid w:val="0039662C"/>
    <w:rsid w:val="003A1F91"/>
    <w:rsid w:val="003A3742"/>
    <w:rsid w:val="003B1257"/>
    <w:rsid w:val="003D64D8"/>
    <w:rsid w:val="003E122C"/>
    <w:rsid w:val="003E17B6"/>
    <w:rsid w:val="003E1B89"/>
    <w:rsid w:val="003E6170"/>
    <w:rsid w:val="003F4CC5"/>
    <w:rsid w:val="00415527"/>
    <w:rsid w:val="00424DF8"/>
    <w:rsid w:val="00432937"/>
    <w:rsid w:val="004403EC"/>
    <w:rsid w:val="00447B57"/>
    <w:rsid w:val="0045565C"/>
    <w:rsid w:val="00455B63"/>
    <w:rsid w:val="00460370"/>
    <w:rsid w:val="00465543"/>
    <w:rsid w:val="00472762"/>
    <w:rsid w:val="004969DD"/>
    <w:rsid w:val="004A00A8"/>
    <w:rsid w:val="004A7BFC"/>
    <w:rsid w:val="004A7CAD"/>
    <w:rsid w:val="004B4753"/>
    <w:rsid w:val="004B5C38"/>
    <w:rsid w:val="004B7346"/>
    <w:rsid w:val="004C3F67"/>
    <w:rsid w:val="004C721D"/>
    <w:rsid w:val="004D5711"/>
    <w:rsid w:val="00514121"/>
    <w:rsid w:val="00522637"/>
    <w:rsid w:val="00527867"/>
    <w:rsid w:val="00527AA5"/>
    <w:rsid w:val="005314D7"/>
    <w:rsid w:val="00544398"/>
    <w:rsid w:val="005458D4"/>
    <w:rsid w:val="005515BD"/>
    <w:rsid w:val="00571BC9"/>
    <w:rsid w:val="005740C1"/>
    <w:rsid w:val="0059143B"/>
    <w:rsid w:val="005948F8"/>
    <w:rsid w:val="005A570D"/>
    <w:rsid w:val="005B1739"/>
    <w:rsid w:val="005B215C"/>
    <w:rsid w:val="005B5886"/>
    <w:rsid w:val="005C1523"/>
    <w:rsid w:val="005C6DFB"/>
    <w:rsid w:val="005E1ABB"/>
    <w:rsid w:val="005F7476"/>
    <w:rsid w:val="00614FFD"/>
    <w:rsid w:val="006205AE"/>
    <w:rsid w:val="00622F2B"/>
    <w:rsid w:val="006247F1"/>
    <w:rsid w:val="00626A98"/>
    <w:rsid w:val="006274BB"/>
    <w:rsid w:val="00634EFA"/>
    <w:rsid w:val="00635D43"/>
    <w:rsid w:val="006367B9"/>
    <w:rsid w:val="00657B15"/>
    <w:rsid w:val="0066249C"/>
    <w:rsid w:val="0067375D"/>
    <w:rsid w:val="00676F03"/>
    <w:rsid w:val="00677662"/>
    <w:rsid w:val="006906AF"/>
    <w:rsid w:val="00693BA3"/>
    <w:rsid w:val="006B03A9"/>
    <w:rsid w:val="006B3F12"/>
    <w:rsid w:val="006C0131"/>
    <w:rsid w:val="006C1B31"/>
    <w:rsid w:val="006C4733"/>
    <w:rsid w:val="006D294C"/>
    <w:rsid w:val="006D36E2"/>
    <w:rsid w:val="006F29FA"/>
    <w:rsid w:val="0070324C"/>
    <w:rsid w:val="0071171B"/>
    <w:rsid w:val="007120FD"/>
    <w:rsid w:val="007130E1"/>
    <w:rsid w:val="00716545"/>
    <w:rsid w:val="00717E59"/>
    <w:rsid w:val="0073796B"/>
    <w:rsid w:val="00750D01"/>
    <w:rsid w:val="007643A0"/>
    <w:rsid w:val="0076517E"/>
    <w:rsid w:val="007669A3"/>
    <w:rsid w:val="00767A18"/>
    <w:rsid w:val="00775843"/>
    <w:rsid w:val="00781345"/>
    <w:rsid w:val="007830B9"/>
    <w:rsid w:val="00784E57"/>
    <w:rsid w:val="0079749C"/>
    <w:rsid w:val="007A4C0B"/>
    <w:rsid w:val="007A6460"/>
    <w:rsid w:val="007B0ADD"/>
    <w:rsid w:val="007B35EE"/>
    <w:rsid w:val="007B515F"/>
    <w:rsid w:val="007C21FB"/>
    <w:rsid w:val="007D15EC"/>
    <w:rsid w:val="007E198F"/>
    <w:rsid w:val="007E3E63"/>
    <w:rsid w:val="007F5D6B"/>
    <w:rsid w:val="007F6EF7"/>
    <w:rsid w:val="008114E9"/>
    <w:rsid w:val="008220A3"/>
    <w:rsid w:val="008244C0"/>
    <w:rsid w:val="008336E7"/>
    <w:rsid w:val="00836E94"/>
    <w:rsid w:val="00847AA2"/>
    <w:rsid w:val="00847AD3"/>
    <w:rsid w:val="00851CB6"/>
    <w:rsid w:val="00851FE1"/>
    <w:rsid w:val="00860907"/>
    <w:rsid w:val="008624E8"/>
    <w:rsid w:val="008A10A5"/>
    <w:rsid w:val="008A16D8"/>
    <w:rsid w:val="008A172A"/>
    <w:rsid w:val="008A4E2F"/>
    <w:rsid w:val="008B6738"/>
    <w:rsid w:val="008B7AF2"/>
    <w:rsid w:val="008C4231"/>
    <w:rsid w:val="008D49BD"/>
    <w:rsid w:val="008D6C89"/>
    <w:rsid w:val="008E28DB"/>
    <w:rsid w:val="00905C96"/>
    <w:rsid w:val="009174DA"/>
    <w:rsid w:val="00927C04"/>
    <w:rsid w:val="00933061"/>
    <w:rsid w:val="00933087"/>
    <w:rsid w:val="00936908"/>
    <w:rsid w:val="00945A32"/>
    <w:rsid w:val="00945B27"/>
    <w:rsid w:val="009540E4"/>
    <w:rsid w:val="00974186"/>
    <w:rsid w:val="00983241"/>
    <w:rsid w:val="009900DE"/>
    <w:rsid w:val="009A41AA"/>
    <w:rsid w:val="009B3707"/>
    <w:rsid w:val="009C2C98"/>
    <w:rsid w:val="009C2D77"/>
    <w:rsid w:val="009C562E"/>
    <w:rsid w:val="009C60EF"/>
    <w:rsid w:val="009D10D1"/>
    <w:rsid w:val="009D7AF2"/>
    <w:rsid w:val="009F37F4"/>
    <w:rsid w:val="009F4DB0"/>
    <w:rsid w:val="00A06971"/>
    <w:rsid w:val="00A231C7"/>
    <w:rsid w:val="00A2471A"/>
    <w:rsid w:val="00A30052"/>
    <w:rsid w:val="00A31764"/>
    <w:rsid w:val="00A34FC4"/>
    <w:rsid w:val="00A445DF"/>
    <w:rsid w:val="00A521C4"/>
    <w:rsid w:val="00A5415F"/>
    <w:rsid w:val="00A60A37"/>
    <w:rsid w:val="00A60FBF"/>
    <w:rsid w:val="00A67305"/>
    <w:rsid w:val="00A726C3"/>
    <w:rsid w:val="00A7412B"/>
    <w:rsid w:val="00A767ED"/>
    <w:rsid w:val="00A775C9"/>
    <w:rsid w:val="00AB1DC2"/>
    <w:rsid w:val="00AC33A6"/>
    <w:rsid w:val="00AD1AFD"/>
    <w:rsid w:val="00AD4D3D"/>
    <w:rsid w:val="00AE6CD6"/>
    <w:rsid w:val="00AF5FC8"/>
    <w:rsid w:val="00B022E5"/>
    <w:rsid w:val="00B058CB"/>
    <w:rsid w:val="00B06EAB"/>
    <w:rsid w:val="00B47F61"/>
    <w:rsid w:val="00B53594"/>
    <w:rsid w:val="00B602CF"/>
    <w:rsid w:val="00B60F58"/>
    <w:rsid w:val="00B70F5B"/>
    <w:rsid w:val="00B753A8"/>
    <w:rsid w:val="00B84862"/>
    <w:rsid w:val="00B903E5"/>
    <w:rsid w:val="00BA743D"/>
    <w:rsid w:val="00BB1111"/>
    <w:rsid w:val="00BB73C0"/>
    <w:rsid w:val="00BE5C43"/>
    <w:rsid w:val="00C3152B"/>
    <w:rsid w:val="00C354D9"/>
    <w:rsid w:val="00C365A8"/>
    <w:rsid w:val="00C458C2"/>
    <w:rsid w:val="00C56365"/>
    <w:rsid w:val="00C666AC"/>
    <w:rsid w:val="00C97F7B"/>
    <w:rsid w:val="00CA5624"/>
    <w:rsid w:val="00CC3123"/>
    <w:rsid w:val="00CC37B3"/>
    <w:rsid w:val="00CE20C0"/>
    <w:rsid w:val="00CE21D5"/>
    <w:rsid w:val="00CE45D7"/>
    <w:rsid w:val="00D10EB4"/>
    <w:rsid w:val="00D14EEC"/>
    <w:rsid w:val="00D22282"/>
    <w:rsid w:val="00D60A92"/>
    <w:rsid w:val="00D64FA4"/>
    <w:rsid w:val="00D650E2"/>
    <w:rsid w:val="00D7373E"/>
    <w:rsid w:val="00D85532"/>
    <w:rsid w:val="00D9208E"/>
    <w:rsid w:val="00D95BC6"/>
    <w:rsid w:val="00D966FF"/>
    <w:rsid w:val="00D97B4B"/>
    <w:rsid w:val="00DA3B4D"/>
    <w:rsid w:val="00DA3BD5"/>
    <w:rsid w:val="00DA5C0D"/>
    <w:rsid w:val="00DA5D7A"/>
    <w:rsid w:val="00DB55BA"/>
    <w:rsid w:val="00DD11E2"/>
    <w:rsid w:val="00DE199D"/>
    <w:rsid w:val="00DE1B54"/>
    <w:rsid w:val="00DE27BA"/>
    <w:rsid w:val="00E02AB3"/>
    <w:rsid w:val="00E05EEE"/>
    <w:rsid w:val="00E14AAE"/>
    <w:rsid w:val="00E20351"/>
    <w:rsid w:val="00E2036F"/>
    <w:rsid w:val="00E3207D"/>
    <w:rsid w:val="00E3507E"/>
    <w:rsid w:val="00E40BD7"/>
    <w:rsid w:val="00E7132A"/>
    <w:rsid w:val="00E83E60"/>
    <w:rsid w:val="00E86C78"/>
    <w:rsid w:val="00E948BD"/>
    <w:rsid w:val="00E96045"/>
    <w:rsid w:val="00EC012E"/>
    <w:rsid w:val="00ED5AAF"/>
    <w:rsid w:val="00EE167A"/>
    <w:rsid w:val="00EE35F8"/>
    <w:rsid w:val="00EF1263"/>
    <w:rsid w:val="00EF7154"/>
    <w:rsid w:val="00F01966"/>
    <w:rsid w:val="00F03257"/>
    <w:rsid w:val="00F20884"/>
    <w:rsid w:val="00F21123"/>
    <w:rsid w:val="00F21419"/>
    <w:rsid w:val="00F21BAD"/>
    <w:rsid w:val="00F23144"/>
    <w:rsid w:val="00F240E9"/>
    <w:rsid w:val="00F31222"/>
    <w:rsid w:val="00F462C7"/>
    <w:rsid w:val="00F56111"/>
    <w:rsid w:val="00F6522C"/>
    <w:rsid w:val="00F92545"/>
    <w:rsid w:val="00F93A56"/>
    <w:rsid w:val="00F9731A"/>
    <w:rsid w:val="00FA1D6E"/>
    <w:rsid w:val="00FA792D"/>
    <w:rsid w:val="00FC2D38"/>
    <w:rsid w:val="00FD6F18"/>
    <w:rsid w:val="00FE5604"/>
    <w:rsid w:val="00FF24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695D88-41D0-4D94-8F20-06CCAE564D2D}">
  <ds:schemaRefs>
    <ds:schemaRef ds:uri="eb582466-1b59-4d29-8755-2962c9164f84"/>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customXml/itemProps3.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4DDD5E-BF2A-42E4-BF83-F29C09BA9F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4295</Words>
  <Characters>24488</Characters>
  <Application>Microsoft Office Word</Application>
  <DocSecurity>0</DocSecurity>
  <Lines>204</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2026-02-04T07:24:00Z</dcterms:created>
  <dcterms:modified xsi:type="dcterms:W3CDTF">2026-02-04T10:11:00Z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