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090AB807" w:rsidR="0073796B" w:rsidRPr="0039662C" w:rsidRDefault="00D74A82" w:rsidP="0039662C">
      <w:pPr>
        <w:pStyle w:val="Naslov1"/>
      </w:pPr>
      <w:r>
        <w:t>186</w:t>
      </w:r>
      <w:r w:rsidR="0073796B" w:rsidRPr="0039662C">
        <w:t xml:space="preserve">. </w:t>
      </w:r>
      <w:r>
        <w:t>red</w:t>
      </w:r>
      <w:r w:rsidR="00F03257">
        <w:t xml:space="preserve">na </w:t>
      </w:r>
      <w:r w:rsidR="0073796B" w:rsidRPr="0039662C">
        <w:t>seja Vlade Republike Slovenije</w:t>
      </w:r>
    </w:p>
    <w:p w14:paraId="27F30B92" w14:textId="787A51E0" w:rsidR="0073796B" w:rsidRDefault="00B67C3C" w:rsidP="008B7AF2">
      <w:pPr>
        <w:pStyle w:val="DatumSZJ"/>
      </w:pPr>
      <w:r>
        <w:t>8</w:t>
      </w:r>
      <w:r w:rsidR="002856E5">
        <w:t>.</w:t>
      </w:r>
      <w:r w:rsidR="008220A3">
        <w:t xml:space="preserve"> </w:t>
      </w:r>
      <w:r w:rsidR="00F03257">
        <w:t>januar</w:t>
      </w:r>
      <w:r w:rsidR="00DA3B4D">
        <w:t xml:space="preserve"> </w:t>
      </w:r>
      <w:r w:rsidR="0073796B" w:rsidRPr="008B7AF2">
        <w:t>202</w:t>
      </w:r>
      <w:r w:rsidR="00F03257">
        <w:t>6</w:t>
      </w:r>
    </w:p>
    <w:p w14:paraId="6BE39F79" w14:textId="73D0B977" w:rsidR="00B67C3C" w:rsidRDefault="00B67C3C" w:rsidP="007E0CC5">
      <w:pPr>
        <w:pStyle w:val="Naslov2"/>
      </w:pPr>
      <w:r>
        <w:t xml:space="preserve">Vlada </w:t>
      </w:r>
      <w:r w:rsidR="007E0CC5">
        <w:t xml:space="preserve">sprejela </w:t>
      </w:r>
      <w:proofErr w:type="gramStart"/>
      <w:r>
        <w:t>predlog Zakona</w:t>
      </w:r>
      <w:proofErr w:type="gramEnd"/>
      <w:r>
        <w:t xml:space="preserve"> o mednarodnih pogodbah in drugih mednarodnih aktih</w:t>
      </w:r>
    </w:p>
    <w:p w14:paraId="20D0E6DC" w14:textId="1B5DC3E0" w:rsidR="007E0CC5" w:rsidRDefault="007E0CC5" w:rsidP="007E0CC5">
      <w:r>
        <w:t xml:space="preserve">Vlada Republike Slovenije je določila besedilo </w:t>
      </w:r>
      <w:proofErr w:type="gramStart"/>
      <w:r>
        <w:t>predloga Zakona</w:t>
      </w:r>
      <w:proofErr w:type="gramEnd"/>
      <w:r>
        <w:t xml:space="preserve"> o mednarodnih pogodbah in drugih mednarodnih aktih. To področje, ki je trenutno urejeno z Zakonom o zunanjih zadevah, je treba zaradi specifičnosti in dinamike razvoja mednarodnih odnosov samostojno urediti in s tem omogočiti njegovo hitrejše prilagajanje novim razmeram. </w:t>
      </w:r>
    </w:p>
    <w:p w14:paraId="09355520" w14:textId="77777777" w:rsidR="007E0CC5" w:rsidRDefault="007E0CC5" w:rsidP="007E0CC5"/>
    <w:p w14:paraId="5E0F5FE0" w14:textId="77777777" w:rsidR="007E0CC5" w:rsidRDefault="007E0CC5" w:rsidP="007E0CC5">
      <w:r>
        <w:t>Pomemben razlog za sprejetje novega zakona je tudi razvoj v sodobnem mednarodnem okolju, kjer v medsebojne odnose zaradi vse večje povezanosti in prepletenosti poleg (klasičnih) subjektov mednarodnega prava (držav in mednarodnih organizacij) vstopa čedalje več drugih subjektov (</w:t>
      </w:r>
      <w:proofErr w:type="gramStart"/>
      <w:r>
        <w:t>regije</w:t>
      </w:r>
      <w:proofErr w:type="gramEnd"/>
      <w:r>
        <w:t>, dežele, pokrajine in podobno).</w:t>
      </w:r>
    </w:p>
    <w:p w14:paraId="0EDDF782" w14:textId="77777777" w:rsidR="007E0CC5" w:rsidRDefault="007E0CC5" w:rsidP="007E0CC5"/>
    <w:p w14:paraId="746CF59D" w14:textId="77777777" w:rsidR="007E0CC5" w:rsidRDefault="007E0CC5" w:rsidP="007E0CC5">
      <w:r>
        <w:t>Vse večja intenzivnost mednarodnih odnosov se odraža tudi v potrebi držav po povečanju učinkovitosti postopka za sklepanje mednarodnih pogodb in v vse večjem številu mednarodnih aktov, ki niso mednarodne pogodbe.</w:t>
      </w:r>
    </w:p>
    <w:p w14:paraId="13177B81" w14:textId="77777777" w:rsidR="007E0CC5" w:rsidRDefault="007E0CC5" w:rsidP="007E0CC5"/>
    <w:p w14:paraId="06E9B3E5" w14:textId="77777777" w:rsidR="007E0CC5" w:rsidRDefault="007E0CC5" w:rsidP="007E0CC5">
      <w:r>
        <w:t xml:space="preserve">Predlog zakona tako glede na obstoječo ureditev učinkoviteje ureja postopek sklepanja in izvajanja mednarodnih pogodb in na novo ureja </w:t>
      </w:r>
      <w:proofErr w:type="gramStart"/>
      <w:r>
        <w:t>enostavne</w:t>
      </w:r>
      <w:proofErr w:type="gramEnd"/>
      <w:r>
        <w:t xml:space="preserve"> sporazume, torej mednarodne akte, ki jih za izvajanje mednarodnih pogodb sklepajo s pogodbami pooblaščeni organi, in tiste, s katerim se podrobneje opredelijo že prevzete obveznosti iz mednarodnih pogodb. Prav tako podrobneje ureja pravno nezavezujoče mednarodne akte, torej tiste, ki ne vzpostavljajo pravic in obveznosti po mednarodnem pravu.</w:t>
      </w:r>
    </w:p>
    <w:p w14:paraId="4467F8EE" w14:textId="7BF2B435" w:rsidR="007E0CC5" w:rsidRDefault="007E0CC5" w:rsidP="007E0CC5">
      <w:pPr>
        <w:pStyle w:val="Vir"/>
      </w:pPr>
      <w:r>
        <w:t>Vir: Ministrstvo za zunanje in evropske zadeve Republike Slovenije</w:t>
      </w:r>
    </w:p>
    <w:p w14:paraId="50F2D643" w14:textId="4E719235" w:rsidR="00D327DE" w:rsidRDefault="00D327DE" w:rsidP="00CE1923">
      <w:pPr>
        <w:pStyle w:val="Naslov2"/>
      </w:pPr>
      <w:r>
        <w:t xml:space="preserve">Vlada določila besedilo </w:t>
      </w:r>
      <w:proofErr w:type="gramStart"/>
      <w:r>
        <w:t>predloga Zakona</w:t>
      </w:r>
      <w:proofErr w:type="gramEnd"/>
      <w:r>
        <w:t xml:space="preserve"> o spremembah in dopolnitvah Zakona o rudarstvu </w:t>
      </w:r>
    </w:p>
    <w:p w14:paraId="46DB26DD" w14:textId="772E2B5F" w:rsidR="00084198" w:rsidRDefault="00084198" w:rsidP="00084198">
      <w:r>
        <w:t>Novela zakona o rudarstvu določa spremembe</w:t>
      </w:r>
      <w:r>
        <w:t>,</w:t>
      </w:r>
      <w:r>
        <w:t xml:space="preserve"> namenjene:</w:t>
      </w:r>
    </w:p>
    <w:p w14:paraId="606EC42D" w14:textId="3E2FFF00" w:rsidR="00084198" w:rsidRDefault="00084198" w:rsidP="00084198">
      <w:pPr>
        <w:pStyle w:val="Odstavekseznama"/>
        <w:numPr>
          <w:ilvl w:val="0"/>
          <w:numId w:val="13"/>
        </w:numPr>
      </w:pPr>
      <w:r>
        <w:t xml:space="preserve">povečanju pravne jasnosti, </w:t>
      </w:r>
    </w:p>
    <w:p w14:paraId="1468CEAA" w14:textId="65A36754" w:rsidR="00084198" w:rsidRDefault="00084198" w:rsidP="00084198">
      <w:pPr>
        <w:pStyle w:val="Odstavekseznama"/>
        <w:numPr>
          <w:ilvl w:val="0"/>
          <w:numId w:val="13"/>
        </w:numPr>
      </w:pPr>
      <w:r>
        <w:t xml:space="preserve">izboljšanju učinkovitosti postopkov </w:t>
      </w:r>
    </w:p>
    <w:p w14:paraId="13CCFAD8" w14:textId="4B7E9BA3" w:rsidR="00084198" w:rsidRDefault="00084198" w:rsidP="00084198">
      <w:pPr>
        <w:pStyle w:val="Odstavekseznama"/>
        <w:numPr>
          <w:ilvl w:val="0"/>
          <w:numId w:val="13"/>
        </w:numPr>
      </w:pPr>
      <w:r>
        <w:t xml:space="preserve">ter zagotavljanju varnega upravljanja rudarske dejavnosti. </w:t>
      </w:r>
    </w:p>
    <w:p w14:paraId="39BFF4F4" w14:textId="77777777" w:rsidR="00084198" w:rsidRDefault="00084198" w:rsidP="00084198"/>
    <w:p w14:paraId="14250F3B" w14:textId="77777777" w:rsidR="00084198" w:rsidRDefault="00084198" w:rsidP="00084198">
      <w:r>
        <w:t>Cilj je vzpostaviti jasnejša pravila za pridobivanje in prenos rudarskih pravic ter zagotoviti pogoje za trajnostno rabo mineralnih surovin.</w:t>
      </w:r>
    </w:p>
    <w:p w14:paraId="6CC6150F" w14:textId="77777777" w:rsidR="00084198" w:rsidRDefault="00084198" w:rsidP="00084198"/>
    <w:p w14:paraId="0622DD5C" w14:textId="77777777" w:rsidR="00084198" w:rsidRDefault="00084198" w:rsidP="00084198">
      <w:r>
        <w:t xml:space="preserve">Novela krepi sodelovanje med državo in lokalnimi skupnostmi pri načrtovanju oskrbe z mineralnimi surovinami, pri čemer se jasno določa sodelovanje občin v okviru izvajanje državne rudarske strategije in sodelovanju pri pripravi strokovnih podlag. </w:t>
      </w:r>
    </w:p>
    <w:p w14:paraId="0292BE1C" w14:textId="77777777" w:rsidR="00084198" w:rsidRDefault="00084198" w:rsidP="00084198"/>
    <w:p w14:paraId="5293E7AD" w14:textId="77777777" w:rsidR="00084198" w:rsidRDefault="00084198" w:rsidP="00084198">
      <w:r>
        <w:t>Jasneje so določena pravila za obravnavo vlog, urejeni pa so tudi roki in pogoji za prenos rudarskih pravic v posebnih primerih.</w:t>
      </w:r>
    </w:p>
    <w:p w14:paraId="0F2BB7D6" w14:textId="77777777" w:rsidR="00084198" w:rsidRDefault="00084198" w:rsidP="00084198"/>
    <w:p w14:paraId="1B384B03" w14:textId="77777777" w:rsidR="00084198" w:rsidRDefault="00084198" w:rsidP="00084198">
      <w:r>
        <w:t xml:space="preserve">Novela omogoča varno rabo zaprtih rudniških objektov za turistične, kulturne in raziskovalne dejavnosti. To bo občinam omogočilo možnost revitalizacije degradiranih območij, investitorjem pravno </w:t>
      </w:r>
      <w:r>
        <w:lastRenderedPageBreak/>
        <w:t>podlago za vlaganja v turistične in kulturne projekte, državi pa trajnostno rabo prostora in večjo dodano vrednost iz obstoječih rudarskih objektov.</w:t>
      </w:r>
    </w:p>
    <w:p w14:paraId="59A26364" w14:textId="77777777" w:rsidR="00084198" w:rsidRDefault="00084198" w:rsidP="00084198"/>
    <w:p w14:paraId="45CBE119" w14:textId="77777777" w:rsidR="00084198" w:rsidRDefault="00084198" w:rsidP="00084198">
      <w:r>
        <w:t>Prehodne določbe omogočajo začasno podaljšanje rudarskih pravic do konca leta 2026 za vloge, o katerih še ni bilo odločeno, s čimer se zagotavlja pravna varnost nosilcev pravic in nemotena oskrba z mineralnimi surovinami.</w:t>
      </w:r>
    </w:p>
    <w:p w14:paraId="1B5F4381" w14:textId="7538E1B7" w:rsidR="00B67C3C" w:rsidRDefault="00D327DE" w:rsidP="00D327DE">
      <w:pPr>
        <w:pStyle w:val="Vir"/>
      </w:pPr>
      <w:r>
        <w:t>Vir: Ministrstvo za naravne vire in prostor</w:t>
      </w:r>
    </w:p>
    <w:p w14:paraId="22512E19" w14:textId="19FC29CF" w:rsidR="007241CE" w:rsidRDefault="007241CE" w:rsidP="007241CE">
      <w:pPr>
        <w:pStyle w:val="Naslov2"/>
      </w:pPr>
      <w:r>
        <w:t>Predlog novele Zakona o urejanju prostora (ZUreP-3D)</w:t>
      </w:r>
    </w:p>
    <w:p w14:paraId="302D43B6" w14:textId="3B2E1D87" w:rsidR="007241CE" w:rsidRDefault="007241CE" w:rsidP="007241CE">
      <w:r>
        <w:t>Ministrstvo za naravne vire in prostor ter Vlada RS sta prisluhnila pobudam Državnega sveta, predstavnikov občin, načrtovalcev in projektantov ter pripravila spremembe in dopolnitve Zakona o urejanju prostora (ZUreP-3D). Novela naslavlja nekatere manjše spremembe, ki bodo poenostavile in pohitrile določene postopke priprave prostorskih aktov. Sprememba omogoča županom, da vodijo več postopkov oziroma dopolnitev občinskih prostorskih načrtov (OPN), pri čemer je ustrezno, da se</w:t>
      </w:r>
      <w:proofErr w:type="gramStart"/>
      <w:r>
        <w:t xml:space="preserve"> jih</w:t>
      </w:r>
      <w:proofErr w:type="gramEnd"/>
      <w:r>
        <w:t xml:space="preserve"> sprejme v zaporedju. </w:t>
      </w:r>
    </w:p>
    <w:p w14:paraId="538B6E43" w14:textId="77777777" w:rsidR="007241CE" w:rsidRDefault="007241CE" w:rsidP="007241CE"/>
    <w:p w14:paraId="770AD8EB" w14:textId="732F9D5B" w:rsidR="007241CE" w:rsidRDefault="007241CE" w:rsidP="007241CE">
      <w:r>
        <w:t>Ministrstvo je prisluhnilo tudi predlogu za poenostavitev odločitve o postopku priprave ciljne spremembe OPN. Kriterij omejitve površine, na kateri se lahko spremeni izvedbena regulacija, se iz obstoječih 5.000 m² spremeni na 10.000 m², težje preverljiv kriterij »30</w:t>
      </w:r>
      <w:proofErr w:type="gramStart"/>
      <w:r>
        <w:t>%</w:t>
      </w:r>
      <w:proofErr w:type="gramEnd"/>
      <w:r>
        <w:t xml:space="preserve"> površine območja obstoječega naselja« pa se umakne. Hkrati lahko občina vodi več postopkov ciljnih sprememb OPN, če gre za načrtovanje gospodarske javne infrastrukture ali družbene infrastrukture.</w:t>
      </w:r>
    </w:p>
    <w:p w14:paraId="76309EDD" w14:textId="77777777" w:rsidR="007241CE" w:rsidRDefault="007241CE" w:rsidP="007241CE"/>
    <w:p w14:paraId="424B68EA" w14:textId="77777777" w:rsidR="007241CE" w:rsidRDefault="007241CE" w:rsidP="007241CE">
      <w:r>
        <w:t xml:space="preserve">Za povečanje </w:t>
      </w:r>
      <w:proofErr w:type="gramStart"/>
      <w:r>
        <w:t>fleksibilnosti</w:t>
      </w:r>
      <w:proofErr w:type="gramEnd"/>
      <w:r>
        <w:t xml:space="preserve"> prostorskega načrtovanja se razširja možnost lokacijske preveritve za doseganje gradbenega namena, s katerim se dopusti individualno odstopanje od prostorskih izvedbenih pogojev, kot so določeni v OPN, tudi na podrobnejši načrt OPPN.</w:t>
      </w:r>
    </w:p>
    <w:p w14:paraId="6204B0BF" w14:textId="77777777" w:rsidR="007241CE" w:rsidRDefault="007241CE" w:rsidP="007241CE"/>
    <w:p w14:paraId="68FD841F" w14:textId="77777777" w:rsidR="007241CE" w:rsidRDefault="007241CE" w:rsidP="007241CE">
      <w:r>
        <w:t xml:space="preserve">Nedvoumno določljivo se zapiše, katera pravila prostorskih izvedbenih aktov bodo geodetske organizacije morale upoštevati pri katastrskih postopkih, s katerimi se </w:t>
      </w:r>
      <w:proofErr w:type="gramStart"/>
      <w:r>
        <w:t>spreminja</w:t>
      </w:r>
      <w:proofErr w:type="gramEnd"/>
      <w:r>
        <w:t xml:space="preserve"> meje parcel, in sicer so to pravila glede upoštevanja velikosti in oblik gradbenih parcel. </w:t>
      </w:r>
    </w:p>
    <w:p w14:paraId="60C29950" w14:textId="77777777" w:rsidR="007241CE" w:rsidRDefault="007241CE" w:rsidP="007241CE"/>
    <w:p w14:paraId="24807C2A" w14:textId="77777777" w:rsidR="007241CE" w:rsidRDefault="007241CE" w:rsidP="007241CE">
      <w:r>
        <w:t xml:space="preserve">Med drugim sprememba ZUreP-3D dovoljuje pritožbo na sklep o uvedbi postopka razlastitve, ki zadrži izvršitev. </w:t>
      </w:r>
    </w:p>
    <w:p w14:paraId="70281286" w14:textId="77777777" w:rsidR="007241CE" w:rsidRDefault="007241CE" w:rsidP="007241CE"/>
    <w:p w14:paraId="4C5B9285" w14:textId="04B499AF" w:rsidR="007241CE" w:rsidRDefault="007241CE" w:rsidP="007241CE">
      <w:r>
        <w:t xml:space="preserve">Prav tako pa se jasno določi, da pri odmeri komunalnega prispevka za obstoječo komunalno opremo pri pomožnih objektih, ki so stavbe, površina gradbene parcele ni merilo, ker je bil komunalni </w:t>
      </w:r>
      <w:proofErr w:type="gramStart"/>
      <w:r>
        <w:t>prispevek</w:t>
      </w:r>
      <w:proofErr w:type="gramEnd"/>
      <w:r>
        <w:t xml:space="preserve"> za gradbeno parcelo plačan že pred gradnjo glavnega objekta. (Za pomožne objekte, ki so </w:t>
      </w:r>
      <w:proofErr w:type="gramStart"/>
      <w:r>
        <w:t>enostavne</w:t>
      </w:r>
      <w:proofErr w:type="gramEnd"/>
      <w:r>
        <w:t xml:space="preserve"> stavbe</w:t>
      </w:r>
      <w:r>
        <w:t>,</w:t>
      </w:r>
      <w:r>
        <w:t xml:space="preserve"> se komunalni prispevek ne odmerja, kar je urejeno že z veljavnim zakonom.)</w:t>
      </w:r>
    </w:p>
    <w:p w14:paraId="7010CB42" w14:textId="77777777" w:rsidR="007241CE" w:rsidRDefault="007241CE" w:rsidP="007241CE"/>
    <w:p w14:paraId="4F52A61A" w14:textId="77777777" w:rsidR="007241CE" w:rsidRDefault="007241CE" w:rsidP="007241CE">
      <w:r>
        <w:t>Rok, v katerem lahko občina odmeri komunalni prispevek zaradi izboljšanja opremljenosti, se iz dveh let podaljša na štiri leta.</w:t>
      </w:r>
    </w:p>
    <w:p w14:paraId="3729435C" w14:textId="12418379" w:rsidR="007241CE" w:rsidRDefault="007241CE" w:rsidP="007241CE">
      <w:pPr>
        <w:pStyle w:val="Vir"/>
      </w:pPr>
      <w:r>
        <w:t>Vir: Ministrstvo za naravne vire in prostor</w:t>
      </w:r>
    </w:p>
    <w:p w14:paraId="01E668A7" w14:textId="1290CE16" w:rsidR="00CE1923" w:rsidRDefault="00CE1923" w:rsidP="00CE1923">
      <w:pPr>
        <w:pStyle w:val="Naslov2"/>
      </w:pPr>
      <w:r>
        <w:t xml:space="preserve">Vlada je določila besedilo </w:t>
      </w:r>
      <w:proofErr w:type="gramStart"/>
      <w:r>
        <w:t>predloga Zakona</w:t>
      </w:r>
      <w:proofErr w:type="gramEnd"/>
      <w:r>
        <w:t xml:space="preserve"> o spremembi Zakona o odgovornosti za jedrsko škodo</w:t>
      </w:r>
    </w:p>
    <w:p w14:paraId="1D48B1F9" w14:textId="77777777" w:rsidR="00CE1923" w:rsidRDefault="00CE1923" w:rsidP="00CE1923">
      <w:r>
        <w:t xml:space="preserve">Zakon o odgovornosti za jedrsko škodo ureja odgovornost za jedrsko škodo, zavarovanje odgovornosti za jedrsko škodo in postopek uveljavljanja odškodnine za jedrsko škodo. </w:t>
      </w:r>
    </w:p>
    <w:p w14:paraId="08E062D8" w14:textId="77777777" w:rsidR="00CE1923" w:rsidRDefault="00CE1923" w:rsidP="00CE1923"/>
    <w:p w14:paraId="233CB397" w14:textId="5AAB597E" w:rsidR="00CE1923" w:rsidRDefault="00CE1923" w:rsidP="00CE1923">
      <w:r>
        <w:t xml:space="preserve">Jedrska škoda na trgu ni </w:t>
      </w:r>
      <w:proofErr w:type="spellStart"/>
      <w:r>
        <w:t>zavarovaljiva</w:t>
      </w:r>
      <w:proofErr w:type="spellEnd"/>
      <w:r>
        <w:t xml:space="preserve">, zato obstaja tako imenovani konvencijski režim. V Pariški konvenciji je jasno določeno, katere so škodne postavke, za katere škode je upravljavec jedrskega </w:t>
      </w:r>
      <w:r>
        <w:lastRenderedPageBreak/>
        <w:t xml:space="preserve">objekta odgovoren in da mora upravljavec svojo odgovornost tudi zavarovati. Ker določene škodne postavke niso pokrite s strani zavarovalnic, za njihova kritja vstopi država. </w:t>
      </w:r>
    </w:p>
    <w:p w14:paraId="6AC26764" w14:textId="77777777" w:rsidR="00CE1923" w:rsidRDefault="00CE1923" w:rsidP="00CE1923"/>
    <w:p w14:paraId="3F0568BB" w14:textId="77777777" w:rsidR="00CE1923" w:rsidRDefault="00CE1923" w:rsidP="00CE1923">
      <w:r>
        <w:t>Predlagane spremembe zakona se nanašajo na spremembo 24. člena, ki določa obdobje veljavnosti jamstva države. Ker razmere na trgu ostajajo enake, torej še vedno ni možno zavarovati vseh škodnih postavk in je še vedno potrebno jamstvo države, je treba veljavnost jamstva v omenjenem členu podaljšati.</w:t>
      </w:r>
    </w:p>
    <w:p w14:paraId="4D8F9C02" w14:textId="77777777" w:rsidR="00CE1923" w:rsidRDefault="00CE1923" w:rsidP="00CE1923"/>
    <w:p w14:paraId="3B33D0DD" w14:textId="49A6B9F3" w:rsidR="00B67C3C" w:rsidRDefault="00CE1923" w:rsidP="00CE1923">
      <w:r>
        <w:t>Vir: Ministrstvo za naravne vire in prostor</w:t>
      </w:r>
      <w:r w:rsidR="00B67C3C">
        <w:tab/>
      </w:r>
    </w:p>
    <w:p w14:paraId="5784F9F7" w14:textId="77777777" w:rsidR="00307C6B" w:rsidRDefault="00307C6B" w:rsidP="00307C6B"/>
    <w:p w14:paraId="313DD77C" w14:textId="2A95FB5F" w:rsidR="008C697A" w:rsidRDefault="008C697A" w:rsidP="008C697A">
      <w:pPr>
        <w:pStyle w:val="Naslov2"/>
      </w:pPr>
      <w:r>
        <w:t xml:space="preserve">Sprejem </w:t>
      </w:r>
      <w:r>
        <w:t xml:space="preserve">predloga novele </w:t>
      </w:r>
      <w:r>
        <w:t>Zakona o cestninjenju</w:t>
      </w:r>
    </w:p>
    <w:p w14:paraId="181695E9" w14:textId="1FD1B20F" w:rsidR="0022488B" w:rsidRDefault="008C697A" w:rsidP="0022488B">
      <w:r>
        <w:t xml:space="preserve">Vlada Republike Slovenije je sprejela </w:t>
      </w:r>
      <w:proofErr w:type="gramStart"/>
      <w:r>
        <w:t xml:space="preserve">predlog </w:t>
      </w:r>
      <w:r>
        <w:t>Zakon</w:t>
      </w:r>
      <w:r>
        <w:t>a</w:t>
      </w:r>
      <w:proofErr w:type="gramEnd"/>
      <w:r>
        <w:t xml:space="preserve"> o spremembah in dopolnitvah Zakona o cestninjenju.</w:t>
      </w:r>
      <w:r w:rsidR="008C1A5B">
        <w:t xml:space="preserve"> </w:t>
      </w:r>
      <w:r w:rsidR="0022488B">
        <w:t xml:space="preserve">Zakon prenaša v slovenski pravni red posamezne določbe t. i. </w:t>
      </w:r>
      <w:proofErr w:type="spellStart"/>
      <w:r w:rsidR="0022488B">
        <w:t>Eurovinjeta</w:t>
      </w:r>
      <w:proofErr w:type="spellEnd"/>
      <w:r w:rsidR="0022488B">
        <w:t xml:space="preserve"> </w:t>
      </w:r>
      <w:proofErr w:type="gramStart"/>
      <w:r w:rsidR="0022488B">
        <w:t>direktive</w:t>
      </w:r>
      <w:proofErr w:type="gramEnd"/>
      <w:r w:rsidR="0022488B">
        <w:t xml:space="preserve"> v delu, ki se nanaša na zaračunavanje pristojbine za zunanje stroške tovornim vozilom zaradi onesnaževanja zraka in hrupa, ki nastaja zaradi prometa.</w:t>
      </w:r>
    </w:p>
    <w:p w14:paraId="3581D78C" w14:textId="77777777" w:rsidR="0022488B" w:rsidRDefault="0022488B" w:rsidP="0022488B"/>
    <w:p w14:paraId="5136EFC6" w14:textId="77777777" w:rsidR="0022488B" w:rsidRDefault="0022488B" w:rsidP="0022488B">
      <w:r>
        <w:t xml:space="preserve">Prihodki iz naslova pristojbine za zunanje stroške se bodo v skladu z </w:t>
      </w:r>
      <w:proofErr w:type="spellStart"/>
      <w:r>
        <w:t>Evrovinjeta</w:t>
      </w:r>
      <w:proofErr w:type="spellEnd"/>
      <w:r>
        <w:t xml:space="preserve"> </w:t>
      </w:r>
      <w:proofErr w:type="gramStart"/>
      <w:r>
        <w:t>direktivo</w:t>
      </w:r>
      <w:proofErr w:type="gramEnd"/>
      <w:r>
        <w:t xml:space="preserve"> uporabili za ukrepe na področju izboljšanja prometnega sistema, zmanjševanja vplivov prometa na okolje ter razvoja prometne infrastrukture. Sredstva za izvajanje omenjenih ukrepov se bodo načrtovala v finančnem načrtu Ministrstva za infrastrukturo tako, da se bo vsako leto 50 odstotkov predvidenih prihodkov iz pristojbine za zunanje stroške namenilo za nepovratne finančne spodbude, do katerih bo upravičen avtoprevozniški sektor (npr. </w:t>
      </w:r>
      <w:r>
        <w:tab/>
        <w:t>izboljšanje vozil glede emisij in porabe energije, optimizacija in digitalizacija logistike, zagotavljanje varnih in varovanih parkirišč, tehnološke rešitve za spremljanje vozil), preostali del predvidenih prihodkov pa se bo namenil za izvajanje ukrepov v pristojnosti upravljavca cestninskih cest, drugih upravljavcev državnih cest (npr. digitalizacija prometnega sistema državnega cestnega omrežja, izboljšanje prometne varnosti) in upravljavcu javne železniške infrastrukture.</w:t>
      </w:r>
    </w:p>
    <w:p w14:paraId="43995792" w14:textId="77777777" w:rsidR="0022488B" w:rsidRDefault="0022488B" w:rsidP="0022488B"/>
    <w:p w14:paraId="331D2A9B" w14:textId="6CC1514E" w:rsidR="008C697A" w:rsidRDefault="0022488B" w:rsidP="0022488B">
      <w:r>
        <w:t xml:space="preserve">Pristojbina za zunanje stroške se zaračunava poleg infrastrukturne pristojbine in jo upravljavec cestninskih cest (DRAS) zaračunava v imenu in za račun Republike Slovenije. Po ocenah </w:t>
      </w:r>
      <w:proofErr w:type="spellStart"/>
      <w:r>
        <w:t>DARSa</w:t>
      </w:r>
      <w:proofErr w:type="spellEnd"/>
      <w:r>
        <w:t xml:space="preserve"> bo iz prihodkov pristojbin za zunanje stroške steklo v državni proračun na letni ravni približno 27,6 </w:t>
      </w:r>
      <w:proofErr w:type="gramStart"/>
      <w:r>
        <w:t>milijonov</w:t>
      </w:r>
      <w:proofErr w:type="gramEnd"/>
      <w:r>
        <w:t xml:space="preserve"> evrov.</w:t>
      </w:r>
    </w:p>
    <w:p w14:paraId="26D527DB" w14:textId="289C93EE" w:rsidR="00307C6B" w:rsidRDefault="008C697A" w:rsidP="008C697A">
      <w:pPr>
        <w:pStyle w:val="Vir"/>
      </w:pPr>
      <w:r>
        <w:t>Vir: Ministrstvo za infrastrukturo</w:t>
      </w:r>
    </w:p>
    <w:p w14:paraId="777BBB95" w14:textId="3DD461EB" w:rsidR="00CB4961" w:rsidRDefault="00CB4961" w:rsidP="00CB4961">
      <w:pPr>
        <w:pStyle w:val="Naslov2"/>
      </w:pPr>
      <w:r>
        <w:t>Vlada potrdila novelo Zakona o dostopnosti do proizvodov in storitev za invalide</w:t>
      </w:r>
    </w:p>
    <w:p w14:paraId="651D144B" w14:textId="77777777" w:rsidR="00CB4961" w:rsidRDefault="00CB4961" w:rsidP="00CB4961">
      <w:r>
        <w:t xml:space="preserve">Vlada je določila besedilo </w:t>
      </w:r>
      <w:proofErr w:type="gramStart"/>
      <w:r>
        <w:t>predloga Zakona</w:t>
      </w:r>
      <w:proofErr w:type="gramEnd"/>
      <w:r>
        <w:t xml:space="preserve"> o spremembah in dopolnitvah Zakona o dostopnosti do proizvodov in storitev za invalide (predlog zakona) in ga pošlje Državnemu zboru v obravnavo po skrajšanem postopku. S predlogom zakona se zagotavlja popolni in skladni prenos </w:t>
      </w:r>
      <w:proofErr w:type="gramStart"/>
      <w:r>
        <w:t>Direktive</w:t>
      </w:r>
      <w:proofErr w:type="gramEnd"/>
      <w:r>
        <w:t xml:space="preserve"> 2019/882/EU v slovenski pravni red ter hkrati krepi obstoječi sistem dostopnosti proizvodov in storitev za invalide.</w:t>
      </w:r>
    </w:p>
    <w:p w14:paraId="27A078D5" w14:textId="77777777" w:rsidR="00CB4961" w:rsidRDefault="00CB4961" w:rsidP="00CB4961"/>
    <w:p w14:paraId="52485952" w14:textId="77777777" w:rsidR="00CB4961" w:rsidRDefault="00CB4961" w:rsidP="00CB4961">
      <w:r>
        <w:t xml:space="preserve">S predlogom zakona se zagotavlja, da bodo tudi storitve železniškega potniškega prevoza dostopne invalidom podobno, kot so storitve avtobusnega, zračnega in vodnega potniškega prevoza. Predlog zakona ureja tudi odgovarjanje na komunikacijo v sili v okviru enotne evropske številke za klic v sili »112«, številke policije »113« in enotne evropske telefonske številke za prijavo pogrešanih otrok »116 000«. </w:t>
      </w:r>
    </w:p>
    <w:p w14:paraId="3C9785BE" w14:textId="77777777" w:rsidR="00CB4961" w:rsidRDefault="00CB4961" w:rsidP="00CB4961"/>
    <w:p w14:paraId="1BF29388" w14:textId="77777777" w:rsidR="00CB4961" w:rsidRDefault="00CB4961" w:rsidP="00CB4961">
      <w:r>
        <w:t xml:space="preserve">V predlog zakona je vključena izrecna določitev, da se pogoji glede dostopnosti po Zakona o dostopnosti do proizvodov in storitev za invalide (ZDPSI) uporabljajo tudi v postopkih oddaje javnih </w:t>
      </w:r>
      <w:r>
        <w:lastRenderedPageBreak/>
        <w:t xml:space="preserve">naročil, določa se tudi pravna podlaga za sprejetje pravilnika o merilih glede funkcionalne učinkovitosti dostopnosti proizvodov in storitev za invalide in dopolnjujejo pogoji dostopnosti za storitve e-trgovine. </w:t>
      </w:r>
    </w:p>
    <w:p w14:paraId="44128326" w14:textId="77777777" w:rsidR="00CB4961" w:rsidRDefault="00CB4961" w:rsidP="00CB4961"/>
    <w:p w14:paraId="153E323B" w14:textId="77777777" w:rsidR="00CB4961" w:rsidRDefault="00CB4961" w:rsidP="00CB4961">
      <w:r>
        <w:t xml:space="preserve">Razširja se krog upravičencev za uveljavljanje pravice do dostopnosti. Potrošnikom se izrecno omogoča začetek postopkov pred pristojnimi organi zaradi neizpolnjevanja zahtev glede dostopnosti proizvodov in storitev. Poleg tega se uvaja možnost, da v postopkih nastopajo tudi javni organi ter združenja, organizacije in drugi pravni subjekti, ki izkazujejo pravni interes ter delujejo v podporo pritožniku. </w:t>
      </w:r>
    </w:p>
    <w:p w14:paraId="0E19CAB8" w14:textId="77777777" w:rsidR="00CB4961" w:rsidRDefault="00CB4961" w:rsidP="00CB4961"/>
    <w:p w14:paraId="31A9ED5D" w14:textId="0E829AB0" w:rsidR="00307C6B" w:rsidRDefault="00CB4961" w:rsidP="00CB4961">
      <w:r>
        <w:t>Na novo se določajo tudi pristojnosti nadzornih organov, zlasti na področju storitev železniškega prevoza, kjer nadzor izvajajo Inšpekcija za ceste, železniški promet, žičniške naprave in smučišča, Inšpekcija za cestni promet ter Inšpekcija za javni potniški promet. Dodatno se urejajo pooblaščene osebe agencije, ki izvajajo nadzor po ZDPSI, v skladu z ureditvami v drugih področnih zakonih.</w:t>
      </w:r>
    </w:p>
    <w:p w14:paraId="1C012C0A" w14:textId="77777777" w:rsidR="00CB4961" w:rsidRDefault="00CB4961" w:rsidP="00CB4961">
      <w:pPr>
        <w:pStyle w:val="Vir"/>
      </w:pPr>
      <w:r>
        <w:t>Vir: Ministrstvo za delo, družino, socialne zadeve in enake možnosti</w:t>
      </w:r>
    </w:p>
    <w:p w14:paraId="573F0D36" w14:textId="53F7F450" w:rsidR="00DC795E" w:rsidRDefault="00DC795E" w:rsidP="00DC795E">
      <w:pPr>
        <w:pStyle w:val="Naslov2"/>
      </w:pPr>
      <w:r>
        <w:t xml:space="preserve">Vlada sprejela </w:t>
      </w:r>
      <w:proofErr w:type="gramStart"/>
      <w:r>
        <w:t>predlog Zakona</w:t>
      </w:r>
      <w:proofErr w:type="gramEnd"/>
      <w:r>
        <w:t xml:space="preserve"> o spodbujanju konkurenčnosti in razogljičenja </w:t>
      </w:r>
      <w:proofErr w:type="spellStart"/>
      <w:r>
        <w:t>elektrointenzivnih</w:t>
      </w:r>
      <w:proofErr w:type="spellEnd"/>
      <w:r>
        <w:t xml:space="preserve"> podjetij</w:t>
      </w:r>
    </w:p>
    <w:p w14:paraId="50A7F900" w14:textId="6F793805" w:rsidR="00DC795E" w:rsidRDefault="00DC795E" w:rsidP="00DC795E">
      <w:r>
        <w:t xml:space="preserve">Vlada je določila besedilo </w:t>
      </w:r>
      <w:proofErr w:type="gramStart"/>
      <w:r>
        <w:t>predloga Zakona</w:t>
      </w:r>
      <w:proofErr w:type="gramEnd"/>
      <w:r>
        <w:t xml:space="preserve"> o spodbujanju konkurenčnosti in razogljičenja </w:t>
      </w:r>
      <w:proofErr w:type="spellStart"/>
      <w:r>
        <w:t>elektrointenzivnih</w:t>
      </w:r>
      <w:proofErr w:type="spellEnd"/>
      <w:r>
        <w:t xml:space="preserve"> podjetij in ga poslala v obravnavo in sprejem Državnemu zboru Republike Slovenije po nujnem zakonodajnem postopku. </w:t>
      </w:r>
    </w:p>
    <w:p w14:paraId="570845FF" w14:textId="77777777" w:rsidR="00DC795E" w:rsidRDefault="00DC795E" w:rsidP="00DC795E"/>
    <w:p w14:paraId="73722F09" w14:textId="77777777" w:rsidR="00DC795E" w:rsidRDefault="00DC795E" w:rsidP="00DC795E">
      <w:r>
        <w:t xml:space="preserve">Cilj zakona je zagotoviti ciljno in časovno omejeno podporo </w:t>
      </w:r>
      <w:proofErr w:type="spellStart"/>
      <w:r>
        <w:t>elektrointenzivnim</w:t>
      </w:r>
      <w:proofErr w:type="spellEnd"/>
      <w:r>
        <w:t xml:space="preserve"> podjetjem, da ohranjajo konkurenčnost na svetovnih trgih. Hkrati zakon uvaja jasne zaveze upravičencev k vlaganjem v razogljičenje in prehod na čistejše tehnologije, s čimer podpira doseganje nacionalnih in evropskih podnebnih ciljev. </w:t>
      </w:r>
    </w:p>
    <w:p w14:paraId="7E835F95" w14:textId="77777777" w:rsidR="00DC795E" w:rsidRDefault="00DC795E" w:rsidP="00DC795E"/>
    <w:p w14:paraId="10F6C5F3" w14:textId="77777777" w:rsidR="00DC795E" w:rsidRDefault="00DC795E" w:rsidP="00DC795E">
      <w:r>
        <w:t xml:space="preserve">Predlagana ureditev temelji na okviru Evropske komisije za državne pomoči v podporo dogovoru o čisti industriji (CISAF) in omogoča delno blaženje stroškov električne energije za podjetja v najbolj izpostavljenih sektorjih. Upravičenci bodo morali najmanj polovico prejete pomoči nameniti naložbam v razogljičenje, kot so izboljšanje energetske učinkovitosti, elektrifikacija procesov, uporaba obnovljivih virov energije in druge trajnostne rešitve. </w:t>
      </w:r>
    </w:p>
    <w:p w14:paraId="6614C7A1" w14:textId="77777777" w:rsidR="00DC795E" w:rsidRDefault="00DC795E" w:rsidP="00DC795E"/>
    <w:p w14:paraId="463B48D9" w14:textId="77777777" w:rsidR="00DC795E" w:rsidRDefault="00DC795E" w:rsidP="00DC795E">
      <w:r>
        <w:t xml:space="preserve">Zakon določa jasne pogoje upravičenosti, omejitve višine pomoči, mehanizme nadzora ter sankcije v primeru kršitev. </w:t>
      </w:r>
    </w:p>
    <w:p w14:paraId="6B66931B" w14:textId="77777777" w:rsidR="00DC795E" w:rsidRDefault="00DC795E" w:rsidP="00DC795E"/>
    <w:p w14:paraId="592670B0" w14:textId="3B32575E" w:rsidR="00DC795E" w:rsidRDefault="00DC795E" w:rsidP="00DC795E">
      <w:r>
        <w:t>Spodbude se bodo zagotavljale upravičencem za pokrivanje dela stroškov nakupa električne energije za največ do 50</w:t>
      </w:r>
      <w:proofErr w:type="gramStart"/>
      <w:r>
        <w:t xml:space="preserve"> %</w:t>
      </w:r>
      <w:proofErr w:type="gramEnd"/>
      <w:r>
        <w:t xml:space="preserve"> napovedane letne porabe električne energije, z dodatnimi pogoji:</w:t>
      </w:r>
    </w:p>
    <w:p w14:paraId="32BDEFC6" w14:textId="4636A7CF" w:rsidR="00DC795E" w:rsidRDefault="00DC795E" w:rsidP="00DC795E">
      <w:pPr>
        <w:pStyle w:val="Odstavekseznama"/>
        <w:numPr>
          <w:ilvl w:val="0"/>
          <w:numId w:val="12"/>
        </w:numPr>
      </w:pPr>
      <w:r>
        <w:t>da stroški za podprto polovico porabe električne energije po prejemu spodbude ne smejo pasti pod 50 % tržne cene</w:t>
      </w:r>
      <w:proofErr w:type="gramStart"/>
      <w:r>
        <w:t xml:space="preserve"> pri</w:t>
      </w:r>
      <w:proofErr w:type="gramEnd"/>
      <w:r>
        <w:t xml:space="preserve"> čemer strošek te električne energije ne sme biti nikoli nižji od 50 EUR/MWh,</w:t>
      </w:r>
    </w:p>
    <w:p w14:paraId="3BA43E9F" w14:textId="63EDC70C" w:rsidR="00DC795E" w:rsidRDefault="00DC795E" w:rsidP="00DC795E">
      <w:pPr>
        <w:pStyle w:val="Odstavekseznama"/>
        <w:numPr>
          <w:ilvl w:val="0"/>
          <w:numId w:val="12"/>
        </w:numPr>
      </w:pPr>
      <w:r>
        <w:t xml:space="preserve">da je </w:t>
      </w:r>
      <w:proofErr w:type="gramStart"/>
      <w:r>
        <w:t>potrebno</w:t>
      </w:r>
      <w:proofErr w:type="gramEnd"/>
      <w:r>
        <w:t xml:space="preserve"> pri določanju spodbude dodatno upoštevati vse druge oblike prejete pomoči za znižanje stroškov električne energije, </w:t>
      </w:r>
    </w:p>
    <w:p w14:paraId="27031C60" w14:textId="54806B2E" w:rsidR="00DC795E" w:rsidRDefault="00DC795E" w:rsidP="00DC795E">
      <w:pPr>
        <w:pStyle w:val="Odstavekseznama"/>
        <w:numPr>
          <w:ilvl w:val="0"/>
          <w:numId w:val="12"/>
        </w:numPr>
      </w:pPr>
      <w:r>
        <w:t>upravičenci pa morajo najmanj 50</w:t>
      </w:r>
      <w:proofErr w:type="gramStart"/>
      <w:r>
        <w:t xml:space="preserve"> %</w:t>
      </w:r>
      <w:proofErr w:type="gramEnd"/>
      <w:r>
        <w:t xml:space="preserve"> prejetih sredstev uporabiti za trajnostne naložbe v najkasneje 48 mesecih po prejemu spodbude.</w:t>
      </w:r>
    </w:p>
    <w:p w14:paraId="3D6454B5" w14:textId="77777777" w:rsidR="00DC795E" w:rsidRDefault="00DC795E" w:rsidP="00DC795E">
      <w:r>
        <w:t xml:space="preserve">Spodbude bodo časovno omejene na obdobje porabe električne energije v letih 2026–2028, sredstva za izvajanje ukrepa pa se bodo zagotavljala izven državnega proračuna, iz sredstev družb v 100-odstotni lasti države, ki imajo v lasti večje proizvodne zmogljivosti električne energije. </w:t>
      </w:r>
    </w:p>
    <w:p w14:paraId="4D1288AF" w14:textId="77777777" w:rsidR="00DC795E" w:rsidRDefault="00DC795E" w:rsidP="00DC795E"/>
    <w:p w14:paraId="301CECBE" w14:textId="5B126EC0" w:rsidR="00D50565" w:rsidRDefault="00DC795E" w:rsidP="00DC795E">
      <w:r>
        <w:t xml:space="preserve">Vlada predlaga obravnavo zakona po nujnem postopku, saj je za pravočasno izvajanje ukrepa potrebna hitra odobritev Evropske komisije in zagotovitev podpore podjetjem že za porabo električne </w:t>
      </w:r>
      <w:r>
        <w:lastRenderedPageBreak/>
        <w:t>energije od začetka leta 2026. Zamude pri sprejemu zakona bi lahko imele resne posledice za konkurenčnost industrije, zaposlenost in doseganje ciljev razogljičenja.</w:t>
      </w:r>
    </w:p>
    <w:p w14:paraId="2BEE381F" w14:textId="4471BDB9" w:rsidR="00DC795E" w:rsidRDefault="00DC795E" w:rsidP="00DC795E">
      <w:pPr>
        <w:pStyle w:val="Vir"/>
      </w:pPr>
      <w:r w:rsidRPr="00DC795E">
        <w:t>Vir: Ministrstvo za okolje, podnebje in energijo</w:t>
      </w:r>
    </w:p>
    <w:p w14:paraId="316D9911" w14:textId="465E2529" w:rsidR="00307C6B" w:rsidRDefault="007241CE" w:rsidP="00465308">
      <w:pPr>
        <w:pStyle w:val="Naslov2"/>
      </w:pPr>
      <w:r>
        <w:t>S</w:t>
      </w:r>
      <w:r w:rsidR="00307C6B">
        <w:t>oglasj</w:t>
      </w:r>
      <w:r>
        <w:t>e vlade</w:t>
      </w:r>
      <w:r w:rsidR="00307C6B">
        <w:t xml:space="preserve"> k Statutu Socialne zbornice Slovenije</w:t>
      </w:r>
    </w:p>
    <w:p w14:paraId="1D337D34" w14:textId="394DD86E" w:rsidR="007241CE" w:rsidRDefault="007241CE" w:rsidP="00307C6B">
      <w:r w:rsidRPr="007241CE">
        <w:t xml:space="preserve">Vlada Republike Slovenije je dala soglasje k prenovljenemu besedilu Statutu Socialne zbornice Slovenije, ki ga je skupščina zbornice sprejela na seji dne 9. julija 2025. </w:t>
      </w:r>
      <w:proofErr w:type="gramStart"/>
      <w:r w:rsidRPr="007241CE">
        <w:t>Sprememba statuta je bila potrebna zaradi prilagoditve spremenjeni zakonodaji</w:t>
      </w:r>
      <w:proofErr w:type="gramEnd"/>
      <w:r w:rsidRPr="007241CE">
        <w:t xml:space="preserve"> na področju socialnega varstva.</w:t>
      </w:r>
    </w:p>
    <w:p w14:paraId="12036B9F" w14:textId="77777777" w:rsidR="007241CE" w:rsidRDefault="007241CE" w:rsidP="007241CE">
      <w:pPr>
        <w:pStyle w:val="Vir"/>
      </w:pPr>
      <w:r>
        <w:t>Vir: Ministrstvo za solidarno prihodnost</w:t>
      </w:r>
    </w:p>
    <w:p w14:paraId="057527F2" w14:textId="77562BF5" w:rsidR="00B54792" w:rsidRDefault="00B54792" w:rsidP="00B54792">
      <w:pPr>
        <w:pStyle w:val="Naslov2"/>
      </w:pPr>
      <w:r>
        <w:t>Vlada o odprtju proračunske postavke pri Ministrstvu za delo, družino, socialne zadeve in enake možnosti</w:t>
      </w:r>
    </w:p>
    <w:p w14:paraId="1EEBF84C" w14:textId="77777777" w:rsidR="00B54792" w:rsidRDefault="00B54792" w:rsidP="00B54792">
      <w:r>
        <w:t>Vlada je na današnji seji sklenila, da se za namen zagotovitve sredstev za nadomestilo plače zaradi odreditve dela s skrajšanim delovnim časom na Ministrstvu za delo, družino, socialne zadeve in enake možnosti (MDDSZ) odpre nova proračunska postavka.</w:t>
      </w:r>
    </w:p>
    <w:p w14:paraId="5DA1432A" w14:textId="77777777" w:rsidR="00B54792" w:rsidRDefault="00B54792" w:rsidP="00B54792"/>
    <w:p w14:paraId="0E9A8E02" w14:textId="77777777" w:rsidR="00B54792" w:rsidRDefault="00B54792" w:rsidP="00B54792">
      <w:r>
        <w:t>Sredstva za proračunsko postavko v višini 5 milijonov evrov se v letu 2026 zagotovijo s prerazporeditvijo pravic porabe znotraj finančnega načrta MDDSZ.</w:t>
      </w:r>
    </w:p>
    <w:p w14:paraId="5A469DD8" w14:textId="77777777" w:rsidR="00B54792" w:rsidRDefault="00B54792" w:rsidP="00B54792">
      <w:r>
        <w:t xml:space="preserve">Nova proračunska postavka se odpira z namenom zagotavljanja sredstev za delno povračilo nadomestila plače delodajalcem zaradi začasne nezmožnosti zagotavljanja dela delavcem zaradi nastopa okoliščin na podlagi Zakona o uveljavljanju delnega povračila nadomestila plače za skrajšani delovni čas. Vlada je z namenom ohranjanja delovnih mest s 5. decembrom 2025 aktivirala tako imenovano shemo skrajšanega delovnega časa za obdobje od 5. decembra 2025 do 5. marca 2026. </w:t>
      </w:r>
    </w:p>
    <w:p w14:paraId="18117EFE" w14:textId="62224D5F" w:rsidR="00307C6B" w:rsidRDefault="00B54792" w:rsidP="00B54792">
      <w:pPr>
        <w:pStyle w:val="Vir"/>
      </w:pPr>
      <w:r>
        <w:t>Vir: Ministrstvo za finance</w:t>
      </w:r>
    </w:p>
    <w:p w14:paraId="5CDD4739" w14:textId="680A4164" w:rsidR="001723BB" w:rsidRDefault="001723BB" w:rsidP="001723BB">
      <w:pPr>
        <w:pStyle w:val="Naslov2"/>
      </w:pPr>
      <w:r>
        <w:t xml:space="preserve">Vlada soglaša s predlogi amandmajev </w:t>
      </w:r>
      <w:proofErr w:type="gramStart"/>
      <w:r>
        <w:t xml:space="preserve">k  </w:t>
      </w:r>
      <w:proofErr w:type="gramEnd"/>
      <w:r>
        <w:t>predlogu novele Zakona o vrednotenju in priznavanju izobraževanja</w:t>
      </w:r>
    </w:p>
    <w:p w14:paraId="62287A06" w14:textId="77777777" w:rsidR="001723BB" w:rsidRDefault="001723BB" w:rsidP="001723BB">
      <w:r>
        <w:t xml:space="preserve">Vlada Republike Slovenije soglaša s predlogi amandmajev k </w:t>
      </w:r>
      <w:proofErr w:type="gramStart"/>
      <w:r>
        <w:t>predlogu Zakona</w:t>
      </w:r>
      <w:proofErr w:type="gramEnd"/>
      <w:r>
        <w:t xml:space="preserve"> o spremembah in dopolnitvah Zakona o vrednotenju in priznavanju izobraževanja. V skladu s Poslovnikom Vlade RS lahko ministrstvo na vloženo besedilo predlaga vložitev amandmaja le ob soglasju vlade.</w:t>
      </w:r>
    </w:p>
    <w:p w14:paraId="45DE3217" w14:textId="77777777" w:rsidR="001723BB" w:rsidRDefault="001723BB" w:rsidP="001723BB">
      <w:r>
        <w:t xml:space="preserve">S predlaganimi amandmaji Ministrstvo za visoko šolstvo, znanost in inovacije sledi pripombam </w:t>
      </w:r>
      <w:proofErr w:type="gramStart"/>
      <w:r>
        <w:t>Zakonodajno-pravne</w:t>
      </w:r>
      <w:proofErr w:type="gramEnd"/>
      <w:r>
        <w:t xml:space="preserve"> službe Državnega zbora RS. </w:t>
      </w:r>
    </w:p>
    <w:p w14:paraId="706A978E" w14:textId="0CF26D02" w:rsidR="001723BB" w:rsidRDefault="001723BB" w:rsidP="001723BB">
      <w:pPr>
        <w:pStyle w:val="Vir"/>
      </w:pPr>
      <w:r>
        <w:t>Vir: Ministrstvo za visoko šolstvo, znanost in inovacije</w:t>
      </w:r>
    </w:p>
    <w:p w14:paraId="7F88C4B1" w14:textId="3D1670EF" w:rsidR="00465308" w:rsidRDefault="00465308" w:rsidP="00465308">
      <w:pPr>
        <w:pStyle w:val="Naslov2"/>
      </w:pPr>
      <w:r>
        <w:t>Vlada soglaša s predlogom amandmaja k Predlogu zakona o spremembah in dopolnitvah Zakona o vojnih invalidih</w:t>
      </w:r>
    </w:p>
    <w:p w14:paraId="2F6FA1DA" w14:textId="77777777" w:rsidR="00465308" w:rsidRDefault="00465308" w:rsidP="00465308">
      <w:r>
        <w:t xml:space="preserve">Vlada Republike Slovenije je na današnji seji dala soglasje k predlogu amandmaja k Predlogu zakona o spremembah in dopolnitvah Zakona o vojnih invalidih. </w:t>
      </w:r>
    </w:p>
    <w:p w14:paraId="68A0E5C9" w14:textId="77777777" w:rsidR="00465308" w:rsidRDefault="00465308" w:rsidP="00465308"/>
    <w:p w14:paraId="7F9C35B2" w14:textId="30351BB9" w:rsidR="00465308" w:rsidRDefault="00465308" w:rsidP="00465308">
      <w:proofErr w:type="gramStart"/>
      <w:r>
        <w:t>Zakonodajno-pravna</w:t>
      </w:r>
      <w:proofErr w:type="gramEnd"/>
      <w:r>
        <w:t xml:space="preserve"> služba Državnega zbora RS je podala Mnenje o Predlogu zakona o spremembah in dopolnitvah Zakona o vojnih invalidih (ZVojI-F), skrajšani postopek, z dne 23. 12. 2025, v katerem je opozorila na ustavno dopustnost namena neposrednega povezovanja številnih zbirk osebnih podatkov. Dopustno je namreč zbirati, obdelovati, hraniti in posredovati le osebne podatke, ki so primerni in nujno potrebni za uresničitev zakonsko opredeljenega namena. Zaradi navedenega je bilo treba ponovno preučiti, ali so vsi podatki, navedeni v četrtem odstavku novega </w:t>
      </w:r>
      <w:proofErr w:type="spellStart"/>
      <w:r>
        <w:lastRenderedPageBreak/>
        <w:t>112.a</w:t>
      </w:r>
      <w:proofErr w:type="spellEnd"/>
      <w:r>
        <w:t xml:space="preserve"> člena (5. člen predloga zakona)</w:t>
      </w:r>
      <w:proofErr w:type="gramStart"/>
      <w:r>
        <w:t xml:space="preserve"> za</w:t>
      </w:r>
      <w:proofErr w:type="gramEnd"/>
      <w:r>
        <w:t xml:space="preserve"> dosego namena res potrebni. Po ponovni proučitvi se v 5. členu predloga zakona v četrtem odstavku novega </w:t>
      </w:r>
      <w:proofErr w:type="spellStart"/>
      <w:r>
        <w:t>112.a</w:t>
      </w:r>
      <w:proofErr w:type="spellEnd"/>
      <w:r>
        <w:t xml:space="preserve"> člena iz 1. točke črtajo naslednji osebni podatki: kraj rojstva, spol, podatek o zakonskem stanu, davčna številka in podatki o partnerju, potomcih (osebno ime, EMŠO, prebivališče oziroma naslov v tujini) ter iz 5. točke črta podatek o številki upravnega postopka. </w:t>
      </w:r>
    </w:p>
    <w:p w14:paraId="1A3018FB" w14:textId="26C4DA29" w:rsidR="00B67C3C" w:rsidRDefault="00465308" w:rsidP="00465308">
      <w:pPr>
        <w:pStyle w:val="Vir"/>
      </w:pPr>
      <w:r>
        <w:t>Vir: Ministrstvo za obrambo</w:t>
      </w:r>
    </w:p>
    <w:p w14:paraId="016D9C52" w14:textId="1248238A" w:rsidR="0094206D" w:rsidRDefault="008E37D8" w:rsidP="008E37D8">
      <w:pPr>
        <w:pStyle w:val="Naslov2"/>
      </w:pPr>
      <w:r>
        <w:t>S</w:t>
      </w:r>
      <w:r w:rsidR="0094206D" w:rsidRPr="0094206D">
        <w:t>oglasj</w:t>
      </w:r>
      <w:r>
        <w:t>e vlade</w:t>
      </w:r>
      <w:r w:rsidR="0094206D" w:rsidRPr="0094206D">
        <w:t xml:space="preserve"> k </w:t>
      </w:r>
      <w:r>
        <w:t>p</w:t>
      </w:r>
      <w:r w:rsidR="0094206D" w:rsidRPr="0094206D">
        <w:t xml:space="preserve">redlogu amandmajev k </w:t>
      </w:r>
      <w:r>
        <w:t>p</w:t>
      </w:r>
      <w:r w:rsidR="0094206D" w:rsidRPr="0094206D">
        <w:t>redlogu</w:t>
      </w:r>
      <w:r>
        <w:t xml:space="preserve"> novele</w:t>
      </w:r>
      <w:r w:rsidR="0094206D" w:rsidRPr="0094206D">
        <w:t xml:space="preserve"> Zakona o usmerjanju otrok s posebnimi potrebami</w:t>
      </w:r>
    </w:p>
    <w:p w14:paraId="4E6DFF0E" w14:textId="0751BF02" w:rsidR="008E37D8" w:rsidRDefault="008E37D8" w:rsidP="008E37D8">
      <w:r>
        <w:t xml:space="preserve">Vlada soglaša s </w:t>
      </w:r>
      <w:r>
        <w:t>p</w:t>
      </w:r>
      <w:r>
        <w:t xml:space="preserve">redlogom amandmajev k </w:t>
      </w:r>
      <w:proofErr w:type="gramStart"/>
      <w:r>
        <w:t>p</w:t>
      </w:r>
      <w:r>
        <w:t>redlogu Zakona</w:t>
      </w:r>
      <w:proofErr w:type="gramEnd"/>
      <w:r>
        <w:t xml:space="preserve"> o spremembah in dopolnitvah Zakona o </w:t>
      </w:r>
      <w:proofErr w:type="gramStart"/>
      <w:r>
        <w:t>usmerjanju</w:t>
      </w:r>
      <w:proofErr w:type="gramEnd"/>
      <w:r>
        <w:t xml:space="preserve"> otrok s posebnimi potrebami</w:t>
      </w:r>
      <w:r>
        <w:t>.</w:t>
      </w:r>
      <w:r>
        <w:t xml:space="preserve"> </w:t>
      </w:r>
    </w:p>
    <w:p w14:paraId="6CDE8FA2" w14:textId="77777777" w:rsidR="008E37D8" w:rsidRDefault="008E37D8" w:rsidP="008E37D8"/>
    <w:p w14:paraId="313918A3" w14:textId="77777777" w:rsidR="008E37D8" w:rsidRDefault="008E37D8" w:rsidP="008E37D8">
      <w:r>
        <w:t>Predlagano gradivo sledi Poslovniku vlade, ki določa, da v primerih, ko vlada določi besedilo predloga akta, ki ga sprejema Državni zbor, in mu ga pošlje v obravnavo, lahko ministrstvo na vloženo besedilo predlaga vložitev amandmaja le ob soglasju vlade.</w:t>
      </w:r>
    </w:p>
    <w:p w14:paraId="7672F682" w14:textId="488001C5" w:rsidR="008E37D8" w:rsidRDefault="008E37D8" w:rsidP="008E37D8">
      <w:pPr>
        <w:pStyle w:val="Vir"/>
      </w:pPr>
      <w:r>
        <w:t>Vir: Ministrstvo za vzgojo in izobraževanje</w:t>
      </w:r>
    </w:p>
    <w:p w14:paraId="3367DC81" w14:textId="77777777" w:rsidR="008E37D8" w:rsidRDefault="008E37D8" w:rsidP="008E37D8"/>
    <w:p w14:paraId="237F4CC9" w14:textId="77777777" w:rsidR="008E37D8" w:rsidRPr="0094206D" w:rsidRDefault="008E37D8" w:rsidP="0094206D"/>
    <w:p w14:paraId="268E2253" w14:textId="77777777" w:rsidR="0094206D" w:rsidRPr="00B67C3C" w:rsidRDefault="0094206D" w:rsidP="001723BB"/>
    <w:sectPr w:rsidR="0094206D" w:rsidRPr="00B67C3C"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6828" w14:textId="77777777" w:rsidR="0067375D" w:rsidRDefault="0067375D" w:rsidP="00750D01">
      <w:pPr>
        <w:spacing w:line="240" w:lineRule="auto"/>
      </w:pPr>
      <w:r>
        <w:separator/>
      </w:r>
    </w:p>
  </w:endnote>
  <w:endnote w:type="continuationSeparator" w:id="0">
    <w:p w14:paraId="382D8D7B" w14:textId="77777777" w:rsidR="0067375D" w:rsidRDefault="0067375D"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05DB" w14:textId="77777777" w:rsidR="0067375D" w:rsidRDefault="0067375D" w:rsidP="00750D01">
      <w:pPr>
        <w:spacing w:line="240" w:lineRule="auto"/>
      </w:pPr>
      <w:r>
        <w:separator/>
      </w:r>
    </w:p>
  </w:footnote>
  <w:footnote w:type="continuationSeparator" w:id="0">
    <w:p w14:paraId="56A3F1D9" w14:textId="77777777" w:rsidR="0067375D" w:rsidRDefault="0067375D"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F533FC0"/>
    <w:multiLevelType w:val="hybridMultilevel"/>
    <w:tmpl w:val="7AFEF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68271FA"/>
    <w:multiLevelType w:val="hybridMultilevel"/>
    <w:tmpl w:val="DAEC4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D4E4B71"/>
    <w:multiLevelType w:val="hybridMultilevel"/>
    <w:tmpl w:val="2C1823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C4315F1"/>
    <w:multiLevelType w:val="hybridMultilevel"/>
    <w:tmpl w:val="063A39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176576364">
    <w:abstractNumId w:val="11"/>
  </w:num>
  <w:num w:numId="2" w16cid:durableId="984821814">
    <w:abstractNumId w:val="6"/>
  </w:num>
  <w:num w:numId="3" w16cid:durableId="150218247">
    <w:abstractNumId w:val="0"/>
  </w:num>
  <w:num w:numId="4" w16cid:durableId="1026903286">
    <w:abstractNumId w:val="7"/>
  </w:num>
  <w:num w:numId="5" w16cid:durableId="231817878">
    <w:abstractNumId w:val="2"/>
  </w:num>
  <w:num w:numId="6" w16cid:durableId="2110814889">
    <w:abstractNumId w:val="12"/>
  </w:num>
  <w:num w:numId="7" w16cid:durableId="695153758">
    <w:abstractNumId w:val="3"/>
  </w:num>
  <w:num w:numId="8" w16cid:durableId="853298866">
    <w:abstractNumId w:val="5"/>
  </w:num>
  <w:num w:numId="9" w16cid:durableId="1789348953">
    <w:abstractNumId w:val="1"/>
  </w:num>
  <w:num w:numId="10" w16cid:durableId="1415012333">
    <w:abstractNumId w:val="8"/>
  </w:num>
  <w:num w:numId="11" w16cid:durableId="886650520">
    <w:abstractNumId w:val="4"/>
  </w:num>
  <w:num w:numId="12" w16cid:durableId="200171258">
    <w:abstractNumId w:val="9"/>
  </w:num>
  <w:num w:numId="13" w16cid:durableId="14193262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318E4"/>
    <w:rsid w:val="00050A56"/>
    <w:rsid w:val="000610D5"/>
    <w:rsid w:val="00076DF7"/>
    <w:rsid w:val="0008372E"/>
    <w:rsid w:val="00084198"/>
    <w:rsid w:val="00085D04"/>
    <w:rsid w:val="00087069"/>
    <w:rsid w:val="00087A14"/>
    <w:rsid w:val="00097B85"/>
    <w:rsid w:val="000D5520"/>
    <w:rsid w:val="000E0657"/>
    <w:rsid w:val="00110B8F"/>
    <w:rsid w:val="00111A16"/>
    <w:rsid w:val="00113F85"/>
    <w:rsid w:val="0012724F"/>
    <w:rsid w:val="0013016C"/>
    <w:rsid w:val="001602C9"/>
    <w:rsid w:val="0016530C"/>
    <w:rsid w:val="001673A5"/>
    <w:rsid w:val="001723BB"/>
    <w:rsid w:val="00173343"/>
    <w:rsid w:val="001B01DD"/>
    <w:rsid w:val="001B42F9"/>
    <w:rsid w:val="001C3560"/>
    <w:rsid w:val="001C5F19"/>
    <w:rsid w:val="001D4277"/>
    <w:rsid w:val="001D69D6"/>
    <w:rsid w:val="001F51BC"/>
    <w:rsid w:val="001F7F63"/>
    <w:rsid w:val="00203CAB"/>
    <w:rsid w:val="00203F5F"/>
    <w:rsid w:val="00215140"/>
    <w:rsid w:val="00220CDD"/>
    <w:rsid w:val="0022488B"/>
    <w:rsid w:val="0022511A"/>
    <w:rsid w:val="00231021"/>
    <w:rsid w:val="002501CE"/>
    <w:rsid w:val="002856E5"/>
    <w:rsid w:val="002C0766"/>
    <w:rsid w:val="002C36A6"/>
    <w:rsid w:val="002D5B5D"/>
    <w:rsid w:val="002E3F96"/>
    <w:rsid w:val="002F3BE7"/>
    <w:rsid w:val="00302938"/>
    <w:rsid w:val="00307C6B"/>
    <w:rsid w:val="0032428F"/>
    <w:rsid w:val="0033519E"/>
    <w:rsid w:val="00346E22"/>
    <w:rsid w:val="00351E1E"/>
    <w:rsid w:val="00357DC0"/>
    <w:rsid w:val="00361255"/>
    <w:rsid w:val="00381018"/>
    <w:rsid w:val="003847C8"/>
    <w:rsid w:val="003877EB"/>
    <w:rsid w:val="00390DF7"/>
    <w:rsid w:val="0039662C"/>
    <w:rsid w:val="003A3742"/>
    <w:rsid w:val="003D64D8"/>
    <w:rsid w:val="003E17B6"/>
    <w:rsid w:val="003E1B89"/>
    <w:rsid w:val="003E6170"/>
    <w:rsid w:val="003F4CC5"/>
    <w:rsid w:val="00415527"/>
    <w:rsid w:val="00432937"/>
    <w:rsid w:val="004403EC"/>
    <w:rsid w:val="00447B57"/>
    <w:rsid w:val="0045565C"/>
    <w:rsid w:val="00455B63"/>
    <w:rsid w:val="00460370"/>
    <w:rsid w:val="00465308"/>
    <w:rsid w:val="00472762"/>
    <w:rsid w:val="004A00A8"/>
    <w:rsid w:val="004A6206"/>
    <w:rsid w:val="004A7BFC"/>
    <w:rsid w:val="004A7CAD"/>
    <w:rsid w:val="004B4753"/>
    <w:rsid w:val="004B7346"/>
    <w:rsid w:val="004C3F67"/>
    <w:rsid w:val="004C721D"/>
    <w:rsid w:val="00514121"/>
    <w:rsid w:val="00522637"/>
    <w:rsid w:val="00527867"/>
    <w:rsid w:val="00527AA5"/>
    <w:rsid w:val="005314D7"/>
    <w:rsid w:val="005458D4"/>
    <w:rsid w:val="005515BD"/>
    <w:rsid w:val="005740C1"/>
    <w:rsid w:val="0059143B"/>
    <w:rsid w:val="005A570D"/>
    <w:rsid w:val="005B5886"/>
    <w:rsid w:val="005C1523"/>
    <w:rsid w:val="005E1ABB"/>
    <w:rsid w:val="00614FFD"/>
    <w:rsid w:val="00626A98"/>
    <w:rsid w:val="006274BB"/>
    <w:rsid w:val="00634EFA"/>
    <w:rsid w:val="00635D43"/>
    <w:rsid w:val="006367B9"/>
    <w:rsid w:val="00637884"/>
    <w:rsid w:val="0066249C"/>
    <w:rsid w:val="0067375D"/>
    <w:rsid w:val="00676F03"/>
    <w:rsid w:val="006906AF"/>
    <w:rsid w:val="00693BA3"/>
    <w:rsid w:val="006B3F12"/>
    <w:rsid w:val="006C1B31"/>
    <w:rsid w:val="006D44E9"/>
    <w:rsid w:val="006F29FA"/>
    <w:rsid w:val="0070324C"/>
    <w:rsid w:val="0071171B"/>
    <w:rsid w:val="007120FD"/>
    <w:rsid w:val="007130E1"/>
    <w:rsid w:val="00716545"/>
    <w:rsid w:val="00717E59"/>
    <w:rsid w:val="007241CE"/>
    <w:rsid w:val="0073796B"/>
    <w:rsid w:val="00750D01"/>
    <w:rsid w:val="007643A0"/>
    <w:rsid w:val="007669A3"/>
    <w:rsid w:val="00781345"/>
    <w:rsid w:val="00784E57"/>
    <w:rsid w:val="0079749C"/>
    <w:rsid w:val="007A6460"/>
    <w:rsid w:val="007B0ADD"/>
    <w:rsid w:val="007B515F"/>
    <w:rsid w:val="007B5851"/>
    <w:rsid w:val="007C21FB"/>
    <w:rsid w:val="007E0CC5"/>
    <w:rsid w:val="007E198F"/>
    <w:rsid w:val="007E3E63"/>
    <w:rsid w:val="007F5D6B"/>
    <w:rsid w:val="007F69EE"/>
    <w:rsid w:val="007F6EF7"/>
    <w:rsid w:val="008220A3"/>
    <w:rsid w:val="008244C0"/>
    <w:rsid w:val="008336E7"/>
    <w:rsid w:val="00836E94"/>
    <w:rsid w:val="00847AD3"/>
    <w:rsid w:val="00851FE1"/>
    <w:rsid w:val="008624E8"/>
    <w:rsid w:val="008A0BAF"/>
    <w:rsid w:val="008A16D8"/>
    <w:rsid w:val="008B6738"/>
    <w:rsid w:val="008B7AF2"/>
    <w:rsid w:val="008C1A5B"/>
    <w:rsid w:val="008C4231"/>
    <w:rsid w:val="008C697A"/>
    <w:rsid w:val="008D49BD"/>
    <w:rsid w:val="008E37D8"/>
    <w:rsid w:val="00905C96"/>
    <w:rsid w:val="009174DA"/>
    <w:rsid w:val="00933061"/>
    <w:rsid w:val="00933087"/>
    <w:rsid w:val="0094206D"/>
    <w:rsid w:val="00945B27"/>
    <w:rsid w:val="009540E4"/>
    <w:rsid w:val="00974186"/>
    <w:rsid w:val="00983241"/>
    <w:rsid w:val="009900DE"/>
    <w:rsid w:val="009A41AA"/>
    <w:rsid w:val="009B3707"/>
    <w:rsid w:val="009C2C98"/>
    <w:rsid w:val="009C2D77"/>
    <w:rsid w:val="009C562E"/>
    <w:rsid w:val="009D10D1"/>
    <w:rsid w:val="009F37F4"/>
    <w:rsid w:val="009F4DB0"/>
    <w:rsid w:val="00A06971"/>
    <w:rsid w:val="00A15E69"/>
    <w:rsid w:val="00A30052"/>
    <w:rsid w:val="00A34FC4"/>
    <w:rsid w:val="00A445DF"/>
    <w:rsid w:val="00A521C4"/>
    <w:rsid w:val="00A5415F"/>
    <w:rsid w:val="00A60A37"/>
    <w:rsid w:val="00A60FBF"/>
    <w:rsid w:val="00A67305"/>
    <w:rsid w:val="00A726C3"/>
    <w:rsid w:val="00A7412B"/>
    <w:rsid w:val="00AB1DC2"/>
    <w:rsid w:val="00AD1AFD"/>
    <w:rsid w:val="00AE6CD6"/>
    <w:rsid w:val="00AF5FC8"/>
    <w:rsid w:val="00B022E5"/>
    <w:rsid w:val="00B06EAB"/>
    <w:rsid w:val="00B229DE"/>
    <w:rsid w:val="00B47F61"/>
    <w:rsid w:val="00B53594"/>
    <w:rsid w:val="00B54792"/>
    <w:rsid w:val="00B602CF"/>
    <w:rsid w:val="00B60F58"/>
    <w:rsid w:val="00B67C3C"/>
    <w:rsid w:val="00B70F5B"/>
    <w:rsid w:val="00B753A8"/>
    <w:rsid w:val="00B84862"/>
    <w:rsid w:val="00B903E5"/>
    <w:rsid w:val="00BA743D"/>
    <w:rsid w:val="00BB1111"/>
    <w:rsid w:val="00BB73C0"/>
    <w:rsid w:val="00BE5C43"/>
    <w:rsid w:val="00C3152B"/>
    <w:rsid w:val="00C354D9"/>
    <w:rsid w:val="00C365A8"/>
    <w:rsid w:val="00C458C2"/>
    <w:rsid w:val="00C666AC"/>
    <w:rsid w:val="00C97F7B"/>
    <w:rsid w:val="00CA5624"/>
    <w:rsid w:val="00CB4961"/>
    <w:rsid w:val="00CC3123"/>
    <w:rsid w:val="00CC37B3"/>
    <w:rsid w:val="00CE1923"/>
    <w:rsid w:val="00CE21D5"/>
    <w:rsid w:val="00CE45D7"/>
    <w:rsid w:val="00D10EB4"/>
    <w:rsid w:val="00D14EEC"/>
    <w:rsid w:val="00D22282"/>
    <w:rsid w:val="00D327DE"/>
    <w:rsid w:val="00D50565"/>
    <w:rsid w:val="00D60A92"/>
    <w:rsid w:val="00D64FA4"/>
    <w:rsid w:val="00D650E2"/>
    <w:rsid w:val="00D7373E"/>
    <w:rsid w:val="00D74A82"/>
    <w:rsid w:val="00D85532"/>
    <w:rsid w:val="00D9208E"/>
    <w:rsid w:val="00D95BC6"/>
    <w:rsid w:val="00D966FF"/>
    <w:rsid w:val="00D97B4B"/>
    <w:rsid w:val="00DA3B4D"/>
    <w:rsid w:val="00DA3BD5"/>
    <w:rsid w:val="00DA5C0D"/>
    <w:rsid w:val="00DA5D7A"/>
    <w:rsid w:val="00DB55BA"/>
    <w:rsid w:val="00DC795E"/>
    <w:rsid w:val="00DE199D"/>
    <w:rsid w:val="00DE1B54"/>
    <w:rsid w:val="00DE27BA"/>
    <w:rsid w:val="00E02AB3"/>
    <w:rsid w:val="00E05EEE"/>
    <w:rsid w:val="00E14AAE"/>
    <w:rsid w:val="00E20351"/>
    <w:rsid w:val="00E2036F"/>
    <w:rsid w:val="00E3207D"/>
    <w:rsid w:val="00E3507E"/>
    <w:rsid w:val="00E6065F"/>
    <w:rsid w:val="00E7132A"/>
    <w:rsid w:val="00E83E60"/>
    <w:rsid w:val="00E86C78"/>
    <w:rsid w:val="00E948BD"/>
    <w:rsid w:val="00EB4FB1"/>
    <w:rsid w:val="00EC012E"/>
    <w:rsid w:val="00EE35F8"/>
    <w:rsid w:val="00EF1263"/>
    <w:rsid w:val="00F01966"/>
    <w:rsid w:val="00F03257"/>
    <w:rsid w:val="00F20884"/>
    <w:rsid w:val="00F21123"/>
    <w:rsid w:val="00F21419"/>
    <w:rsid w:val="00F21BAD"/>
    <w:rsid w:val="00F23144"/>
    <w:rsid w:val="00F240E9"/>
    <w:rsid w:val="00F31222"/>
    <w:rsid w:val="00F44383"/>
    <w:rsid w:val="00F462C7"/>
    <w:rsid w:val="00F92545"/>
    <w:rsid w:val="00F93A56"/>
    <w:rsid w:val="00FA792D"/>
    <w:rsid w:val="00FC2D38"/>
    <w:rsid w:val="00FD6F18"/>
    <w:rsid w:val="00FE5604"/>
    <w:rsid w:val="00FF1DC4"/>
    <w:rsid w:val="00FF24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4DDD5E-BF2A-42E4-BF83-F29C09BA9F1D}">
  <ds:schemaRefs>
    <ds:schemaRef ds:uri="http://schemas.microsoft.com/sharepoint/v3/contenttype/forms"/>
  </ds:schemaRefs>
</ds:datastoreItem>
</file>

<file path=customXml/itemProps3.xml><?xml version="1.0" encoding="utf-8"?>
<ds:datastoreItem xmlns:ds="http://schemas.openxmlformats.org/officeDocument/2006/customXml" ds:itemID="{2C695D88-41D0-4D94-8F20-06CCAE564D2D}">
  <ds:schemaRefs>
    <ds:schemaRef ds:uri="eb582466-1b59-4d29-8755-2962c9164f84"/>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2448</Words>
  <Characters>13956</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2026-01-07T10:49:00Z</dcterms:created>
  <dcterms:modified xsi:type="dcterms:W3CDTF">2026-01-08T11:07:00Z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