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743FE00F" w:rsidR="0073796B" w:rsidRPr="0039662C" w:rsidRDefault="00223A7C" w:rsidP="0039662C">
      <w:pPr>
        <w:pStyle w:val="Naslov1"/>
      </w:pPr>
      <w:r>
        <w:t>402</w:t>
      </w:r>
      <w:r w:rsidR="0073796B" w:rsidRPr="0039662C">
        <w:t xml:space="preserve">. </w:t>
      </w:r>
      <w:r w:rsidR="00F03257">
        <w:t xml:space="preserve">dopisna </w:t>
      </w:r>
      <w:r w:rsidR="0073796B" w:rsidRPr="0039662C">
        <w:t>seja Vlade Republike Slovenije</w:t>
      </w:r>
    </w:p>
    <w:p w14:paraId="27F30B92" w14:textId="29DCE96D" w:rsidR="0073796B" w:rsidRDefault="00223A7C" w:rsidP="008B7AF2">
      <w:pPr>
        <w:pStyle w:val="DatumSZJ"/>
      </w:pPr>
      <w:r>
        <w:t>21</w:t>
      </w:r>
      <w:r w:rsidR="002856E5">
        <w:t>.</w:t>
      </w:r>
      <w:r w:rsidR="008220A3">
        <w:t xml:space="preserve"> </w:t>
      </w:r>
      <w:r w:rsidR="00F03257">
        <w:t>januar</w:t>
      </w:r>
      <w:r w:rsidR="00DA3B4D">
        <w:t xml:space="preserve"> </w:t>
      </w:r>
      <w:r w:rsidR="0073796B" w:rsidRPr="008B7AF2">
        <w:t>202</w:t>
      </w:r>
      <w:r w:rsidR="00F03257">
        <w:t>6</w:t>
      </w:r>
    </w:p>
    <w:p w14:paraId="21CFE6F2" w14:textId="77777777" w:rsidR="00223A7C" w:rsidRDefault="00223A7C" w:rsidP="00223A7C">
      <w:pPr>
        <w:pStyle w:val="Naslov2"/>
      </w:pPr>
      <w:r>
        <w:t>Vlada izdaji priložnostnih kovancev</w:t>
      </w:r>
    </w:p>
    <w:p w14:paraId="6539EC3F" w14:textId="77777777" w:rsidR="00223A7C" w:rsidRDefault="00223A7C" w:rsidP="00223A7C">
      <w:r>
        <w:t>Vlada je na današnji dopisni seji izdala uredbo s katerimi je določila dogodke, ob katerih se v letu 2027 izdajo priložnostni kovanci.</w:t>
      </w:r>
    </w:p>
    <w:p w14:paraId="7A291688" w14:textId="77777777" w:rsidR="00223A7C" w:rsidRDefault="00223A7C" w:rsidP="00223A7C">
      <w:r>
        <w:t xml:space="preserve">Leta 2027 se bo tako izdalo več priložnostnih kovancev, in sicer spominski kovanec za 2 evra ob 100. obletnica rojstva ilustratorke Ančke Gošnik Godec in zbirateljski kovanci (zlatnik, srebrnik in </w:t>
      </w:r>
      <w:proofErr w:type="spellStart"/>
      <w:r>
        <w:t>dvokovinski</w:t>
      </w:r>
      <w:proofErr w:type="spellEnd"/>
      <w:r>
        <w:t xml:space="preserve"> zbirateljski kovanec za 3 evre) ob 80. obletnica priključitve Primorske k matični domovini.</w:t>
      </w:r>
    </w:p>
    <w:p w14:paraId="14D16DEC" w14:textId="77777777" w:rsidR="00223A7C" w:rsidRDefault="00223A7C" w:rsidP="00223A7C">
      <w:pPr>
        <w:pStyle w:val="Vir"/>
      </w:pPr>
      <w:r>
        <w:t>Vir: Ministrstvo za finance</w:t>
      </w:r>
    </w:p>
    <w:p w14:paraId="669F8F4C" w14:textId="77777777" w:rsidR="00223A7C" w:rsidRDefault="00223A7C" w:rsidP="00223A7C">
      <w:pPr>
        <w:pStyle w:val="Naslov2"/>
      </w:pPr>
      <w:r>
        <w:t>Vlada podaljšala koncesijo za prirejanja igre na srečo Eurojackpot</w:t>
      </w:r>
    </w:p>
    <w:p w14:paraId="1EA9085F" w14:textId="77777777" w:rsidR="00223A7C" w:rsidRDefault="00223A7C" w:rsidP="00223A7C">
      <w:r>
        <w:t>Vlada je na današnji dopisni seji gospodarski družbi Loterija Slovenije podaljšala koncesijo za trajno prirejanje klasične igre na srečo Eurojackpot do 30. junija 2031.</w:t>
      </w:r>
    </w:p>
    <w:p w14:paraId="55B2EA58" w14:textId="77777777" w:rsidR="00223A7C" w:rsidRDefault="00223A7C" w:rsidP="00223A7C"/>
    <w:p w14:paraId="4BD516E6" w14:textId="77777777" w:rsidR="00223A7C" w:rsidRDefault="00223A7C" w:rsidP="00223A7C">
      <w:r>
        <w:t>Eurojackpot se v Sloveniji prireja že od leta 2021. Loterija Slovenije je v svoji vlogi navedla vse podatke in predložila vsa dokazila, potrebna za preverjanje izpolnjevanja pogojev, ki so pomembni za odločanje o podaljšanju koncesije za igro Eurojackpot. Glede na kriterij izkušenj in priporočil za prirejanje iger na srečo ima prirediteljica dolgoletne izkušnje na področju trajnega prirejanja klasičnih iger. Vse klasične igre na srečo na podlagi dodeljenih koncesij prireja v skladu s sprejetimi pravili in po potrjenem tehnološkem postopku ter skladno s sprejetim kodeksom družbeno odgovornega prirejanja iger na srečo.</w:t>
      </w:r>
    </w:p>
    <w:p w14:paraId="44F8DD38" w14:textId="77777777" w:rsidR="00223A7C" w:rsidRDefault="00223A7C" w:rsidP="00223A7C">
      <w:pPr>
        <w:pStyle w:val="Vir"/>
      </w:pPr>
      <w:r>
        <w:t>Vir: Ministrstvo za finance</w:t>
      </w:r>
    </w:p>
    <w:p w14:paraId="5F5FBE4E" w14:textId="77777777" w:rsidR="00223A7C" w:rsidRDefault="00223A7C" w:rsidP="00223A7C">
      <w:pPr>
        <w:pStyle w:val="Naslov2"/>
      </w:pPr>
      <w:r>
        <w:t>Vlada o novem seznamu pravnih oseb</w:t>
      </w:r>
    </w:p>
    <w:p w14:paraId="6BC37651" w14:textId="77777777" w:rsidR="00223A7C" w:rsidRDefault="00223A7C" w:rsidP="00223A7C">
      <w:r>
        <w:t>Vlada je na današnji dopisni seji izdala posodobljen seznam pravnih oseb javnega sektorja iz 87. člena Zakona o javnih financah (ZJF).</w:t>
      </w:r>
    </w:p>
    <w:p w14:paraId="449EFF15" w14:textId="77777777" w:rsidR="00223A7C" w:rsidRDefault="00223A7C" w:rsidP="00223A7C"/>
    <w:p w14:paraId="5F7208AF" w14:textId="77777777" w:rsidR="00223A7C" w:rsidRDefault="00223A7C" w:rsidP="00223A7C">
      <w:r>
        <w:t xml:space="preserve">Na posodobljen seznam je bila uvrščena novoustanovljena pravna oseba, in sicer DOVOS, družba za obrambo, varnost in odpornost, d. o. o., ki je bila dne 12. septembra 2025 vpisana v sodni/poslovni register, ustanoviteljica in katere 100 odstotna lastnica je Republika Slovenija. Dodatno sta na seznam dodani tudi družbi MD-ASPEKTA, Podjetje za posredovanje in storitve d. o. o. in MEKOTNJAK AGRO podjetje za proizvodno, storitveno in trgovsko dejavnost, Mekotnjak d. o. o., ki sta na podlagi Zakona o dedovanju prešli v 100 odstotno last Republike Slovenije. Tri pravne osebe, RUDNIK ŽIROVSKI VRH, javno podjetje za zapiranje rudnika urana, d. o. o.- v likvidaciji, Kobilarna Lipica d. o. o. in ELBEKO </w:t>
      </w:r>
    </w:p>
    <w:p w14:paraId="22AC93A2" w14:textId="34A6009B" w:rsidR="00223A7C" w:rsidRDefault="00223A7C" w:rsidP="00223A7C">
      <w:r>
        <w:t xml:space="preserve">d. o. o. Trgovina in storitve Sežana, </w:t>
      </w:r>
      <w:proofErr w:type="spellStart"/>
      <w:r>
        <w:t>Vidmašče</w:t>
      </w:r>
      <w:proofErr w:type="spellEnd"/>
      <w:r>
        <w:t xml:space="preserve"> št. 2 p. Sežana - v stečaju so spremenile naziv. Družbi RTH, Rudnik Trbovlje-Hrastnik d. o. o.-v likvidaciji in LUBRIO Turizem in storitve d. o. o.- v likvidaciji pa sta bili izbrisani iz sodnega/poslovnega registra in s tem sta izločeni tudi iz seznama pravnih oseb iz 87. člena ZJF.</w:t>
      </w:r>
    </w:p>
    <w:p w14:paraId="4864CEBE" w14:textId="77777777" w:rsidR="00223A7C" w:rsidRDefault="00223A7C" w:rsidP="00223A7C">
      <w:pPr>
        <w:pStyle w:val="Vir"/>
      </w:pPr>
      <w:r>
        <w:t>Vir: Ministrstvo za finance</w:t>
      </w:r>
    </w:p>
    <w:p w14:paraId="5E5C1FCB" w14:textId="77777777" w:rsidR="00223A7C" w:rsidRDefault="00223A7C" w:rsidP="00223A7C"/>
    <w:p w14:paraId="0F3CA79C" w14:textId="77777777" w:rsidR="00223A7C" w:rsidRDefault="00223A7C" w:rsidP="00223A7C">
      <w:pPr>
        <w:pStyle w:val="Naslov2"/>
      </w:pPr>
      <w:r>
        <w:t>Vlada potrdila program gradnje depojev za varno hrambo premične kulturne dediščine</w:t>
      </w:r>
    </w:p>
    <w:p w14:paraId="28FBC762" w14:textId="77777777" w:rsidR="00223A7C" w:rsidRDefault="00223A7C" w:rsidP="00223A7C">
      <w:r>
        <w:t>Vlada RS je na predlog Ministrstva za kulturo potrdila Program gradnje objektov za varno hrambo premične kulturne dediščine, vreden 36 milijonov evrov. Program je pripravljen na podlagi Zakona o obnovi, razvoju in zagotavljanju finančnih sredstev (ZORZFS) in je neposreden odziv države na poplave avgusta 2023, ki so razkrile veliko ranljivost obstoječe depojske infrastrukture arhivov in muzejev.</w:t>
      </w:r>
    </w:p>
    <w:p w14:paraId="5E1CCA79" w14:textId="77777777" w:rsidR="00223A7C" w:rsidRDefault="00223A7C" w:rsidP="00223A7C"/>
    <w:p w14:paraId="119075ED" w14:textId="77777777" w:rsidR="00223A7C" w:rsidRDefault="00223A7C" w:rsidP="00223A7C">
      <w:r>
        <w:t>Program se bo izvajal v obdobju 2026–2028, sredstva pa so zagotovljena iz Sklada za obnovo po poplavah. Z njim bo država zagotovila 18.355 m² novih varnih depojskih prostorov na najbolj ogroženih območjih in dolgoročno izboljšala pogoje za delo arhivov in muzejev.</w:t>
      </w:r>
    </w:p>
    <w:p w14:paraId="6E08C323" w14:textId="77777777" w:rsidR="00223A7C" w:rsidRDefault="00223A7C" w:rsidP="00223A7C">
      <w:r>
        <w:t>Vzpostavljena bo mreža regijskih arhivskih in muzejskih depojev v Mariboru, Celju, Slovenj Gradcu, Škofji Loki in na Ravnah na Koroškem. Novi ali prenovljeni objekti bodo zgrajeni po najvišjih strokovnih standardih, z zagotovljeno poplavno, potresno in požarno varnostjo ter ustreznimi mikroklimatskimi pogoji za dolgoročno hrambo arhivskega gradiva in muzejskih predmetov.</w:t>
      </w:r>
    </w:p>
    <w:p w14:paraId="6132FED6" w14:textId="77777777" w:rsidR="00223A7C" w:rsidRDefault="00223A7C" w:rsidP="00223A7C"/>
    <w:p w14:paraId="7C6751F2" w14:textId="77777777" w:rsidR="00223A7C" w:rsidRDefault="00223A7C" w:rsidP="00223A7C">
      <w:r>
        <w:t>Gre za pomemben sistemski prelom: po desetletjih začasnih rešitev država prvič celovito in dolgoročno vlaga v varno, strokovno in podnebno odporno varovanje nacionalne kulturne dediščine.</w:t>
      </w:r>
    </w:p>
    <w:p w14:paraId="30732CC8" w14:textId="77777777" w:rsidR="00223A7C" w:rsidRDefault="00223A7C" w:rsidP="006C4733">
      <w:pPr>
        <w:pStyle w:val="Vir"/>
      </w:pPr>
      <w:r>
        <w:t>Vir: Ministrstvo za kulturo</w:t>
      </w:r>
    </w:p>
    <w:p w14:paraId="369EFF88" w14:textId="77777777" w:rsidR="00223A7C" w:rsidRDefault="00223A7C" w:rsidP="006C4733">
      <w:pPr>
        <w:pStyle w:val="Naslov2"/>
      </w:pPr>
      <w:r>
        <w:t>Vlada se je seznanila z likvidacijo PS7 in s končnim likvidacijskim obračunom</w:t>
      </w:r>
    </w:p>
    <w:p w14:paraId="68DEE142" w14:textId="77777777" w:rsidR="00223A7C" w:rsidRDefault="00223A7C" w:rsidP="00223A7C">
      <w:r>
        <w:t>Vlada Republike Slovenije se je na današnji seji seznanila z zaključkom in s končnim likvidacijskim obračunom posojilnega sklada, namenjenega odpravi posledic poplav iz avgusta 2023 (PS7).</w:t>
      </w:r>
    </w:p>
    <w:p w14:paraId="49748E39" w14:textId="77777777" w:rsidR="00223A7C" w:rsidRDefault="00223A7C" w:rsidP="00223A7C"/>
    <w:p w14:paraId="1780F41B" w14:textId="77777777" w:rsidR="00223A7C" w:rsidRDefault="00223A7C" w:rsidP="00223A7C">
      <w:r>
        <w:t>Posojilni sklad je bil vzpostavljen konec leta 2023 na podlagi pogodbe med Ministrstvom za gospodarstvo, turizem in šport ter SID banko. Ministrstvo je v sklad vplačalo 30 milijonov evrov, skupna predvidena vrednost sklada pa je znašala 100 milijonov evrov. Namen sklada je bil zagotoviti ugodna posojila gospodarstvu za obnovo po poplavah.</w:t>
      </w:r>
    </w:p>
    <w:p w14:paraId="492169A7" w14:textId="77777777" w:rsidR="00223A7C" w:rsidRDefault="00223A7C" w:rsidP="00223A7C"/>
    <w:p w14:paraId="21DF0E33" w14:textId="77777777" w:rsidR="00223A7C" w:rsidRDefault="00223A7C" w:rsidP="00223A7C">
      <w:r>
        <w:t>Zaradi bistveno spremenjenih okoliščin, ki so vplivale na izvajanje in rezultat sklada PS7, je SID banka septembra 2025 podala odpoved pogodbe, ki je začela učinkovati 4. novembra 2025.</w:t>
      </w:r>
    </w:p>
    <w:p w14:paraId="05308EE7" w14:textId="77777777" w:rsidR="00223A7C" w:rsidRDefault="00223A7C" w:rsidP="00223A7C"/>
    <w:p w14:paraId="32E6D543" w14:textId="77777777" w:rsidR="00223A7C" w:rsidRDefault="00223A7C" w:rsidP="00223A7C">
      <w:r>
        <w:t>Ker sprememba Zakona o odpravi posledic naravnih nesreč, ki bi omogočila učinkovito dodeljevanje posojil iz sklada, ni bila sprejeta, posojila niso bila plasirana. Posledično SID banka in ministrstvo nista mogla oblikovati naložbene strategije, sklad pa v praksi ni zaživel.</w:t>
      </w:r>
    </w:p>
    <w:p w14:paraId="5C903EA9" w14:textId="77777777" w:rsidR="00223A7C" w:rsidRDefault="00223A7C" w:rsidP="00223A7C"/>
    <w:p w14:paraId="24C0B2A3" w14:textId="77777777" w:rsidR="00223A7C" w:rsidRDefault="00223A7C" w:rsidP="00223A7C">
      <w:r>
        <w:t>V času delovanja sklada sredstva niso bila uporabljena za posojila, so pa nastajali obrestni prihodki in odhodki. Skupni rezultat poslovanja sklada je bil pozitiven in je ob likvidaciji znašal nekaj več kot 24 tisoč evrov. Od tega pripada približno 17 tisoč evrov Ministrstvu za gospodarstvo, turizem in šport, okoli 7 tisoč evrov pa SID banki.</w:t>
      </w:r>
    </w:p>
    <w:p w14:paraId="0F91D782" w14:textId="77777777" w:rsidR="00223A7C" w:rsidRDefault="00223A7C" w:rsidP="00223A7C"/>
    <w:p w14:paraId="690543DB" w14:textId="77777777" w:rsidR="00223A7C" w:rsidRDefault="00223A7C" w:rsidP="00223A7C">
      <w:r>
        <w:t>Ministrstvo za gospodarstvo, turizem in šport je potrdilo končni likvidacijski obračun. SID banka bo v skladu s pogodbo v roku 30 dni poravnala vse obveznosti do državnega proračuna v višini skoraj 31,8 milijona evrov.</w:t>
      </w:r>
    </w:p>
    <w:p w14:paraId="1A3D0BBC" w14:textId="77777777" w:rsidR="00223A7C" w:rsidRDefault="00223A7C" w:rsidP="006C4733">
      <w:pPr>
        <w:pStyle w:val="Vir"/>
      </w:pPr>
      <w:r>
        <w:t>Vir: Ministrstvo za gospodarstvo, turizem in šport</w:t>
      </w:r>
    </w:p>
    <w:p w14:paraId="69CB47DE" w14:textId="77777777" w:rsidR="00223A7C" w:rsidRDefault="00223A7C" w:rsidP="006C4733">
      <w:pPr>
        <w:pStyle w:val="Naslov2"/>
      </w:pPr>
      <w:r>
        <w:t>Vlada dala soglasje k Tarifi za področje medicinskih pripomočkov</w:t>
      </w:r>
    </w:p>
    <w:p w14:paraId="3690FDF2" w14:textId="77777777" w:rsidR="00223A7C" w:rsidRDefault="00223A7C" w:rsidP="00223A7C"/>
    <w:p w14:paraId="736AEEC6" w14:textId="77777777" w:rsidR="00223A7C" w:rsidRDefault="00223A7C" w:rsidP="00223A7C">
      <w:r>
        <w:lastRenderedPageBreak/>
        <w:t>Vlada Republike Slovenije je dala soglasje k Tarifi Javne agencije Republike Slovenije za zdravila in medicinske pripomočke (JAZMP) za področje medicinskih pripomočkov.</w:t>
      </w:r>
    </w:p>
    <w:p w14:paraId="6857152B" w14:textId="77777777" w:rsidR="00223A7C" w:rsidRDefault="00223A7C" w:rsidP="00223A7C"/>
    <w:p w14:paraId="6FD3FA8B" w14:textId="77777777" w:rsidR="00223A7C" w:rsidRDefault="00223A7C" w:rsidP="00223A7C">
      <w:r>
        <w:t>Namen in cilj Tarife JAZMP je, da se s pristojbinami krije stroške izvajanja nalog JAZMP, ki jih izvaja v skladu s predpisi in pooblastili, vključno s stroški izvajanja razvojnih nalog. Za naloge in storitve s področja pristojnosti JAZMP se zaračunavajo pristojbine. Višina pristojbin je določena na podlagi stroškov po posameznih nalogah. Predvideni so prihodki iz naslova letnih pristojbin ter pristojbin za ostale regulatorne zadeve.</w:t>
      </w:r>
    </w:p>
    <w:p w14:paraId="4E8C171E" w14:textId="77777777" w:rsidR="00223A7C" w:rsidRDefault="00223A7C" w:rsidP="006C4733">
      <w:pPr>
        <w:pStyle w:val="Vir"/>
      </w:pPr>
      <w:r>
        <w:t>Vir: Ministrstvo za zdravje</w:t>
      </w:r>
    </w:p>
    <w:p w14:paraId="44E6D230" w14:textId="77777777" w:rsidR="00223A7C" w:rsidRDefault="00223A7C" w:rsidP="006C4733">
      <w:pPr>
        <w:pStyle w:val="Naslov2"/>
      </w:pPr>
      <w:r>
        <w:t xml:space="preserve">Vlada soglaša s finančnim načrtom </w:t>
      </w:r>
      <w:proofErr w:type="spellStart"/>
      <w:r>
        <w:t>ZPIZa</w:t>
      </w:r>
      <w:proofErr w:type="spellEnd"/>
    </w:p>
    <w:p w14:paraId="1974AB6B" w14:textId="33BC6EEB" w:rsidR="00223A7C" w:rsidRDefault="00223A7C" w:rsidP="00223A7C">
      <w:r>
        <w:t xml:space="preserve">Vlada Republike Slovenije je dala soglasje k Finančnemu načrtu Zavoda za pokojninsko in invalidsko zavarovanje Slovenije za leto 2026, ki ga je Svet Zavoda za pokojninsko in invalidsko zavarovanje Slovenije sprejel na 28. seji 18. </w:t>
      </w:r>
      <w:r w:rsidR="00081C1F">
        <w:t xml:space="preserve">decembra </w:t>
      </w:r>
      <w:r>
        <w:t xml:space="preserve">2025. Finančni načrt tako zajema vse načrtovane prihodke in odhodke zavoda, ki bodo plačani v dobro in izplačani v breme zavoda v koledarskem letu. </w:t>
      </w:r>
    </w:p>
    <w:p w14:paraId="2BE0EA56" w14:textId="77777777" w:rsidR="00223A7C" w:rsidRDefault="00223A7C" w:rsidP="00223A7C"/>
    <w:p w14:paraId="6E8A9D23" w14:textId="577B69BB" w:rsidR="00223A7C" w:rsidRDefault="00223A7C" w:rsidP="00223A7C">
      <w:r>
        <w:t xml:space="preserve">Ker je Finančni načrt zavoda za leto 2026 (FN 2026) zasnovan na podlagi trenutnega stanja, razpoložljivih zunanjih in notranjih informacij, ocen, izhodišč, ter temelji na predpostavkah ter usmeritvah pristojnih institucij, je posledično napoved finančnega poslovanja zavoda za leto 2026 povezana z določeno mero negotovosti, nepredvidljivosti in tveganj uresničitve posameznih predpostavk. Zavod bo v letu 2026 redno mesečno spremljal finančno poslovanje in v primeru večjih odstopanj pripravil rebalans FN 2026. </w:t>
      </w:r>
    </w:p>
    <w:p w14:paraId="56BB34E2" w14:textId="77777777" w:rsidR="00223A7C" w:rsidRDefault="00223A7C" w:rsidP="00223A7C"/>
    <w:p w14:paraId="66E8B4F7" w14:textId="77777777" w:rsidR="00223A7C" w:rsidRDefault="00223A7C" w:rsidP="00223A7C">
      <w:r>
        <w:t>FN 2026 je izdelan na podlagi ocene 2025. Upoštevana so ekonomska izhodišča in predpostavke, ki veljajo za državni proračun.</w:t>
      </w:r>
    </w:p>
    <w:p w14:paraId="08735308" w14:textId="77777777" w:rsidR="00223A7C" w:rsidRDefault="00223A7C" w:rsidP="00223A7C"/>
    <w:p w14:paraId="4B451194" w14:textId="77777777" w:rsidR="00223A7C" w:rsidRDefault="00223A7C" w:rsidP="00223A7C">
      <w:r>
        <w:t>Skupni prihodki zavoda so načrtovani v višini 8.991.607.368 evrov in bodo za 8,3 odstotka višji kot v oceni 2025. Davčni prihodki, ki predstavljajo prispevke za socialno varnost, so načrtovani v višini 7.112.932.916 evrov in bodo za 5.9 odstotka višji, kot znaša ocena 2025. Transferni prihodki so načrtovani v skupni višini 1.838.769.970 evrov, kar pomeni 18,8 odstotka več, kot je ocenjeno za leto 2025. Drugi prihodki zavoda, med katere uvrščamo nedavčne in kapitalske prihodke ter prejeta sredstva iz Evropske unije in drugih držav, so za leto 2026 predvideni v višini 39.904.482 evrov in bodo za 0,3 odstotka višji kot v oceni 2025, predvsem zaradi skupaj višjih prejetih sredstev iz Evropske unije in drugih držav ter kapitalskih prihodkov.</w:t>
      </w:r>
    </w:p>
    <w:p w14:paraId="33C03308" w14:textId="77777777" w:rsidR="00223A7C" w:rsidRDefault="00223A7C" w:rsidP="00223A7C"/>
    <w:p w14:paraId="6F7292B2" w14:textId="36BE517F" w:rsidR="00223A7C" w:rsidRDefault="00223A7C" w:rsidP="00223A7C">
      <w:r>
        <w:t xml:space="preserve">Skupni odhodki zavoda so </w:t>
      </w:r>
      <w:r w:rsidR="00081C1F">
        <w:t>v</w:t>
      </w:r>
      <w:r>
        <w:t xml:space="preserve"> let</w:t>
      </w:r>
      <w:r w:rsidR="00081C1F">
        <w:t>u</w:t>
      </w:r>
      <w:r>
        <w:t xml:space="preserve"> 2026 načrtovani v višini 8.991.607.368 evrov in bodo za 8,3 odstotka višji kot v oceni 2025.</w:t>
      </w:r>
    </w:p>
    <w:p w14:paraId="197299DF" w14:textId="77777777" w:rsidR="00223A7C" w:rsidRDefault="00223A7C" w:rsidP="00223A7C"/>
    <w:p w14:paraId="5C85C65E" w14:textId="77777777" w:rsidR="00223A7C" w:rsidRDefault="00223A7C" w:rsidP="00223A7C">
      <w:r>
        <w:t>FN 2026 je izdelan skladno s 162. in 163. členom ZPIZ-2 na način, da je načrtovana izravnava med prihodki in odhodki. FN 2026 je usklajen z Ministrstvom za finance in Ministrstvom za delo, družino, socialne zadeve in enake možnosti.</w:t>
      </w:r>
    </w:p>
    <w:p w14:paraId="18E4FF78" w14:textId="77777777" w:rsidR="00223A7C" w:rsidRDefault="00223A7C" w:rsidP="00081C1F">
      <w:pPr>
        <w:pStyle w:val="Vir"/>
      </w:pPr>
      <w:r>
        <w:t>Vir: Ministrstvo za delo, družino, socialne zadeve in enake možnosti</w:t>
      </w:r>
    </w:p>
    <w:p w14:paraId="612723BC" w14:textId="77777777" w:rsidR="00223A7C" w:rsidRDefault="00223A7C" w:rsidP="00081C1F">
      <w:pPr>
        <w:pStyle w:val="Naslov2"/>
      </w:pPr>
      <w:r>
        <w:t>Poročilo Delovne skupine vlade za implementacijo IBM Strategije za leto 2025</w:t>
      </w:r>
    </w:p>
    <w:p w14:paraId="5B154660" w14:textId="77777777" w:rsidR="00223A7C" w:rsidRDefault="00223A7C" w:rsidP="00223A7C">
      <w:r>
        <w:t>Vlada Republike Slovenije se je seznanila s Poročilom o delovanju Delovne skupine vlade za implementacijo Strategije skladnega upravljanja državne meje Republike Slovenije (IBM Strategija) za leto 2025.</w:t>
      </w:r>
    </w:p>
    <w:p w14:paraId="5A39B248" w14:textId="77777777" w:rsidR="00223A7C" w:rsidRDefault="00223A7C" w:rsidP="00223A7C"/>
    <w:p w14:paraId="72795316" w14:textId="77777777" w:rsidR="00223A7C" w:rsidRDefault="00223A7C" w:rsidP="00223A7C">
      <w:r>
        <w:lastRenderedPageBreak/>
        <w:t>Policija kot glavni koordinator za implementacijo strategije je skrbela za usklajevanje in komunikacijo z Evropsko komisijo in delovno skupino za implementacijo Tehnične in operativne strategije evropskega integriranega upravljanja zunanjih meja Evropske unije v okviru agencije Frontex. Člani delovne skupine so se med drugim seznanili s stanjem implementacije IBM Strategije in stanjem poročila o schengenski evalvaciji Republike Slovenije.</w:t>
      </w:r>
    </w:p>
    <w:p w14:paraId="3C9D2DCE" w14:textId="77777777" w:rsidR="00223A7C" w:rsidRDefault="00223A7C" w:rsidP="00081C1F">
      <w:pPr>
        <w:pStyle w:val="Vir"/>
      </w:pPr>
      <w:r>
        <w:t>Vir: Ministrstvo za notranje zadeve</w:t>
      </w:r>
    </w:p>
    <w:p w14:paraId="2A649DC2" w14:textId="77777777" w:rsidR="00223A7C" w:rsidRDefault="00223A7C" w:rsidP="00081C1F">
      <w:pPr>
        <w:pStyle w:val="Naslov2"/>
      </w:pPr>
      <w:r>
        <w:t>Vlada prerazporeja sredstva državnega proračuna</w:t>
      </w:r>
    </w:p>
    <w:p w14:paraId="614D6F42" w14:textId="77777777" w:rsidR="00223A7C" w:rsidRDefault="00223A7C" w:rsidP="00223A7C">
      <w:r>
        <w:t>Vlada je na današnji dopisni seji odločila o prerazporeditvah pravic porabe v letošnjem državnem proračunu.</w:t>
      </w:r>
    </w:p>
    <w:p w14:paraId="72B222CC" w14:textId="77777777" w:rsidR="00223A7C" w:rsidRDefault="00223A7C" w:rsidP="00223A7C"/>
    <w:p w14:paraId="36EDD48F" w14:textId="77777777" w:rsidR="00223A7C" w:rsidRDefault="00223A7C" w:rsidP="00223A7C">
      <w:r>
        <w:t>Med drugim Ministrstvo za kohezijo in regionalni razvoj prerazporeja pravice porabe na Ministrstvo za gospodarstvo, turizem in šport v višini 316 tisoč evrov za financiranje projekta Izvajanje nalog kontaktne točke STEP Slovenija.</w:t>
      </w:r>
    </w:p>
    <w:p w14:paraId="5D0053E1" w14:textId="77777777" w:rsidR="00223A7C" w:rsidRDefault="00223A7C" w:rsidP="00223A7C"/>
    <w:p w14:paraId="709EC816" w14:textId="77777777" w:rsidR="00223A7C" w:rsidRDefault="00223A7C" w:rsidP="00223A7C">
      <w:r>
        <w:t>Ministrstvo za delo, družino, socialne zadeve in enake možnosti prerazporeja pravice porabe na Ministrstvo za visoko šolstvo, znanost in inovacije v višini 1,65 milijona evrov na podlagi dogovora o prenosu proračunskih sredstev za potrebe štipendij Ad futura za leto 2026.</w:t>
      </w:r>
    </w:p>
    <w:p w14:paraId="166EDCAB" w14:textId="77777777" w:rsidR="00223A7C" w:rsidRDefault="00223A7C" w:rsidP="00223A7C"/>
    <w:p w14:paraId="36145C85" w14:textId="77777777" w:rsidR="00223A7C" w:rsidRDefault="00223A7C" w:rsidP="00223A7C">
      <w:r>
        <w:t>Ministrstvo za digitalno preobrazbo prerazporeja pravice porabe znotraj svojega finančnega načrta v skupni višini 265 tisoč evrov zagotovitev sredstev za nemoteno delovanje in izvajanje nalog Kompetenčnega centra ČIP.SI.</w:t>
      </w:r>
    </w:p>
    <w:p w14:paraId="75011ACC" w14:textId="77777777" w:rsidR="00223A7C" w:rsidRDefault="00223A7C" w:rsidP="00081C1F">
      <w:pPr>
        <w:pStyle w:val="Vir"/>
      </w:pPr>
      <w:r>
        <w:t>Vir: Ministrstvo za finance</w:t>
      </w:r>
    </w:p>
    <w:p w14:paraId="02978632" w14:textId="77777777" w:rsidR="00223A7C" w:rsidRDefault="00223A7C" w:rsidP="00081C1F">
      <w:pPr>
        <w:pStyle w:val="Naslov2"/>
      </w:pPr>
      <w:r>
        <w:t>Vlada zagotovila sredstva za izvajanje ukrepov odprave posledic naravne nesreče</w:t>
      </w:r>
    </w:p>
    <w:p w14:paraId="4FCD1D97" w14:textId="77777777" w:rsidR="00223A7C" w:rsidRDefault="00223A7C" w:rsidP="00223A7C">
      <w:r>
        <w:t>Ministrstvu za naravne vire in prostor se zagotovijo pravice porabe v višini 2,25 milijona evrov iz sredstev sklada proračunske rezerve za izvedbo Programa odprave posledic neposredne škode na stvareh zaradi neurij s poplavami in zemeljskimi plazovi 29. in 30. avgusta 2025.</w:t>
      </w:r>
    </w:p>
    <w:p w14:paraId="0AF50FAD" w14:textId="77777777" w:rsidR="00223A7C" w:rsidRDefault="00223A7C" w:rsidP="00223A7C"/>
    <w:p w14:paraId="766724A1" w14:textId="77777777" w:rsidR="00223A7C" w:rsidRDefault="00223A7C" w:rsidP="00223A7C">
      <w:r>
        <w:t>Vlada je novembra 2025 s sklepom potrdila končno oceno neposredne škode na stvareh zaradi posledic neurja s poplavami in zemeljskimi plazovi 29. in 30. avgusta 2025, ki so prizadela občine v Notranjski, Obalni, Podravski in Vzhodno štajerski regiji. Ugotovila je, da skupna končna ocena neposredne škode na stvareh presega 0,3 promile načrtovanih prihodkov državnega proračuna za leto 2025 in je tako dosežen limit za pomoč v skladu z Zakonom o odpravi posledic naravnih nesreč. S sklepom je naložila pristojnim ministrstvom, da na podlagi ocene škode pripravijo predlog programa odprave posledic neposredne škode. Program je vlada potrdila in določila, da se skladno z Zakonom o javnih financah pravice porabe zagotavljajo v okviru sredstev sklada proračunske rezerve.</w:t>
      </w:r>
    </w:p>
    <w:p w14:paraId="717D8CDB" w14:textId="77777777" w:rsidR="00223A7C" w:rsidRDefault="00223A7C" w:rsidP="00081C1F">
      <w:pPr>
        <w:pStyle w:val="Vir"/>
      </w:pPr>
      <w:r>
        <w:t>Vir: Ministrstvo za finance</w:t>
      </w:r>
    </w:p>
    <w:p w14:paraId="088D1A8A" w14:textId="77777777" w:rsidR="00223A7C" w:rsidRDefault="00223A7C" w:rsidP="00081C1F">
      <w:pPr>
        <w:pStyle w:val="Naslov2"/>
      </w:pPr>
      <w:r>
        <w:t xml:space="preserve">Sklep o napotitvi uslužbencev Ministrstva za obrambo v okviru Enot za hitro odzivanje na kibernetske grožnje na opravljanje nalog v okviru misije Evropske Unije v Mozambiku </w:t>
      </w:r>
    </w:p>
    <w:p w14:paraId="31A6305D" w14:textId="77777777" w:rsidR="00223A7C" w:rsidRDefault="00223A7C" w:rsidP="00223A7C">
      <w:r>
        <w:t xml:space="preserve">Vlada Republike Slovenije je sprejela odločitev o napotitvi dveh uslužbencev Ministrstva za obrambo v okviru Enot za hitro odzivanje na kibernetske grožnje na opravljanje nalog v misiji Evropske unije v Mozambiku. Urad Vlade Republike Slovenije za informacijsko varnost je na podlagi 43. člena Zakona o informacijski varnosti prejel zaprosilo Ministrstva za obrambo za pomoč pri kibernetski obrambi na mednarodni ravni. Republika Slovenija je s pristopom k Memorandumu o soglasju glede sodelovanja pri projektu »Enota za hitro odzivanje na kibernetske grožnje in medsebojna pomoč na področju </w:t>
      </w:r>
      <w:r>
        <w:lastRenderedPageBreak/>
        <w:t>kibernetske varnosti od leta 2023 dalje članica PESCO projekta »Enota za hitro odzivanje na kibernetske grožnje in medsebojna pomoč na področju kibernetske varnosti«. V okviru omenjenega projekta je bila vzpostavljena Enota za hitro odzivanje na kibernetske grožnje, ki jo sestavljajo predstavniki držav podpisnic zgoraj navedenega memoranduma.</w:t>
      </w:r>
    </w:p>
    <w:p w14:paraId="4F9A3DD2" w14:textId="77777777" w:rsidR="00223A7C" w:rsidRDefault="00223A7C" w:rsidP="00223A7C"/>
    <w:p w14:paraId="6B42798D" w14:textId="77777777" w:rsidR="00223A7C" w:rsidRDefault="00223A7C" w:rsidP="00223A7C">
      <w:r>
        <w:t>V okviru delovanja CRRT je Ministrstvo za obrambo prejelo zaprosilo Vojaške zmogljivosti za načrtovanje in izvajanje operacij za napotitev enote v podporo delovanju misije usposabljanja EU v Mozambiku (EUMAM Mozambik). Glede na nalogo, ki jih bo CRRT enota izvajala v Mozambiku in upoštevaje, da bo Republika Slovenija v letu 2026 predsedujoča rotaciji PESCO CRRT projekta, je Ministrstvo za obrambo predlagalo imenovanje dveh uslužbencev ministrstva, ki imata potrebna znanja in izkušnje za izvedbo omenjenih nalog. V okviru misije EUMAM Mozambik je predvideno, da bo ekipa CRRT opravila nalogo celovitega pregleda in oceno ranljivosti računalniškega omrežja glavnega štaba EUMAM misije v Mozambiku, poleg tega pa bo Republika Slovenija kot rotirajoči udeleženec zagotovila tudi tehničnega koordinatorja CRRT enote, ki bo skrbel za logistiko.</w:t>
      </w:r>
    </w:p>
    <w:p w14:paraId="18C6E728" w14:textId="77777777" w:rsidR="00223A7C" w:rsidRDefault="00223A7C" w:rsidP="00081C1F">
      <w:pPr>
        <w:pStyle w:val="Vir"/>
      </w:pPr>
      <w:r>
        <w:t>Vir: Urad za informacijsko varnost</w:t>
      </w:r>
    </w:p>
    <w:p w14:paraId="60DCBAA6" w14:textId="77777777" w:rsidR="00223A7C" w:rsidRDefault="00223A7C" w:rsidP="00081C1F">
      <w:pPr>
        <w:pStyle w:val="Naslov2"/>
      </w:pPr>
      <w:r>
        <w:t>Mnenje vlade k predlogu novele Zakona o javnem naročanju</w:t>
      </w:r>
    </w:p>
    <w:p w14:paraId="5EBA42CB" w14:textId="77777777" w:rsidR="00223A7C" w:rsidRDefault="00223A7C" w:rsidP="00223A7C">
      <w:r>
        <w:t xml:space="preserve">Vlada Republike Slovenije je sprejela Mnenje o Predlogu zakona o spremembah in dopolnitvah Zakona o javnem naročanju – skrajšani postopek, ki ga je Državnemu zboru predložila skupina poslank in poslancev (prvopodpisani Miha Lamut) in ga posreduje Državnemu zboru Republike Slovenije. Vlada predlog zakona podpira. </w:t>
      </w:r>
    </w:p>
    <w:p w14:paraId="2AA16101" w14:textId="77777777" w:rsidR="00223A7C" w:rsidRDefault="00223A7C" w:rsidP="00223A7C"/>
    <w:p w14:paraId="0C13357D" w14:textId="77777777" w:rsidR="00223A7C" w:rsidRDefault="00223A7C" w:rsidP="00223A7C">
      <w:r>
        <w:t>Predlog novele zakona posega v 69. in 70. člen veljavnega Zakona o javnem naročanju (ZJN-3). Obstoječi ZJN-3 določa, da kadar namerava naročnik naročiti gradnje, storitve ali blago z določenimi okoljskimi, socialnimi ali drugimi značilnostmi, lahko v tehničnih specifikacijah, merilih za oddajo javnega naročila ali pogojih za izvedbo javnega naročila zahteva določen znak kot dokaz, da te gradnje, storitve ali blago ustrezajo zahtevanim značilnostim (pod določenimi pogoji). Zakon določa tudi izjeme, ko gospodarski subjekt iz določenih razlogov takšnega znaka ne more pridobiti v določenem roku, in ponudnik izpolnjevanje zahtev naročnika dokazuje na drug način, na primer s tehnično dokumentacijo proizvajalca. S predlogom novele se ureditev v tem delu zaostruje z namenom večje transparentnosti v postopkih javnega naročanja in preprečevanja nedopustnega izkrivljanja konkurence, in sicer tako, da se proizvajalec ali od proizvajalca odvisna oseba ne moreta sklicevati na izjemo.</w:t>
      </w:r>
    </w:p>
    <w:p w14:paraId="549663F6" w14:textId="77777777" w:rsidR="00223A7C" w:rsidRDefault="00223A7C" w:rsidP="00081C1F">
      <w:pPr>
        <w:pStyle w:val="Vir"/>
      </w:pPr>
      <w:r>
        <w:t>Vir: Ministrstvo za javno upravo</w:t>
      </w:r>
    </w:p>
    <w:p w14:paraId="2F728B25" w14:textId="77777777" w:rsidR="00223A7C" w:rsidRDefault="00223A7C" w:rsidP="00081C1F">
      <w:pPr>
        <w:pStyle w:val="Naslov2"/>
      </w:pPr>
      <w:r>
        <w:t>Vlada ne podpira sprememb Zakona o pokojninskem in invalidskem zavarovanju</w:t>
      </w:r>
    </w:p>
    <w:p w14:paraId="3218F26A" w14:textId="62AD1AD0" w:rsidR="00223A7C" w:rsidRDefault="00223A7C" w:rsidP="00223A7C">
      <w:r>
        <w:t xml:space="preserve">Vlada je sprejela </w:t>
      </w:r>
      <w:r w:rsidR="00081C1F">
        <w:t>m</w:t>
      </w:r>
      <w:r>
        <w:t xml:space="preserve">nenje o </w:t>
      </w:r>
      <w:r w:rsidR="00081C1F">
        <w:t>p</w:t>
      </w:r>
      <w:r>
        <w:t xml:space="preserve">redlogu </w:t>
      </w:r>
      <w:r w:rsidR="00081C1F">
        <w:t>Z</w:t>
      </w:r>
      <w:r>
        <w:t>akona o spremembah in dopolnitvah Zakona o pokojninskem in invalidskem zavarovanju, ki ga je Državnemu zboru predložila skupina poslank in poslancev (prvopodpisana Jelka Godec) in ga pošlje Državnemu zboru. Vlada sprememb zakona ne podpira.</w:t>
      </w:r>
    </w:p>
    <w:p w14:paraId="0218AB99" w14:textId="77777777" w:rsidR="00223A7C" w:rsidRDefault="00223A7C" w:rsidP="00223A7C"/>
    <w:p w14:paraId="077BACF4" w14:textId="77777777" w:rsidR="00223A7C" w:rsidRDefault="00223A7C" w:rsidP="00223A7C">
      <w:r>
        <w:t xml:space="preserve">Predlagatelji predlagajo spremembo </w:t>
      </w:r>
      <w:proofErr w:type="spellStart"/>
      <w:r>
        <w:t>39.a</w:t>
      </w:r>
      <w:proofErr w:type="spellEnd"/>
      <w:r>
        <w:t xml:space="preserve"> člena ZPIZ-2, ki določa izplačilo dela pokojnine in bi po spremembi omogočal t. i. dvojni status oziroma izplačilo pokojnine v polnem znesku v primeru nadaljevanja z delovno aktivnostjo. Po predlogu spremembe navedenega člena, bi zavarovancu, ki je izpolnil pogoj za starostno upokojitev z dnem izpolnitve pogoja prenehala pogodba o zaposlitvi in bi se štel za upravičenca do starostne pokojnine ter bi lahko ob soglasju delodajalca nadaljeval z delom tudi po upokojitvi, pri čemer bi se sklenila nova pogodba o zaposlitvi. Posledično temu se predlaga dopolnitev določb delovnopravne zakonodaje, in sicer z novim </w:t>
      </w:r>
      <w:proofErr w:type="spellStart"/>
      <w:r>
        <w:t>114.a</w:t>
      </w:r>
      <w:proofErr w:type="spellEnd"/>
      <w:r>
        <w:t xml:space="preserve"> členom, ki bi zaradi delovnih potreb določal možnost sklenitve nove pogodbe o zaposlitvi med delodajalcem in delavcem po njegovi </w:t>
      </w:r>
      <w:r>
        <w:lastRenderedPageBreak/>
        <w:t xml:space="preserve">upokojitvi. Prav tako pa predlagajo, da se v ZPIZ-2 črta četrto poglavje z naslovom »Delna pokojnina« in sicer 40. in </w:t>
      </w:r>
      <w:proofErr w:type="spellStart"/>
      <w:r>
        <w:t>40.a</w:t>
      </w:r>
      <w:proofErr w:type="spellEnd"/>
      <w:r>
        <w:t xml:space="preserve"> člen.</w:t>
      </w:r>
    </w:p>
    <w:p w14:paraId="2EA6D21A" w14:textId="77777777" w:rsidR="00223A7C" w:rsidRDefault="00223A7C" w:rsidP="00223A7C"/>
    <w:p w14:paraId="50D70886" w14:textId="77777777" w:rsidR="00223A7C" w:rsidRDefault="00223A7C" w:rsidP="00223A7C">
      <w:r>
        <w:t>Vlada RS meni, da je k oblikovanju nadaljnjih sprememb sistema pokojninskega in invalidskega zavarovanja potrebno pristopiti s sistemskimi rešitvami, ne samo zaradi preglednosti sistema, temveč tudi zato, da se le-ta ponovno vzpostavi na način, ki bo upošteval tako enakosti kot tudi razlike med posameznimi kategorijami zavarovancev ter vzpostavil rešitve, ki bodo do vseh čim bolj pravične. Vlada RS želi, da je pokojninski sistem pregleden, vzdržen in zaupanja vreden sistem, tako za starejše kot tudi za mlajše generacije in za generacije, ki bodo šele vstopale v sistem. Zato morajo biti spremembe pokojninske zakonodaje izvedene premišljeno, ob širšem družbenem konsenzu in na podlagi posvetovanja s socialnimi partnerji, sloneti pa morajo na načelih, ki so trdno zasidrana v naš pokojninski sistem.</w:t>
      </w:r>
    </w:p>
    <w:p w14:paraId="646EEC82" w14:textId="77777777" w:rsidR="00223A7C" w:rsidRDefault="00223A7C" w:rsidP="00223A7C"/>
    <w:p w14:paraId="0E742812" w14:textId="77777777" w:rsidR="00223A7C" w:rsidRDefault="00223A7C" w:rsidP="00223A7C">
      <w:r>
        <w:t>Odpoved pogodbe o zaposlitvi na pobudo delodajalca iz poslovnega razloga, ker delavec izpolnjuje pogoje za pridobitev pravice do starostne pokojnine, ne da bi bila odločitev delodajalca utemeljena z resnimi objektivnimi razlogi, ki izhajajo iz njegove sfere, v posledici tega pa delavca prikrajša za ustrezno delovnopravno varstvo glede prenehanja delovnega razmerja, je v neskladju s 4. členom Konvencije MOD št. 158 in 24. členom MESL ter posledično 8. in 16. členom Ustave RS.</w:t>
      </w:r>
    </w:p>
    <w:p w14:paraId="19320326" w14:textId="77777777" w:rsidR="00223A7C" w:rsidRDefault="00223A7C" w:rsidP="00223A7C"/>
    <w:p w14:paraId="2EAF7CA8" w14:textId="77777777" w:rsidR="00223A7C" w:rsidRDefault="00223A7C" w:rsidP="00223A7C">
      <w:r>
        <w:t xml:space="preserve">Vlada predlaganim rešitvam nasprotuje, zato predloga zakona ne podpira in meni, da ni primeren za nadaljnjo obravnavo. </w:t>
      </w:r>
    </w:p>
    <w:p w14:paraId="55765ADB" w14:textId="77777777" w:rsidR="00223A7C" w:rsidRDefault="00223A7C" w:rsidP="00081C1F">
      <w:pPr>
        <w:pStyle w:val="Vir"/>
      </w:pPr>
      <w:r>
        <w:t>Vir: Ministrstvo za delo, družino, socialne zadeve in enake možnosti</w:t>
      </w:r>
    </w:p>
    <w:p w14:paraId="0CF1ECD7" w14:textId="77777777" w:rsidR="003A1F91" w:rsidRDefault="003A1F91" w:rsidP="003A1F91">
      <w:pPr>
        <w:pStyle w:val="Naslov2"/>
      </w:pPr>
      <w:r>
        <w:t>Vlada o predlogu zakona o vzpostavitvi in delovanju evropske enotne točke dostopa</w:t>
      </w:r>
    </w:p>
    <w:p w14:paraId="00481C80" w14:textId="77777777" w:rsidR="003A1F91" w:rsidRDefault="003A1F91" w:rsidP="003A1F91">
      <w:r>
        <w:t xml:space="preserve">Vlada je na današnji dopisni seji sprejela soglasje k predlogom amandmajev k predlogu zakona o spremembah in dopolnitvah določenih zakonov glede vzpostavitve in delovanja evropske enotne točke dostopa. S predlaganimi amandmaji se odpravijo nekatere naknadno ugotovljene pomanjkljivosti s strani Zakonodajno pravne službe Državnega zbora in na določenih mestih izboljša besedilo.  </w:t>
      </w:r>
    </w:p>
    <w:p w14:paraId="0B2C195A" w14:textId="77777777" w:rsidR="003A1F91" w:rsidRDefault="003A1F91" w:rsidP="003A1F91">
      <w:pPr>
        <w:pStyle w:val="Vir"/>
      </w:pPr>
      <w:r>
        <w:t>Vir: Ministrstvo za finance</w:t>
      </w:r>
    </w:p>
    <w:p w14:paraId="4F78756D" w14:textId="77777777" w:rsidR="003A1F91" w:rsidRDefault="003A1F91" w:rsidP="003A1F91">
      <w:pPr>
        <w:pStyle w:val="Naslov2"/>
      </w:pPr>
      <w:r>
        <w:t>Vlada o spremembi in dopolnitvi zakona o postopku sodnega varstva nekdanjih imetnikov kvalificiranih obveznosti bank</w:t>
      </w:r>
    </w:p>
    <w:p w14:paraId="69F11B7C" w14:textId="77777777" w:rsidR="003A1F91" w:rsidRDefault="003A1F91" w:rsidP="003A1F91">
      <w:r>
        <w:t>Vlada je na današnji dopisni seji sprejela soglasje k predlogom amandmajev k Predlogu zakona o spremembi in dopolnitvi Zakona o postopku sodnega varstva nekdanjih imetnikov kvalificiranih obveznosti bank.</w:t>
      </w:r>
    </w:p>
    <w:p w14:paraId="4141ECC2" w14:textId="77777777" w:rsidR="003A1F91" w:rsidRDefault="003A1F91" w:rsidP="003A1F91"/>
    <w:p w14:paraId="61B8563C" w14:textId="5547DEF9" w:rsidR="003A1F91" w:rsidRDefault="003A1F91" w:rsidP="003A1F91">
      <w:r>
        <w:t>S predlaganimi amandmaji se v največji možni meri upoštevajo pripombe Zakonodajno-pravne službe Državnega zbora, ki jih je le-te podala z vidika skladnosti predlaganega zakona z Ustavo Republike Slovenije, pravnim sistemom in z zakonodajno-tehničnega vidika.</w:t>
      </w:r>
    </w:p>
    <w:p w14:paraId="4DA6FDFF" w14:textId="2FEF2992" w:rsidR="003A1F91" w:rsidRDefault="003A1F91" w:rsidP="003A1F91">
      <w:pPr>
        <w:pStyle w:val="Vir"/>
      </w:pPr>
      <w:r>
        <w:t>Vir: Ministrstvo za finance</w:t>
      </w:r>
    </w:p>
    <w:p w14:paraId="66BDF252" w14:textId="77777777" w:rsidR="00223A7C" w:rsidRDefault="00223A7C" w:rsidP="00081C1F">
      <w:pPr>
        <w:pStyle w:val="Naslov2"/>
      </w:pPr>
      <w:r>
        <w:t>Vlada dala soglasje s predlogom amandmajev k noveli Zakona o prekrških</w:t>
      </w:r>
    </w:p>
    <w:p w14:paraId="28C06C0D" w14:textId="603C8E22" w:rsidR="00223A7C" w:rsidRDefault="00223A7C" w:rsidP="00223A7C">
      <w:r>
        <w:t xml:space="preserve">Vlada je dala soglasje k predlogom amandmajev k predlogu novele Zakona o prekrških. </w:t>
      </w:r>
    </w:p>
    <w:p w14:paraId="78FDF7ED" w14:textId="77777777" w:rsidR="00223A7C" w:rsidRDefault="00223A7C" w:rsidP="00223A7C"/>
    <w:p w14:paraId="421D2AB2" w14:textId="77777777" w:rsidR="00223A7C" w:rsidRDefault="00223A7C" w:rsidP="00223A7C">
      <w:r>
        <w:t>Vlada je predlog novele zakona Državnemu zboru posredovala 10. 11. 2025, Zakonodajno-pravna služba DZ pa je o njem podala mnenje. Glede na pripombe, ki jih vlada ocenjuje kot utemeljene, so bili pripravljeni amandmaji, ki pripombe ZPS ustrezno naslavljajo.</w:t>
      </w:r>
    </w:p>
    <w:p w14:paraId="1C565967" w14:textId="77777777" w:rsidR="00223A7C" w:rsidRDefault="00223A7C" w:rsidP="00081C1F">
      <w:pPr>
        <w:pStyle w:val="Vir"/>
      </w:pPr>
      <w:r>
        <w:lastRenderedPageBreak/>
        <w:t>Vir: Ministrstvo za pravosodje</w:t>
      </w:r>
    </w:p>
    <w:p w14:paraId="080B5CD5" w14:textId="77777777" w:rsidR="00223A7C" w:rsidRDefault="00223A7C" w:rsidP="00081C1F">
      <w:pPr>
        <w:pStyle w:val="Naslov2"/>
      </w:pPr>
      <w:r>
        <w:t xml:space="preserve">Vlada soglaša s predlogom amandmajev k noveli ZSKZDČEU </w:t>
      </w:r>
    </w:p>
    <w:p w14:paraId="726BFCB1" w14:textId="0E25947B" w:rsidR="00223A7C" w:rsidRDefault="00223A7C" w:rsidP="00223A7C">
      <w:r>
        <w:t>Vlada je dala soglasje k predlogom amandmajev k predlogu Zakona o spremembah in dopolnitvah Zakona o sodelovanju v kazenskih zadevah z državami članicami Evropske unije, ki se obravnava po skrajšanem zakonodajnem postopku.</w:t>
      </w:r>
    </w:p>
    <w:p w14:paraId="33CA0E9C" w14:textId="77777777" w:rsidR="00223A7C" w:rsidRDefault="00223A7C" w:rsidP="00223A7C"/>
    <w:p w14:paraId="699F3755" w14:textId="52BDFC43" w:rsidR="00223A7C" w:rsidRDefault="00223A7C" w:rsidP="00223A7C">
      <w:r>
        <w:t>Vlada je predlog zakona Državnemu zboru posredovala 12. 9. 2025. Zakonodajno-pravna služba Državnega zbora RS je k predlogu podala mnenje, pripravljeni amandmaji pa te pripombe ustrezno naslavljajo.</w:t>
      </w:r>
    </w:p>
    <w:p w14:paraId="46AD7F77" w14:textId="77777777" w:rsidR="00223A7C" w:rsidRDefault="00223A7C" w:rsidP="00081C1F">
      <w:pPr>
        <w:pStyle w:val="Vir"/>
      </w:pPr>
      <w:r>
        <w:t>Vir: Ministrstvo za pravosodje</w:t>
      </w:r>
    </w:p>
    <w:p w14:paraId="5B8F12AA" w14:textId="77777777" w:rsidR="00223A7C" w:rsidRDefault="00223A7C" w:rsidP="00081C1F">
      <w:pPr>
        <w:pStyle w:val="Naslov2"/>
      </w:pPr>
      <w:r>
        <w:t>Soglasje k imenovanju direktorja zavoda TECOS-Razvojni center orodjarstva Slovenije</w:t>
      </w:r>
    </w:p>
    <w:p w14:paraId="1A9F2125" w14:textId="60B9B7B7" w:rsidR="00223A7C" w:rsidRDefault="00223A7C" w:rsidP="00223A7C">
      <w:r>
        <w:t xml:space="preserve">Vlada je dala soglasje k imenovanju dr. Aleša Hančiča za direktorja zavoda TECOS-Razvojni center orodjarstva Slovenije za mandatno dobo štirih let. </w:t>
      </w:r>
    </w:p>
    <w:p w14:paraId="65C73EFD" w14:textId="77777777" w:rsidR="00223A7C" w:rsidRDefault="00223A7C" w:rsidP="00223A7C"/>
    <w:p w14:paraId="27C852BE" w14:textId="77777777" w:rsidR="00223A7C" w:rsidRDefault="00223A7C" w:rsidP="00223A7C">
      <w:r>
        <w:t>Vir: Ministrstvo za visoko šolstvo, znanost in inovacije</w:t>
      </w:r>
    </w:p>
    <w:p w14:paraId="4B1B0CE7" w14:textId="77777777" w:rsidR="00223A7C" w:rsidRDefault="00223A7C" w:rsidP="00223A7C"/>
    <w:p w14:paraId="67CAD780" w14:textId="77777777" w:rsidR="00223A7C" w:rsidRDefault="00223A7C" w:rsidP="00223A7C">
      <w:r>
        <w:t xml:space="preserve">Vlada imenovala predstavnike ustanovitelja in uporabnikov v svet Zavoda Republike Slovenije za šolstvo </w:t>
      </w:r>
    </w:p>
    <w:p w14:paraId="6BBA44AE" w14:textId="77777777" w:rsidR="00223A7C" w:rsidRDefault="00223A7C" w:rsidP="00223A7C"/>
    <w:p w14:paraId="63E9B8BA" w14:textId="77777777" w:rsidR="00223A7C" w:rsidRDefault="00223A7C" w:rsidP="00223A7C">
      <w:r>
        <w:t>Vlada je v svet Zavoda Republike Slovenije za šolstvo za mandatno dobo štirih let, od ustanovitvene seje, kot predstavnika ustanovitelja imenovala Majo Mihelič Debeljak in Leva Pavlovskega. Kot predstavnike uporabnikov oziroma zainteresirane javnosti pa je imenovala: Barbaro Novinec, na predlog združenja ravnateljev vrtcev; mag. Mojco Mihelič, na predlog Združenja ravnateljev osnovnih šol in Nives Počkar, na predlog Združenja ravnateljev srednjih šol.</w:t>
      </w:r>
    </w:p>
    <w:p w14:paraId="1860989B" w14:textId="77777777" w:rsidR="00223A7C" w:rsidRDefault="00223A7C" w:rsidP="00223A7C"/>
    <w:p w14:paraId="4CCB2E67" w14:textId="77777777" w:rsidR="00223A7C" w:rsidRDefault="00223A7C" w:rsidP="00223A7C">
      <w:r>
        <w:t>Novi člani so imenovani zaradi poteka mandata dosedanjemu svetu zavoda z dnem 21. 12. 2025.</w:t>
      </w:r>
    </w:p>
    <w:p w14:paraId="43D32E1E" w14:textId="77777777" w:rsidR="00223A7C" w:rsidRDefault="00223A7C" w:rsidP="00081C1F">
      <w:pPr>
        <w:pStyle w:val="Vir"/>
      </w:pPr>
      <w:r>
        <w:t>Vir: Ministrstvo za vzgojo in izobraževanje</w:t>
      </w:r>
    </w:p>
    <w:p w14:paraId="7E42C63A" w14:textId="77777777" w:rsidR="00223A7C" w:rsidRDefault="00223A7C" w:rsidP="00081C1F">
      <w:pPr>
        <w:pStyle w:val="Naslov2"/>
      </w:pPr>
      <w:r>
        <w:t>Imenovanje Odbora za podeljevanje nagrade Zlata čebela</w:t>
      </w:r>
    </w:p>
    <w:p w14:paraId="521C5AB6" w14:textId="77777777" w:rsidR="00223A7C" w:rsidRDefault="00223A7C" w:rsidP="00223A7C">
      <w:r>
        <w:t>Vlada Republike Slovenije je sprejela Sklep o imenovanju članov Odbora za podeljevanje nagrade Zlata čebela.</w:t>
      </w:r>
    </w:p>
    <w:p w14:paraId="24D0DBEC" w14:textId="77777777" w:rsidR="00223A7C" w:rsidRDefault="00223A7C" w:rsidP="00223A7C"/>
    <w:p w14:paraId="7B91C479" w14:textId="77777777" w:rsidR="00223A7C" w:rsidRDefault="00223A7C" w:rsidP="00223A7C">
      <w:r>
        <w:t>V Odbor za podeljevanje nagrade Zlata čebela se za mandatno dobo štirih let, od 22. januarja 2026 do 22. januarja 2030 imenujejo naslednji člane, predstavnike institucij:</w:t>
      </w:r>
    </w:p>
    <w:p w14:paraId="222B4AB3" w14:textId="77777777" w:rsidR="00223A7C" w:rsidRDefault="00223A7C" w:rsidP="00223A7C"/>
    <w:p w14:paraId="71DD6880" w14:textId="33EEE2FC" w:rsidR="00223A7C" w:rsidRDefault="00223A7C" w:rsidP="00081C1F">
      <w:pPr>
        <w:pStyle w:val="Odstavekseznama"/>
        <w:numPr>
          <w:ilvl w:val="0"/>
          <w:numId w:val="16"/>
        </w:numPr>
      </w:pPr>
      <w:r>
        <w:t>Alenka Ivačič, članica za področje ohranjanja narave, predstavnica Ministrstva za naravne vire in prostor;</w:t>
      </w:r>
    </w:p>
    <w:p w14:paraId="3011D74F" w14:textId="2A4CDF2C" w:rsidR="00223A7C" w:rsidRDefault="00223A7C" w:rsidP="00081C1F">
      <w:pPr>
        <w:pStyle w:val="Odstavekseznama"/>
        <w:numPr>
          <w:ilvl w:val="0"/>
          <w:numId w:val="16"/>
        </w:numPr>
      </w:pPr>
      <w:r>
        <w:t>Lidija Senič, članica za področje čebelarstva, predstavnica Čebelarske zveze Slovenije;</w:t>
      </w:r>
    </w:p>
    <w:p w14:paraId="704F5ACB" w14:textId="2ACD435A" w:rsidR="00223A7C" w:rsidRDefault="00223A7C" w:rsidP="00081C1F">
      <w:pPr>
        <w:pStyle w:val="Odstavekseznama"/>
        <w:numPr>
          <w:ilvl w:val="0"/>
          <w:numId w:val="16"/>
        </w:numPr>
      </w:pPr>
      <w:r>
        <w:t>Mateja Vodeb Ghosh, članica za področje mednarodnih zadev, predstavnica Ministrstva za zunanje in evropske zadeve;</w:t>
      </w:r>
    </w:p>
    <w:p w14:paraId="53A1BB95" w14:textId="4B8F6403" w:rsidR="00223A7C" w:rsidRDefault="00223A7C" w:rsidP="00081C1F">
      <w:pPr>
        <w:pStyle w:val="Odstavekseznama"/>
        <w:numPr>
          <w:ilvl w:val="0"/>
          <w:numId w:val="16"/>
        </w:numPr>
      </w:pPr>
      <w:r>
        <w:t>doc. dr. Danilo Bevk, član za področje znanosti in raziskav, predstavnik Nacionalnega inštituta za biologijo;</w:t>
      </w:r>
    </w:p>
    <w:p w14:paraId="4478D5DD" w14:textId="34667325" w:rsidR="00223A7C" w:rsidRDefault="00223A7C" w:rsidP="00081C1F">
      <w:pPr>
        <w:pStyle w:val="Odstavekseznama"/>
        <w:numPr>
          <w:ilvl w:val="0"/>
          <w:numId w:val="16"/>
        </w:numPr>
      </w:pPr>
      <w:r>
        <w:t>Blaž Verbič, član za področje kulturne dediščine, predstavnik Ministrstva za kulturo;</w:t>
      </w:r>
    </w:p>
    <w:p w14:paraId="2EFA4637" w14:textId="165D3B4F" w:rsidR="00223A7C" w:rsidRDefault="00223A7C" w:rsidP="00081C1F">
      <w:pPr>
        <w:pStyle w:val="Odstavekseznama"/>
        <w:numPr>
          <w:ilvl w:val="0"/>
          <w:numId w:val="16"/>
        </w:numPr>
      </w:pPr>
      <w:r>
        <w:t xml:space="preserve">Polona </w:t>
      </w:r>
      <w:proofErr w:type="spellStart"/>
      <w:r>
        <w:t>Kolarek</w:t>
      </w:r>
      <w:proofErr w:type="spellEnd"/>
      <w:r>
        <w:t xml:space="preserve"> </w:t>
      </w:r>
      <w:proofErr w:type="spellStart"/>
      <w:r>
        <w:t>Novšek</w:t>
      </w:r>
      <w:proofErr w:type="spellEnd"/>
      <w:r>
        <w:t>, članica za področje kmetijstva, predstavnica Ministrstva za kmetijstvo, gozdarstvo in prehrano.</w:t>
      </w:r>
    </w:p>
    <w:p w14:paraId="526473D6" w14:textId="77777777" w:rsidR="00223A7C" w:rsidRDefault="00223A7C" w:rsidP="00223A7C"/>
    <w:p w14:paraId="72BCB9FF" w14:textId="77777777" w:rsidR="00223A7C" w:rsidRDefault="00223A7C" w:rsidP="00223A7C">
      <w:r>
        <w:t xml:space="preserve">Z imenovanjem članov Odbora za podeljevanje nagrade Zlata čebela se nadaljuje izvajanje Zakona o nagradi Zlata čebela. Dosedanjemu odboru je mandat potekel junija 2025. </w:t>
      </w:r>
    </w:p>
    <w:p w14:paraId="073AB81E" w14:textId="77777777" w:rsidR="00223A7C" w:rsidRDefault="00223A7C" w:rsidP="00081C1F">
      <w:pPr>
        <w:pStyle w:val="Vir"/>
      </w:pPr>
      <w:r>
        <w:t>Vir: Ministrstvo za kmetijstvo, gozdarstvo in prehrano</w:t>
      </w:r>
    </w:p>
    <w:p w14:paraId="4BD5C0C3" w14:textId="77777777" w:rsidR="00223A7C" w:rsidRDefault="00223A7C" w:rsidP="00081C1F">
      <w:pPr>
        <w:pStyle w:val="Naslov2"/>
      </w:pPr>
      <w:r>
        <w:t>Prenehanje veljavnosti sklepa o soglasju h kriterijem za sklepanje poravnav z obsojenci in priporniki</w:t>
      </w:r>
    </w:p>
    <w:p w14:paraId="546C8F54" w14:textId="2FD8EF8D" w:rsidR="00223A7C" w:rsidRDefault="00223A7C" w:rsidP="00223A7C">
      <w:r>
        <w:t xml:space="preserve">Vlada Republike Slovenije je sprejela sklep o prenehanju veljavnosti sklepa Vlade št. 49100-4/2018/3 z dne 19. </w:t>
      </w:r>
      <w:r w:rsidR="00081C1F">
        <w:t>aprila</w:t>
      </w:r>
      <w:r>
        <w:t xml:space="preserve"> 2018, s katerim je </w:t>
      </w:r>
      <w:r w:rsidR="00081C1F">
        <w:t>v</w:t>
      </w:r>
      <w:r>
        <w:t>lada leta 2018 dala soglasje h kriterijem za sklepanje poravnav z obsojenci in priporniki, ki so jim bile kršene pravice v zvezi s pogoji za prestajanje kazni zapora oziroma pripora, saj kriteriji za sklepanje poravnav z obsojenci in priporniki niso več potrebni.</w:t>
      </w:r>
    </w:p>
    <w:p w14:paraId="63C35AD0" w14:textId="77777777" w:rsidR="00223A7C" w:rsidRDefault="00223A7C" w:rsidP="00223A7C"/>
    <w:p w14:paraId="587FBA79" w14:textId="07C72329" w:rsidR="00223A7C" w:rsidRDefault="00223A7C" w:rsidP="00223A7C">
      <w:r>
        <w:t xml:space="preserve">Obstoječi kriteriji za sklepanje poravnav z obsojenci in priporniki, ki so jim bile kršene pravice v zvezi s pogoji za prestajanje kazni zapora oziroma v zvezi s priporom, niso več ustrezni. Nanašajo se le na Zavod za prestajanje kazni zapora Ljubljana, ki je bil v času izdaje </w:t>
      </w:r>
      <w:r w:rsidR="00081C1F">
        <w:t>s</w:t>
      </w:r>
      <w:r>
        <w:t>klepa iz leta 2018 prezaseden.</w:t>
      </w:r>
    </w:p>
    <w:p w14:paraId="282C8320" w14:textId="1EA28D44" w:rsidR="00223A7C" w:rsidRPr="00223A7C" w:rsidRDefault="00223A7C" w:rsidP="00081C1F">
      <w:pPr>
        <w:pStyle w:val="Vir"/>
      </w:pPr>
      <w:r>
        <w:t>Vir: Ministrstvo za pravosodje</w:t>
      </w:r>
    </w:p>
    <w:sectPr w:rsidR="00223A7C" w:rsidRPr="00223A7C"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7"/>
    <w:multiLevelType w:val="hybridMultilevel"/>
    <w:tmpl w:val="B5CE1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323B4"/>
    <w:multiLevelType w:val="hybridMultilevel"/>
    <w:tmpl w:val="AC561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F3640C"/>
    <w:multiLevelType w:val="hybridMultilevel"/>
    <w:tmpl w:val="2F2E7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4B092F"/>
    <w:multiLevelType w:val="hybridMultilevel"/>
    <w:tmpl w:val="DD640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932246"/>
    <w:multiLevelType w:val="hybridMultilevel"/>
    <w:tmpl w:val="6E901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4"/>
  </w:num>
  <w:num w:numId="2" w16cid:durableId="984821814">
    <w:abstractNumId w:val="10"/>
  </w:num>
  <w:num w:numId="3" w16cid:durableId="150218247">
    <w:abstractNumId w:val="1"/>
  </w:num>
  <w:num w:numId="4" w16cid:durableId="1026903286">
    <w:abstractNumId w:val="11"/>
  </w:num>
  <w:num w:numId="5" w16cid:durableId="231817878">
    <w:abstractNumId w:val="5"/>
  </w:num>
  <w:num w:numId="6" w16cid:durableId="2110814889">
    <w:abstractNumId w:val="15"/>
  </w:num>
  <w:num w:numId="7" w16cid:durableId="695153758">
    <w:abstractNumId w:val="6"/>
  </w:num>
  <w:num w:numId="8" w16cid:durableId="853298866">
    <w:abstractNumId w:val="9"/>
  </w:num>
  <w:num w:numId="9" w16cid:durableId="1789348953">
    <w:abstractNumId w:val="4"/>
  </w:num>
  <w:num w:numId="10" w16cid:durableId="1415012333">
    <w:abstractNumId w:val="12"/>
  </w:num>
  <w:num w:numId="11" w16cid:durableId="886650520">
    <w:abstractNumId w:val="7"/>
  </w:num>
  <w:num w:numId="12" w16cid:durableId="312607874">
    <w:abstractNumId w:val="2"/>
  </w:num>
  <w:num w:numId="13" w16cid:durableId="1398894926">
    <w:abstractNumId w:val="0"/>
  </w:num>
  <w:num w:numId="14" w16cid:durableId="857430202">
    <w:abstractNumId w:val="3"/>
  </w:num>
  <w:num w:numId="15" w16cid:durableId="682360922">
    <w:abstractNumId w:val="8"/>
  </w:num>
  <w:num w:numId="16" w16cid:durableId="162476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4626"/>
    <w:rsid w:val="000318E4"/>
    <w:rsid w:val="00050A56"/>
    <w:rsid w:val="00057D37"/>
    <w:rsid w:val="000610D5"/>
    <w:rsid w:val="00076DF7"/>
    <w:rsid w:val="00081C1F"/>
    <w:rsid w:val="00085D04"/>
    <w:rsid w:val="00087069"/>
    <w:rsid w:val="00087A14"/>
    <w:rsid w:val="00096432"/>
    <w:rsid w:val="00097B85"/>
    <w:rsid w:val="000D5520"/>
    <w:rsid w:val="000E0657"/>
    <w:rsid w:val="00101665"/>
    <w:rsid w:val="00110B8F"/>
    <w:rsid w:val="00111A16"/>
    <w:rsid w:val="00113F85"/>
    <w:rsid w:val="0012724F"/>
    <w:rsid w:val="0013016C"/>
    <w:rsid w:val="001357B6"/>
    <w:rsid w:val="001602C9"/>
    <w:rsid w:val="0016530C"/>
    <w:rsid w:val="001673A5"/>
    <w:rsid w:val="00173343"/>
    <w:rsid w:val="001B01DD"/>
    <w:rsid w:val="001B42F9"/>
    <w:rsid w:val="001B48E4"/>
    <w:rsid w:val="001C3560"/>
    <w:rsid w:val="001C5F19"/>
    <w:rsid w:val="001D4277"/>
    <w:rsid w:val="001D69D6"/>
    <w:rsid w:val="001F51BC"/>
    <w:rsid w:val="001F7F63"/>
    <w:rsid w:val="00203CAB"/>
    <w:rsid w:val="00203F5F"/>
    <w:rsid w:val="00215140"/>
    <w:rsid w:val="00220CDD"/>
    <w:rsid w:val="00223A7C"/>
    <w:rsid w:val="0022511A"/>
    <w:rsid w:val="00231021"/>
    <w:rsid w:val="00232921"/>
    <w:rsid w:val="002501CE"/>
    <w:rsid w:val="002856E5"/>
    <w:rsid w:val="002C0766"/>
    <w:rsid w:val="002C36A6"/>
    <w:rsid w:val="002D5B5D"/>
    <w:rsid w:val="002E3F96"/>
    <w:rsid w:val="002F3BE7"/>
    <w:rsid w:val="00302938"/>
    <w:rsid w:val="0032428F"/>
    <w:rsid w:val="0033383A"/>
    <w:rsid w:val="0033519E"/>
    <w:rsid w:val="00346E22"/>
    <w:rsid w:val="00351E1E"/>
    <w:rsid w:val="00357DC0"/>
    <w:rsid w:val="00361255"/>
    <w:rsid w:val="00381018"/>
    <w:rsid w:val="003847C8"/>
    <w:rsid w:val="00385767"/>
    <w:rsid w:val="003877EB"/>
    <w:rsid w:val="00390582"/>
    <w:rsid w:val="00390DF7"/>
    <w:rsid w:val="0039662C"/>
    <w:rsid w:val="003A1F91"/>
    <w:rsid w:val="003A3742"/>
    <w:rsid w:val="003B1257"/>
    <w:rsid w:val="003D64D8"/>
    <w:rsid w:val="003E17B6"/>
    <w:rsid w:val="003E1B89"/>
    <w:rsid w:val="003E6170"/>
    <w:rsid w:val="003F4CC5"/>
    <w:rsid w:val="00415527"/>
    <w:rsid w:val="00424DF8"/>
    <w:rsid w:val="00432937"/>
    <w:rsid w:val="004403EC"/>
    <w:rsid w:val="00447B57"/>
    <w:rsid w:val="0045565C"/>
    <w:rsid w:val="00455B63"/>
    <w:rsid w:val="00460370"/>
    <w:rsid w:val="00472762"/>
    <w:rsid w:val="004A00A8"/>
    <w:rsid w:val="004A7BFC"/>
    <w:rsid w:val="004A7CAD"/>
    <w:rsid w:val="004B4753"/>
    <w:rsid w:val="004B7346"/>
    <w:rsid w:val="004C3F67"/>
    <w:rsid w:val="004C721D"/>
    <w:rsid w:val="00514121"/>
    <w:rsid w:val="00522637"/>
    <w:rsid w:val="00527867"/>
    <w:rsid w:val="00527AA5"/>
    <w:rsid w:val="005314D7"/>
    <w:rsid w:val="00544398"/>
    <w:rsid w:val="005458D4"/>
    <w:rsid w:val="005515BD"/>
    <w:rsid w:val="00571BC9"/>
    <w:rsid w:val="005740C1"/>
    <w:rsid w:val="0059143B"/>
    <w:rsid w:val="005948F8"/>
    <w:rsid w:val="005A570D"/>
    <w:rsid w:val="005B1739"/>
    <w:rsid w:val="005B5886"/>
    <w:rsid w:val="005C1523"/>
    <w:rsid w:val="005E1ABB"/>
    <w:rsid w:val="00614FFD"/>
    <w:rsid w:val="006205AE"/>
    <w:rsid w:val="00626A98"/>
    <w:rsid w:val="006274BB"/>
    <w:rsid w:val="00634EFA"/>
    <w:rsid w:val="00635D43"/>
    <w:rsid w:val="006367B9"/>
    <w:rsid w:val="00657B15"/>
    <w:rsid w:val="0066249C"/>
    <w:rsid w:val="0067375D"/>
    <w:rsid w:val="00676F03"/>
    <w:rsid w:val="00677662"/>
    <w:rsid w:val="006906AF"/>
    <w:rsid w:val="00693BA3"/>
    <w:rsid w:val="006B03A9"/>
    <w:rsid w:val="006B3F12"/>
    <w:rsid w:val="006C1B31"/>
    <w:rsid w:val="006C4733"/>
    <w:rsid w:val="006D36E2"/>
    <w:rsid w:val="006F29FA"/>
    <w:rsid w:val="0070324C"/>
    <w:rsid w:val="0071171B"/>
    <w:rsid w:val="007120FD"/>
    <w:rsid w:val="007130E1"/>
    <w:rsid w:val="00716545"/>
    <w:rsid w:val="00717E59"/>
    <w:rsid w:val="0073796B"/>
    <w:rsid w:val="00750D01"/>
    <w:rsid w:val="007643A0"/>
    <w:rsid w:val="0076517E"/>
    <w:rsid w:val="007669A3"/>
    <w:rsid w:val="00767A18"/>
    <w:rsid w:val="00775843"/>
    <w:rsid w:val="00781345"/>
    <w:rsid w:val="007830B9"/>
    <w:rsid w:val="00784E57"/>
    <w:rsid w:val="0079749C"/>
    <w:rsid w:val="007A4C0B"/>
    <w:rsid w:val="007A6460"/>
    <w:rsid w:val="007B0ADD"/>
    <w:rsid w:val="007B35EE"/>
    <w:rsid w:val="007B515F"/>
    <w:rsid w:val="007C21FB"/>
    <w:rsid w:val="007D15EC"/>
    <w:rsid w:val="007E198F"/>
    <w:rsid w:val="007E3E63"/>
    <w:rsid w:val="007F5D6B"/>
    <w:rsid w:val="007F6EF7"/>
    <w:rsid w:val="008114E9"/>
    <w:rsid w:val="008220A3"/>
    <w:rsid w:val="008244C0"/>
    <w:rsid w:val="008336E7"/>
    <w:rsid w:val="00836E94"/>
    <w:rsid w:val="00847AA2"/>
    <w:rsid w:val="00847AD3"/>
    <w:rsid w:val="00851CB6"/>
    <w:rsid w:val="00851FE1"/>
    <w:rsid w:val="008624E8"/>
    <w:rsid w:val="008A10A5"/>
    <w:rsid w:val="008A16D8"/>
    <w:rsid w:val="008A172A"/>
    <w:rsid w:val="008A4E2F"/>
    <w:rsid w:val="008B6738"/>
    <w:rsid w:val="008B7AF2"/>
    <w:rsid w:val="008C4231"/>
    <w:rsid w:val="008D49BD"/>
    <w:rsid w:val="008D6C89"/>
    <w:rsid w:val="008E28DB"/>
    <w:rsid w:val="00905C96"/>
    <w:rsid w:val="009174DA"/>
    <w:rsid w:val="00933061"/>
    <w:rsid w:val="00933087"/>
    <w:rsid w:val="00945B27"/>
    <w:rsid w:val="009540E4"/>
    <w:rsid w:val="00974186"/>
    <w:rsid w:val="00983241"/>
    <w:rsid w:val="009900DE"/>
    <w:rsid w:val="009A41AA"/>
    <w:rsid w:val="009B3707"/>
    <w:rsid w:val="009C2C98"/>
    <w:rsid w:val="009C2D77"/>
    <w:rsid w:val="009C562E"/>
    <w:rsid w:val="009C60EF"/>
    <w:rsid w:val="009D10D1"/>
    <w:rsid w:val="009D7AF2"/>
    <w:rsid w:val="009F37F4"/>
    <w:rsid w:val="009F4DB0"/>
    <w:rsid w:val="00A06971"/>
    <w:rsid w:val="00A231C7"/>
    <w:rsid w:val="00A30052"/>
    <w:rsid w:val="00A34FC4"/>
    <w:rsid w:val="00A445DF"/>
    <w:rsid w:val="00A521C4"/>
    <w:rsid w:val="00A5415F"/>
    <w:rsid w:val="00A60A37"/>
    <w:rsid w:val="00A60FBF"/>
    <w:rsid w:val="00A67305"/>
    <w:rsid w:val="00A726C3"/>
    <w:rsid w:val="00A7412B"/>
    <w:rsid w:val="00A767ED"/>
    <w:rsid w:val="00A775C9"/>
    <w:rsid w:val="00AB1DC2"/>
    <w:rsid w:val="00AC33A6"/>
    <w:rsid w:val="00AD1AFD"/>
    <w:rsid w:val="00AE6CD6"/>
    <w:rsid w:val="00AF5FC8"/>
    <w:rsid w:val="00B022E5"/>
    <w:rsid w:val="00B06EAB"/>
    <w:rsid w:val="00B47F61"/>
    <w:rsid w:val="00B53594"/>
    <w:rsid w:val="00B602CF"/>
    <w:rsid w:val="00B60F58"/>
    <w:rsid w:val="00B70F5B"/>
    <w:rsid w:val="00B753A8"/>
    <w:rsid w:val="00B84862"/>
    <w:rsid w:val="00B903E5"/>
    <w:rsid w:val="00BA743D"/>
    <w:rsid w:val="00BB1111"/>
    <w:rsid w:val="00BB73C0"/>
    <w:rsid w:val="00BE5C43"/>
    <w:rsid w:val="00C3152B"/>
    <w:rsid w:val="00C354D9"/>
    <w:rsid w:val="00C365A8"/>
    <w:rsid w:val="00C458C2"/>
    <w:rsid w:val="00C666AC"/>
    <w:rsid w:val="00C97F7B"/>
    <w:rsid w:val="00CA5624"/>
    <w:rsid w:val="00CC3123"/>
    <w:rsid w:val="00CC37B3"/>
    <w:rsid w:val="00CE20C0"/>
    <w:rsid w:val="00CE21D5"/>
    <w:rsid w:val="00CE45D7"/>
    <w:rsid w:val="00D10EB4"/>
    <w:rsid w:val="00D14EEC"/>
    <w:rsid w:val="00D22282"/>
    <w:rsid w:val="00D60A92"/>
    <w:rsid w:val="00D64FA4"/>
    <w:rsid w:val="00D650E2"/>
    <w:rsid w:val="00D7373E"/>
    <w:rsid w:val="00D85532"/>
    <w:rsid w:val="00D9208E"/>
    <w:rsid w:val="00D95BC6"/>
    <w:rsid w:val="00D966FF"/>
    <w:rsid w:val="00D97B4B"/>
    <w:rsid w:val="00DA3B4D"/>
    <w:rsid w:val="00DA3BD5"/>
    <w:rsid w:val="00DA5C0D"/>
    <w:rsid w:val="00DA5D7A"/>
    <w:rsid w:val="00DB55BA"/>
    <w:rsid w:val="00DD11E2"/>
    <w:rsid w:val="00DE199D"/>
    <w:rsid w:val="00DE1B54"/>
    <w:rsid w:val="00DE27BA"/>
    <w:rsid w:val="00E02AB3"/>
    <w:rsid w:val="00E05EEE"/>
    <w:rsid w:val="00E14AAE"/>
    <w:rsid w:val="00E20351"/>
    <w:rsid w:val="00E2036F"/>
    <w:rsid w:val="00E3207D"/>
    <w:rsid w:val="00E3507E"/>
    <w:rsid w:val="00E40BD7"/>
    <w:rsid w:val="00E7132A"/>
    <w:rsid w:val="00E83E60"/>
    <w:rsid w:val="00E86C78"/>
    <w:rsid w:val="00E948BD"/>
    <w:rsid w:val="00E96045"/>
    <w:rsid w:val="00EC012E"/>
    <w:rsid w:val="00ED5AAF"/>
    <w:rsid w:val="00EE167A"/>
    <w:rsid w:val="00EE35F8"/>
    <w:rsid w:val="00EF1263"/>
    <w:rsid w:val="00EF7154"/>
    <w:rsid w:val="00F01966"/>
    <w:rsid w:val="00F03257"/>
    <w:rsid w:val="00F20884"/>
    <w:rsid w:val="00F21123"/>
    <w:rsid w:val="00F21419"/>
    <w:rsid w:val="00F21BAD"/>
    <w:rsid w:val="00F23144"/>
    <w:rsid w:val="00F240E9"/>
    <w:rsid w:val="00F31222"/>
    <w:rsid w:val="00F462C7"/>
    <w:rsid w:val="00F56111"/>
    <w:rsid w:val="00F6522C"/>
    <w:rsid w:val="00F92545"/>
    <w:rsid w:val="00F93A56"/>
    <w:rsid w:val="00F9731A"/>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3390</Words>
  <Characters>19329</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2026-01-21T09:24:00Z</dcterms:created>
  <dcterms:modified xsi:type="dcterms:W3CDTF">2026-01-21T14:38:00Z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