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38C06893" w:rsidR="0073796B" w:rsidRPr="0039662C" w:rsidRDefault="00F03257" w:rsidP="0039662C">
      <w:pPr>
        <w:pStyle w:val="Naslov1"/>
      </w:pPr>
      <w:r>
        <w:t>39</w:t>
      </w:r>
      <w:r w:rsidR="00A231C7">
        <w:t>7</w:t>
      </w:r>
      <w:r w:rsidR="0073796B" w:rsidRPr="0039662C">
        <w:t xml:space="preserve">. </w:t>
      </w:r>
      <w:r>
        <w:t xml:space="preserve">dopisna </w:t>
      </w:r>
      <w:r w:rsidR="0073796B" w:rsidRPr="0039662C">
        <w:t>seja Vlade Republike Slovenije</w:t>
      </w:r>
    </w:p>
    <w:p w14:paraId="27F30B92" w14:textId="4EAD189E" w:rsidR="0073796B" w:rsidRDefault="00A231C7" w:rsidP="008B7AF2">
      <w:pPr>
        <w:pStyle w:val="DatumSZJ"/>
      </w:pPr>
      <w:r>
        <w:t>14</w:t>
      </w:r>
      <w:r w:rsidR="002856E5">
        <w:t>.</w:t>
      </w:r>
      <w:r w:rsidR="008220A3">
        <w:t xml:space="preserve"> </w:t>
      </w:r>
      <w:r w:rsidR="00F03257">
        <w:t>januar</w:t>
      </w:r>
      <w:r w:rsidR="00DA3B4D">
        <w:t xml:space="preserve"> </w:t>
      </w:r>
      <w:r w:rsidR="0073796B" w:rsidRPr="008B7AF2">
        <w:t>202</w:t>
      </w:r>
      <w:r w:rsidR="00F03257">
        <w:t>6</w:t>
      </w:r>
    </w:p>
    <w:p w14:paraId="6E4B6F70" w14:textId="51EA02C6" w:rsidR="00AC33A6" w:rsidRDefault="00AC33A6" w:rsidP="00AC33A6">
      <w:pPr>
        <w:pStyle w:val="Naslov2"/>
      </w:pPr>
      <w:r>
        <w:t xml:space="preserve">Izdana Uredba o izvedbi </w:t>
      </w:r>
      <w:proofErr w:type="gramStart"/>
      <w:r>
        <w:t>intervencij</w:t>
      </w:r>
      <w:proofErr w:type="gramEnd"/>
      <w:r>
        <w:t xml:space="preserve"> kmetijske politike za leto 2026</w:t>
      </w:r>
    </w:p>
    <w:p w14:paraId="469EE35F" w14:textId="77777777" w:rsidR="00AC33A6" w:rsidRDefault="00AC33A6" w:rsidP="00AC33A6">
      <w:r>
        <w:t xml:space="preserve">Vlada je izdala Uredbo o izvedbi </w:t>
      </w:r>
      <w:proofErr w:type="gramStart"/>
      <w:r>
        <w:t>intervencij</w:t>
      </w:r>
      <w:proofErr w:type="gramEnd"/>
      <w:r>
        <w:t xml:space="preserve"> kmetijske politike za leto 2026 in jo objavi v Uradnem listu Republike Slovenije.</w:t>
      </w:r>
    </w:p>
    <w:p w14:paraId="58857E5D" w14:textId="77777777" w:rsidR="00AC33A6" w:rsidRDefault="00AC33A6" w:rsidP="00AC33A6"/>
    <w:p w14:paraId="144DA13C" w14:textId="628D727F" w:rsidR="00AC33A6" w:rsidRDefault="00AC33A6" w:rsidP="00AC33A6">
      <w:r>
        <w:t xml:space="preserve">Uredba o izvedbi </w:t>
      </w:r>
      <w:proofErr w:type="gramStart"/>
      <w:r>
        <w:t>intervencij</w:t>
      </w:r>
      <w:proofErr w:type="gramEnd"/>
      <w:r>
        <w:t xml:space="preserve"> kmetijske politike za leto 2026 določa natančnejše postopke v zvezi z integriranim administrativnim in kontrolnim sistemom (IAKS). Vključuje postopke za izvedbo </w:t>
      </w:r>
      <w:proofErr w:type="gramStart"/>
      <w:r>
        <w:t>intervencij</w:t>
      </w:r>
      <w:proofErr w:type="gramEnd"/>
      <w:r>
        <w:t xml:space="preserve"> kmetijske politike. Vsebina uredbe je povezana z uredbo, ki ureja neposredna plačila iz strateškega načrta skupne kmetijske politike 2023–2027, uredbo, ki ureja plačila za okoljske in podnebne obveznosti ter naravne ali druge omejitve iz strateškega načrta skupne kmetijske politike 2023–2027 ter uredbo, ki ureja intervencijo </w:t>
      </w:r>
      <w:proofErr w:type="gramStart"/>
      <w:r>
        <w:t>dobrobit</w:t>
      </w:r>
      <w:proofErr w:type="gramEnd"/>
      <w:r>
        <w:t xml:space="preserve"> živali za leto 2026.</w:t>
      </w:r>
    </w:p>
    <w:p w14:paraId="012F4069" w14:textId="77777777" w:rsidR="00AC33A6" w:rsidRDefault="00AC33A6" w:rsidP="00AC33A6"/>
    <w:p w14:paraId="0CC6A5CF" w14:textId="676E6440" w:rsidR="00AC33A6" w:rsidRDefault="00AC33A6" w:rsidP="00AC33A6">
      <w:r>
        <w:t xml:space="preserve">Za </w:t>
      </w:r>
      <w:proofErr w:type="gramStart"/>
      <w:r>
        <w:t>intervencije</w:t>
      </w:r>
      <w:proofErr w:type="gramEnd"/>
      <w:r>
        <w:t xml:space="preserve"> iz navedenih treh uredb uredba določa podrobnejše postopke oddaje zbirne vloge, obrazce zbirne vloge ter pripadajoče priloge, izjave in dokazila. Določa tudi upravne preglede, vključno s pregledi, ki se izvajajo s pomočjo sistema za spremljanje površin ter preglede na kraju samem. V primeru ugotovljenega neizpolnjevanja pogojev upravičenosti uredba določa tudi upravne sankcije, in sicer tiste, ki so skupne </w:t>
      </w:r>
      <w:proofErr w:type="gramStart"/>
      <w:r>
        <w:t>intervencijam</w:t>
      </w:r>
      <w:proofErr w:type="gramEnd"/>
      <w:r>
        <w:t xml:space="preserve"> omenjenih uredb. Poleg navedenega uredba ureja še nekatere druge določbe, v zvezi z višjo silo in naravnimi okoliščinami, prenosom gospodarstva na drugega nosilca v času roka za oddajo zbirne vloge in po njegovem izteku, ter pravila v zvezi z navzkrižno skladnostjo, ki se nanašajo zgolj na ukrep prestrukturiranja in preusmeritve vinogradov iz uredbe, ki ureja izvajanje podpornega programa v vinskem sektorju.</w:t>
      </w:r>
    </w:p>
    <w:p w14:paraId="3BD3A961" w14:textId="77777777" w:rsidR="00AC33A6" w:rsidRDefault="00AC33A6" w:rsidP="00AC33A6"/>
    <w:p w14:paraId="4215AF8A" w14:textId="77777777" w:rsidR="00AC33A6" w:rsidRDefault="00AC33A6" w:rsidP="00AC33A6">
      <w:r>
        <w:t xml:space="preserve">Uredba ureja izvedbo </w:t>
      </w:r>
      <w:proofErr w:type="gramStart"/>
      <w:r>
        <w:t>intervencij</w:t>
      </w:r>
      <w:proofErr w:type="gramEnd"/>
      <w:r>
        <w:t xml:space="preserve">, ki so vsebinsko podrobno opredeljene v treh uredbah, navedenih v prejšnjem odstavku. Zahtevki za te </w:t>
      </w:r>
      <w:proofErr w:type="gramStart"/>
      <w:r>
        <w:t>intervencije</w:t>
      </w:r>
      <w:proofErr w:type="gramEnd"/>
      <w:r>
        <w:t xml:space="preserve"> se vlagajo prek zbirne vloge; rok za oddajo se začne 20. februarja 2026 in traja do 15. maja 2026. Plačila za </w:t>
      </w:r>
      <w:proofErr w:type="gramStart"/>
      <w:r>
        <w:t>intervencije</w:t>
      </w:r>
      <w:proofErr w:type="gramEnd"/>
      <w:r>
        <w:t xml:space="preserve"> iz prve od treh navedenih uredb se financirajo iz Evropskega kmetijskega jamstvenega sklada, plačila za intervencije iz preostalih dveh uredb pa se sofinancirajo iz Evropskega kmetijskega sklada za razvoj podeželja.</w:t>
      </w:r>
    </w:p>
    <w:p w14:paraId="54FC1341" w14:textId="77777777" w:rsidR="00AC33A6" w:rsidRDefault="00AC33A6" w:rsidP="00AC33A6"/>
    <w:p w14:paraId="657B8173" w14:textId="77777777" w:rsidR="00AC33A6" w:rsidRDefault="00AC33A6" w:rsidP="00AC33A6">
      <w:r>
        <w:t xml:space="preserve">Uredba o izvedbi </w:t>
      </w:r>
      <w:proofErr w:type="gramStart"/>
      <w:r>
        <w:t>intervencij</w:t>
      </w:r>
      <w:proofErr w:type="gramEnd"/>
      <w:r>
        <w:t xml:space="preserve"> kmetijske politike za leto 2026 ureja zgolj izvedbo intervencij v letu 2026. Za vsako naslednje leto se sprejme nova uredba o izvedbi </w:t>
      </w:r>
      <w:proofErr w:type="gramStart"/>
      <w:r>
        <w:t>intervencij</w:t>
      </w:r>
      <w:proofErr w:type="gramEnd"/>
      <w:r>
        <w:t xml:space="preserve"> kmetijske politike.</w:t>
      </w:r>
    </w:p>
    <w:p w14:paraId="410E1323" w14:textId="4E21F4A4" w:rsidR="00EF7154" w:rsidRDefault="00AC33A6" w:rsidP="00AC33A6">
      <w:pPr>
        <w:pStyle w:val="Vir"/>
      </w:pPr>
      <w:r>
        <w:t>Vir: Ministrstvo za kmetijstvo, gozdarstvo in prehrano</w:t>
      </w:r>
    </w:p>
    <w:p w14:paraId="4F27D31E" w14:textId="6807C62B" w:rsidR="00571BC9" w:rsidRDefault="00571BC9" w:rsidP="00571BC9">
      <w:pPr>
        <w:pStyle w:val="Naslov2"/>
      </w:pPr>
      <w:r>
        <w:t>O</w:t>
      </w:r>
      <w:r>
        <w:t>dlok o spremembah Odloka o ustanovitvi Komisije za odpravo posledic naravnih nesreč na stvareh</w:t>
      </w:r>
    </w:p>
    <w:p w14:paraId="7D91C754" w14:textId="7F5ACACF" w:rsidR="00571BC9" w:rsidRDefault="00571BC9" w:rsidP="00571BC9">
      <w:r>
        <w:t xml:space="preserve">Na podlagi Zakona o odpravi posledic naravnih nesreč (ZOPNN) je </w:t>
      </w:r>
      <w:r>
        <w:t>v</w:t>
      </w:r>
      <w:r>
        <w:t>lada izdala Odlok o ustanovitvi Komisije za odpravo posledic naravnih nesreč na stvareh. Glede na to, da so se v obdobju od imenovanja Komisije v letu 2008 do danes spremenile določbe ZOPNN, organizacija ter poimenovanje državnih organov in organov v sestavi kot tudi kadrovske spremembe v organih, je treba v Komisiji na novo določiti člane in njihove namestnike.</w:t>
      </w:r>
    </w:p>
    <w:p w14:paraId="5C98E144" w14:textId="77777777" w:rsidR="00571BC9" w:rsidRDefault="00571BC9" w:rsidP="00571BC9"/>
    <w:p w14:paraId="7006E25D" w14:textId="59235D70" w:rsidR="00571BC9" w:rsidRDefault="00571BC9" w:rsidP="00571BC9">
      <w:r>
        <w:t xml:space="preserve">Komisijo sestavlja sedem članic ali članov naslednjih ministrstev: en predstavnik ministrstva, pristojnega za varstvo pred naravnimi in drugimi nesrečami, en predstavnik ministrstva, pristojnega za promet, s področja obnove poškodovane prometne infrastrukture, en predstavnik ministrstva, </w:t>
      </w:r>
      <w:r>
        <w:lastRenderedPageBreak/>
        <w:t xml:space="preserve">pristojnega za kulturno dediščino, en predstavnik ministrstva, pristojnega za finance, en predstavnik ministrstva, pristojnega za kmetijstvo in gozdarstvo, s področja obnove kmetijskih gospodarskih objektov, gozdov, gozdnih cest in kmetijskih zemljišč ter po en predstavnik ministrstva, pristojnega za okolje s področja </w:t>
      </w:r>
      <w:proofErr w:type="gramStart"/>
      <w:r>
        <w:t>monitoringa</w:t>
      </w:r>
      <w:proofErr w:type="gramEnd"/>
      <w:r>
        <w:t xml:space="preserve"> naravnih pojavov in ministrstva, pristojnega za naravne vire, s področja priprave in izvedbe programov odprave posledic naravnih nesreč na stvareh.</w:t>
      </w:r>
    </w:p>
    <w:p w14:paraId="42593ECA" w14:textId="532702DE" w:rsidR="00EF7154" w:rsidRDefault="00571BC9" w:rsidP="00571BC9">
      <w:pPr>
        <w:pStyle w:val="Vir"/>
      </w:pPr>
      <w:r>
        <w:t>Vir: Ministrstvo za naravne vire in prostor</w:t>
      </w:r>
    </w:p>
    <w:p w14:paraId="0070F3F5" w14:textId="04FBAC89" w:rsidR="00232921" w:rsidRDefault="00232921" w:rsidP="00232921">
      <w:pPr>
        <w:pStyle w:val="Naslov2"/>
      </w:pPr>
      <w:r>
        <w:t>Dopolnitev odloka o strokovnem svetu vlade za evalvacijo izvajanja Zakona o nujnih ukrepih za zagotavljanje javne varnosti</w:t>
      </w:r>
    </w:p>
    <w:p w14:paraId="5B184B07" w14:textId="77777777" w:rsidR="00232921" w:rsidRDefault="00232921" w:rsidP="00232921">
      <w:r>
        <w:t>Vlada Republike Slovenije je izdala Odlok o dopolnitvi Odloka o Strokovnem svetu Vlade</w:t>
      </w:r>
    </w:p>
    <w:p w14:paraId="4E0332FB" w14:textId="77777777" w:rsidR="00232921" w:rsidRDefault="00232921" w:rsidP="00232921">
      <w:r>
        <w:t>Republike Slovenije za evalvacijo izvajanja Zakona o nujnih ukrepih za zagotavljanje javne</w:t>
      </w:r>
    </w:p>
    <w:p w14:paraId="6BC7AAD6" w14:textId="77777777" w:rsidR="00232921" w:rsidRDefault="00232921" w:rsidP="00232921">
      <w:proofErr w:type="gramStart"/>
      <w:r>
        <w:t>varnosti</w:t>
      </w:r>
      <w:proofErr w:type="gramEnd"/>
      <w:r>
        <w:t xml:space="preserve"> in ga objavi v Uradnem listu Republike Slovenije.</w:t>
      </w:r>
    </w:p>
    <w:p w14:paraId="65F1C3E8" w14:textId="77777777" w:rsidR="00232921" w:rsidRDefault="00232921" w:rsidP="00232921"/>
    <w:p w14:paraId="06F59857" w14:textId="77777777" w:rsidR="00232921" w:rsidRDefault="00232921" w:rsidP="00232921">
      <w:r>
        <w:t>Z dopolnitvijo odloka se določijo pravice članov strokovnega sveta in njihovih namestnikov v zvezi</w:t>
      </w:r>
    </w:p>
    <w:p w14:paraId="16E1FB27" w14:textId="77777777" w:rsidR="00232921" w:rsidRDefault="00232921" w:rsidP="00232921">
      <w:proofErr w:type="gramStart"/>
      <w:r>
        <w:t>z</w:t>
      </w:r>
      <w:proofErr w:type="gramEnd"/>
      <w:r>
        <w:t xml:space="preserve"> udeležbo na sejah. Določeno je, da so člani strokovnega sveta in njihovi namestniki za udeležbo na sejah upravičeni do sejnin, ki so enake višini, kakor jo določa predpis, ki ureja sejnine in povračila stroškov v javnih skladih, javnih agencijah, javnih zavodih in javnih gospodarskih zavodih, za stalni del sejnine.</w:t>
      </w:r>
    </w:p>
    <w:p w14:paraId="766CCDD3" w14:textId="77777777" w:rsidR="00232921" w:rsidRDefault="00232921" w:rsidP="00232921"/>
    <w:p w14:paraId="4720FC81" w14:textId="77777777" w:rsidR="00232921" w:rsidRDefault="00232921" w:rsidP="00232921">
      <w:r>
        <w:t>Dopolnitev tudi določa, da se potni stroški povrnejo v višini kilometrine za uporabo lastnega</w:t>
      </w:r>
    </w:p>
    <w:p w14:paraId="5783CD95" w14:textId="77777777" w:rsidR="00232921" w:rsidRDefault="00232921" w:rsidP="00232921">
      <w:r>
        <w:t>avtomobila za prevoz na delo in z dela organa, ob smiselni uporabi predpisa, ki ureja sejnine in</w:t>
      </w:r>
    </w:p>
    <w:p w14:paraId="7672BC78" w14:textId="77777777" w:rsidR="00232921" w:rsidRDefault="00232921" w:rsidP="00232921">
      <w:r>
        <w:t>povračila stroškov v javnih skladih, javnih agencijah, javnih zavodih in javnih gospodarskih</w:t>
      </w:r>
    </w:p>
    <w:p w14:paraId="2AB544A7" w14:textId="77777777" w:rsidR="00232921" w:rsidRDefault="00232921" w:rsidP="00232921">
      <w:proofErr w:type="gramStart"/>
      <w:r>
        <w:t>zavodih</w:t>
      </w:r>
      <w:proofErr w:type="gramEnd"/>
      <w:r>
        <w:t xml:space="preserve">. </w:t>
      </w:r>
    </w:p>
    <w:p w14:paraId="0717744B" w14:textId="77777777" w:rsidR="00232921" w:rsidRDefault="00232921" w:rsidP="00232921"/>
    <w:p w14:paraId="29D50883" w14:textId="77777777" w:rsidR="00232921" w:rsidRDefault="00232921" w:rsidP="00232921">
      <w:r>
        <w:t>S predlagano dopolnitvijo se zagotavljajo zakonitost, jasnost in preglednost ureditve ter enaka</w:t>
      </w:r>
    </w:p>
    <w:p w14:paraId="6CB443F5" w14:textId="77777777" w:rsidR="00232921" w:rsidRDefault="00232921" w:rsidP="00232921">
      <w:r>
        <w:t>obravnava članov strokovnega sveta in njihovih namestnikov, pa tudi učinkovito in nemoteno</w:t>
      </w:r>
    </w:p>
    <w:p w14:paraId="5A9FFAF3" w14:textId="77777777" w:rsidR="00232921" w:rsidRDefault="00232921" w:rsidP="00232921">
      <w:proofErr w:type="gramStart"/>
      <w:r>
        <w:t>delovanje</w:t>
      </w:r>
      <w:proofErr w:type="gramEnd"/>
      <w:r>
        <w:t xml:space="preserve"> strokovnega sveta.</w:t>
      </w:r>
    </w:p>
    <w:p w14:paraId="466B1A50" w14:textId="77777777" w:rsidR="00232921" w:rsidRDefault="00232921" w:rsidP="00232921"/>
    <w:p w14:paraId="15DD4755" w14:textId="77777777" w:rsidR="00232921" w:rsidRDefault="00232921" w:rsidP="00232921">
      <w:r>
        <w:t>Ministrstvo za notranje zadeve sredstva za izvajanje nalog strokovnega sveta zagotavlja v okviru</w:t>
      </w:r>
    </w:p>
    <w:p w14:paraId="65063A4E" w14:textId="77777777" w:rsidR="00232921" w:rsidRDefault="00232921" w:rsidP="00232921">
      <w:proofErr w:type="gramStart"/>
      <w:r>
        <w:t>svojega</w:t>
      </w:r>
      <w:proofErr w:type="gramEnd"/>
      <w:r>
        <w:t xml:space="preserve"> finančnega načrta.</w:t>
      </w:r>
    </w:p>
    <w:p w14:paraId="1B4B833D" w14:textId="3AF7A58B" w:rsidR="00EF7154" w:rsidRDefault="00232921" w:rsidP="00232921">
      <w:pPr>
        <w:pStyle w:val="Vir"/>
      </w:pPr>
      <w:r>
        <w:t>Vir: Ministrstvo za notranje zadeve</w:t>
      </w:r>
    </w:p>
    <w:p w14:paraId="4895EFAB" w14:textId="06032131" w:rsidR="00EF7154" w:rsidRDefault="00EF7154" w:rsidP="00EF7154">
      <w:pPr>
        <w:pStyle w:val="Naslov2"/>
      </w:pPr>
      <w:r>
        <w:t>Odločitev vlade s področja iger na srečo</w:t>
      </w:r>
    </w:p>
    <w:p w14:paraId="2CE326CD" w14:textId="77777777" w:rsidR="00EF7154" w:rsidRDefault="00EF7154" w:rsidP="00EF7154">
      <w:r>
        <w:t>Vlada je danes odločila, da se gospodarski družbi Loterija Slovenije koncesija za trajno prirejanje klasične igre na srečo Izredna srečka podaljša do 30. junija 2031.</w:t>
      </w:r>
    </w:p>
    <w:p w14:paraId="1BD3EB52" w14:textId="21544604" w:rsidR="00EF7154" w:rsidRDefault="00EF7154" w:rsidP="00EF7154">
      <w:pPr>
        <w:pStyle w:val="Vir"/>
      </w:pPr>
      <w:r>
        <w:t>Vir: Ministrstvo za finance</w:t>
      </w:r>
    </w:p>
    <w:p w14:paraId="2FFB58DB" w14:textId="41CCF0AD" w:rsidR="00F9731A" w:rsidRDefault="00F9731A" w:rsidP="00F9731A">
      <w:pPr>
        <w:pStyle w:val="Naslov2"/>
      </w:pPr>
      <w:r>
        <w:t>Stališče Republike Slovenije do osnutka skupnega stališča EU za začasno zaprtje poglavja 32 (finančni nadzor) za Črno goro</w:t>
      </w:r>
    </w:p>
    <w:p w14:paraId="588C8487" w14:textId="77777777" w:rsidR="00F9731A" w:rsidRDefault="00F9731A" w:rsidP="00F9731A">
      <w:r>
        <w:t>Vlada Republike Slovenije soglaša z osnutkom skupnega stališča EU za začasno zaprtje poglavja 32 (finančni nadzor) za Črno goro.</w:t>
      </w:r>
    </w:p>
    <w:p w14:paraId="1AE9772C" w14:textId="77777777" w:rsidR="00F9731A" w:rsidRDefault="00F9731A" w:rsidP="00F9731A"/>
    <w:p w14:paraId="21C50703" w14:textId="7906F4C7" w:rsidR="00F9731A" w:rsidRDefault="00F9731A" w:rsidP="00F9731A">
      <w:r>
        <w:t>Komisija ugotavlja, da so bila merila za zaključek, določena v skupnem stališču EU CONF-ME 15/14, zadovoljivo izpolnjena in da to poglavje na tej stopnji ne zahteva nadaljnjih pogajanj.</w:t>
      </w:r>
    </w:p>
    <w:p w14:paraId="4BD4EBCA" w14:textId="16D5090E" w:rsidR="00EF7154" w:rsidRDefault="00F9731A" w:rsidP="00F9731A">
      <w:pPr>
        <w:pStyle w:val="Vir"/>
      </w:pPr>
      <w:r>
        <w:t>Vir: Ministrstvo za zunanje in evropske zadeve Republike Slovenije</w:t>
      </w:r>
    </w:p>
    <w:p w14:paraId="5439B555" w14:textId="77777777" w:rsidR="00F9731A" w:rsidRDefault="00F9731A" w:rsidP="00F9731A">
      <w:pPr>
        <w:pStyle w:val="Naslov2"/>
      </w:pPr>
    </w:p>
    <w:p w14:paraId="062BE80E" w14:textId="0041FD69" w:rsidR="00F9731A" w:rsidRDefault="00F9731A" w:rsidP="00F9731A">
      <w:pPr>
        <w:pStyle w:val="Naslov2"/>
      </w:pPr>
      <w:r>
        <w:t>Sporazum med Vlado Republike Slovenije in Vlado Republike Uzbekistan o sodelovanju v izobraževanju, znanosti in kulturi</w:t>
      </w:r>
    </w:p>
    <w:p w14:paraId="7ACE3505" w14:textId="77777777" w:rsidR="00F9731A" w:rsidRDefault="00F9731A" w:rsidP="00F9731A">
      <w:r>
        <w:t>Vlada Republike Slovenije je določila besedilo Predloga zakona o ratifikaciji Sporazuma med Vlado Republike Slovenije in Vlado Republike Uzbekistan o sodelovanju v izobraževanju, znanosti in kulturi, podpisanega v Ljubljani 22. maja 2025.</w:t>
      </w:r>
    </w:p>
    <w:p w14:paraId="53D5012B" w14:textId="77777777" w:rsidR="00F9731A" w:rsidRDefault="00F9731A" w:rsidP="00F9731A"/>
    <w:p w14:paraId="2D9AAE4E" w14:textId="44EE6D39" w:rsidR="00F9731A" w:rsidRDefault="00F9731A" w:rsidP="00F9731A">
      <w:r>
        <w:t>Vladi Slovenije in Uzbekistana sta se v želji, da bi razvijali sodelovanje in okrepili medsebojno razumevanje</w:t>
      </w:r>
      <w:r>
        <w:t>,</w:t>
      </w:r>
      <w:r>
        <w:t xml:space="preserve"> dogovorili za sklenitev sporazuma o sodelovanju v izobraževanju, znanosti in kulturi. Sporazum bo omogočal poglobitev sodelovanja med državama z izmenjavo strokovnjakov in umetnikov na področjih kulture, izobraževanja, ustvarjalnosti, medijev, kulturne dediščine, izobraževanja in znanosti. Pogodbenici bosta podpirali neposredno sodelovanje in stike med javnimi ustanovami, izvedbenimi organizacijami, društvi in skladi ter drugimi posamezniki obeh pogodbenic.</w:t>
      </w:r>
    </w:p>
    <w:p w14:paraId="70196CFB" w14:textId="6A2032FE" w:rsidR="00EF7154" w:rsidRDefault="00F9731A" w:rsidP="00F9731A">
      <w:pPr>
        <w:pStyle w:val="Vir"/>
      </w:pPr>
      <w:r>
        <w:t>Vir: Ministrstvo za zunanje in evropske zadeve Republike Slovenije</w:t>
      </w:r>
    </w:p>
    <w:p w14:paraId="146D13D1" w14:textId="04A83749" w:rsidR="008E28DB" w:rsidRDefault="008E28DB" w:rsidP="008E28DB">
      <w:pPr>
        <w:pStyle w:val="Naslov2"/>
      </w:pPr>
      <w:r>
        <w:t>Sporazum med Vlado Republike Slovenije in Svetom ministrov Republike Albanije o sodelovanju pri varstvu pred naravnimi in drugimi nesrečami</w:t>
      </w:r>
    </w:p>
    <w:p w14:paraId="4027013B" w14:textId="77777777" w:rsidR="008E28DB" w:rsidRDefault="008E28DB" w:rsidP="008E28DB">
      <w:r>
        <w:t>Vlada Republike Slovenije je določila besedilo Predloga zakona o ratifikaciji Sporazuma med Vlado Republike Slovenije in Svetom ministrov Republike Albanije o sodelovanju pri varstvu pred naravnimi in drugimi nesrečami, podpisanega v Bruslju 13. junija 2024.</w:t>
      </w:r>
    </w:p>
    <w:p w14:paraId="3366F83F" w14:textId="77777777" w:rsidR="008E28DB" w:rsidRDefault="008E28DB" w:rsidP="008E28DB"/>
    <w:p w14:paraId="104E4B20" w14:textId="77777777" w:rsidR="008E28DB" w:rsidRDefault="008E28DB" w:rsidP="008E28DB">
      <w:r>
        <w:t>Sporazum ureja okvirne pogoje sodelovanja pri preprečevanju nesreč in zagotavljanju pripravljenosti, prostovoljni medsebojni pomoči ob nesrečah na ozemlju druge pogodbenice in druge oblike medsebojnega sodelovanja. Sodelovanje med pogodbenicama poteka po načelih vzajemnosti in v okviru zmogljivosti držav pogodbenic. Sodelovanje med državama na področju zaščite in reševanja bo potekalo v skladu z nacionalno zakonodajo, predpisi in prevzetimi mednarodnimi obveznostmi vsake od pogodbenic.</w:t>
      </w:r>
    </w:p>
    <w:p w14:paraId="5B538A29" w14:textId="1C65175B" w:rsidR="00EF7154" w:rsidRDefault="008E28DB" w:rsidP="008E28DB">
      <w:pPr>
        <w:pStyle w:val="Vir"/>
      </w:pPr>
      <w:r>
        <w:t>Vir: Ministrstvo za zunanje in evropske zadeve Republike Slovenije</w:t>
      </w:r>
    </w:p>
    <w:p w14:paraId="6F371B3D" w14:textId="2BBC8469" w:rsidR="008E28DB" w:rsidRDefault="008E28DB" w:rsidP="008E28DB">
      <w:pPr>
        <w:pStyle w:val="Naslov2"/>
      </w:pPr>
      <w:r>
        <w:t xml:space="preserve">Sporazum o ustanovitvi Večstranskega </w:t>
      </w:r>
      <w:proofErr w:type="gramStart"/>
      <w:r>
        <w:t>investicijskega</w:t>
      </w:r>
      <w:proofErr w:type="gramEnd"/>
      <w:r>
        <w:t xml:space="preserve"> sklada IV in Sporazum o upravljanju Večstranskega investicijskega sklada IV</w:t>
      </w:r>
    </w:p>
    <w:p w14:paraId="61E1E642" w14:textId="280727E2" w:rsidR="008E28DB" w:rsidRDefault="008E28DB" w:rsidP="008E28DB">
      <w:r>
        <w:t xml:space="preserve">Vlada Republike Slovenije je določila besedilo </w:t>
      </w:r>
      <w:proofErr w:type="gramStart"/>
      <w:r>
        <w:t>p</w:t>
      </w:r>
      <w:r>
        <w:t xml:space="preserve">redloga </w:t>
      </w:r>
      <w:r>
        <w:t>Z</w:t>
      </w:r>
      <w:r>
        <w:t>akona</w:t>
      </w:r>
      <w:proofErr w:type="gramEnd"/>
      <w:r>
        <w:t xml:space="preserve"> o ratifikaciji Sporazuma o ustanovitvi Večstranskega investicijskega sklada IV in Sporazuma o upravljanju Večstranskega investicijskega sklada IV, sestavljenih v Punta Cani v Dominikanski republiki 10. marca 2024.</w:t>
      </w:r>
    </w:p>
    <w:p w14:paraId="324B5209" w14:textId="77777777" w:rsidR="008E28DB" w:rsidRDefault="008E28DB" w:rsidP="008E28DB"/>
    <w:p w14:paraId="0E96F7DE" w14:textId="77777777" w:rsidR="008E28DB" w:rsidRDefault="008E28DB" w:rsidP="008E28DB">
      <w:r>
        <w:t xml:space="preserve">Republika Slovenija je ob reformi skupine IDB s konsolidacijo sodelovanja z zasebnim sektorjem znotraj Medameriške </w:t>
      </w:r>
      <w:proofErr w:type="gramStart"/>
      <w:r>
        <w:t>investicijske</w:t>
      </w:r>
      <w:proofErr w:type="gramEnd"/>
      <w:r>
        <w:t xml:space="preserve"> korporacije in s tem povezanega povečanega obsega delovanja IDB Invest ter potrebe po dokapitalizaciji, ki je bila delno prav tako izvedena preko prenosa dela dobička IDB v IDB Invest, postala članica IDB Invest le s prenosom pripadajočega dobička IDB. </w:t>
      </w:r>
    </w:p>
    <w:p w14:paraId="50AFB5E5" w14:textId="77777777" w:rsidR="008E28DB" w:rsidRDefault="008E28DB" w:rsidP="008E28DB"/>
    <w:p w14:paraId="7FE1FF82" w14:textId="77777777" w:rsidR="008E28DB" w:rsidRDefault="008E28DB" w:rsidP="008E28DB">
      <w:r>
        <w:t xml:space="preserve">Republika Slovenija je pripadajoči del delnic v Medameriški razvojni banki (IDB) prevzela po nekdanji SFRJ in postala članica IDB na podlagi Zakona o članstvu Republike Slovenije v Medameriški razvojni banki. S članstvom v </w:t>
      </w:r>
      <w:proofErr w:type="gramStart"/>
      <w:r>
        <w:t>IDB Lab</w:t>
      </w:r>
      <w:proofErr w:type="gramEnd"/>
      <w:r>
        <w:t xml:space="preserve"> bo tako Republika Slovenija postala članica še zadnje izmed treh institucij, ki delujejo znotraj skupine IDB ter s tem pridobila vse prednosti, ki jih nudi članstvo v Skupini IDB za delovanje slovenskega gospodarstva v regiji Latinske Amerike in Karibov.</w:t>
      </w:r>
    </w:p>
    <w:p w14:paraId="4AF452E1" w14:textId="77777777" w:rsidR="008E28DB" w:rsidRDefault="008E28DB" w:rsidP="008E28DB">
      <w:pPr>
        <w:pStyle w:val="Vir"/>
      </w:pPr>
      <w:r>
        <w:t>Vir: Ministrstvo za zunanje in evropske zadeve Republike Slovenije</w:t>
      </w:r>
    </w:p>
    <w:p w14:paraId="04A76F5A" w14:textId="77777777" w:rsidR="00EF7154" w:rsidRDefault="00EF7154" w:rsidP="00EF7154"/>
    <w:p w14:paraId="2A618AB5" w14:textId="32A35725" w:rsidR="00DD11E2" w:rsidRDefault="00DD11E2" w:rsidP="00DD11E2">
      <w:pPr>
        <w:pStyle w:val="Naslov2"/>
      </w:pPr>
      <w:r>
        <w:t>Svetovna konvencija o priznavanju visokošolskih kvalifikacij</w:t>
      </w:r>
    </w:p>
    <w:p w14:paraId="222B608A" w14:textId="77777777" w:rsidR="00DD11E2" w:rsidRDefault="00DD11E2" w:rsidP="00DD11E2">
      <w:r>
        <w:t>Vlada Republike Slovenije je določila besedilo Predloga zakona o ratifikaciji Svetovne konvencije o priznavanju visokošolskih kvalifikacij, sestavljene v Parizu 25. novembra 2019.</w:t>
      </w:r>
    </w:p>
    <w:p w14:paraId="7523431B" w14:textId="77777777" w:rsidR="00DD11E2" w:rsidRDefault="00DD11E2" w:rsidP="00DD11E2"/>
    <w:p w14:paraId="64D24CC1" w14:textId="77777777" w:rsidR="00DD11E2" w:rsidRDefault="00DD11E2" w:rsidP="00DD11E2">
      <w:r>
        <w:t xml:space="preserve">Konvencija vzpostavlja skupna načela in pravila za priznavanje visokošolskih kvalifikacij, ki temeljijo na pravičnosti, preglednosti, </w:t>
      </w:r>
      <w:proofErr w:type="gramStart"/>
      <w:r>
        <w:t>nediskriminatornosti</w:t>
      </w:r>
      <w:proofErr w:type="gramEnd"/>
      <w:r>
        <w:t xml:space="preserve"> in razumnih rokih odločanja. Namenjena je temu, da imetnikom kvalifikacij omogoči dejansko uresničevanje pravice do nadaljevanja študija ali zaposlitve v drugih državah pogodbenicah.</w:t>
      </w:r>
    </w:p>
    <w:p w14:paraId="72D78252" w14:textId="77777777" w:rsidR="00DD11E2" w:rsidRDefault="00DD11E2" w:rsidP="00DD11E2"/>
    <w:p w14:paraId="50AF6771" w14:textId="77777777" w:rsidR="00DD11E2" w:rsidRDefault="00DD11E2" w:rsidP="00DD11E2">
      <w:r>
        <w:t xml:space="preserve">Na podlagi konvencije odločitve o priznavanju temeljijo na ustreznih, zanesljivih in preglednih informacijah o visokošolskih sistemih, akreditiranih institucijah, študijskih programih ter mehanizmih zagotavljanja kakovosti in tako spodbuja dosledno uporabo objektivnih in javno dostopnih meril pri priznavanju tujega izobraževanja in prispeva k večjemu vzajemnemu zaupanju med visokošolskimi sistemi ter krepi vlogo nacionalnih informacijskih </w:t>
      </w:r>
      <w:proofErr w:type="gramStart"/>
      <w:r>
        <w:t>centrov</w:t>
      </w:r>
      <w:proofErr w:type="gramEnd"/>
      <w:r>
        <w:t xml:space="preserve"> in drugih pristojnih organov pri posredovanju verodostojnih informacij.</w:t>
      </w:r>
    </w:p>
    <w:p w14:paraId="74204A5E" w14:textId="77777777" w:rsidR="00DD11E2" w:rsidRDefault="00DD11E2" w:rsidP="00DD11E2"/>
    <w:p w14:paraId="15D1DCB5" w14:textId="77777777" w:rsidR="00DD11E2" w:rsidRDefault="00DD11E2" w:rsidP="00DD11E2">
      <w:r>
        <w:t xml:space="preserve">Konvencija poudarja vključujoč pristop do priznavanja kvalifikacij pridobljenih v okviru delnega študija, študija na daljavo in drugih oblik nestandardnega učenja ter priznavanje predhodnega in </w:t>
      </w:r>
      <w:proofErr w:type="gramStart"/>
      <w:r>
        <w:t>neformalnega</w:t>
      </w:r>
      <w:proofErr w:type="gramEnd"/>
      <w:r>
        <w:t xml:space="preserve"> učenja, kadar je to ustrezno dokumentirano.</w:t>
      </w:r>
    </w:p>
    <w:p w14:paraId="15B81BA1" w14:textId="77777777" w:rsidR="00DD11E2" w:rsidRDefault="00DD11E2" w:rsidP="00DD11E2">
      <w:pPr>
        <w:pStyle w:val="Vir"/>
      </w:pPr>
      <w:r>
        <w:t>Vir: Ministrstvo za zunanje in evropske zadeve Republike Slovenije</w:t>
      </w:r>
    </w:p>
    <w:p w14:paraId="2EFCB9C5" w14:textId="53032251" w:rsidR="00101665" w:rsidRDefault="00101665" w:rsidP="00101665">
      <w:pPr>
        <w:pStyle w:val="Naslov2"/>
      </w:pPr>
      <w:r>
        <w:t>Mednarodna konvencija za nadzor in ravnanje z ladijsko balastno vodo in usedlinami</w:t>
      </w:r>
    </w:p>
    <w:p w14:paraId="419D8279" w14:textId="77777777" w:rsidR="00101665" w:rsidRDefault="00101665" w:rsidP="00101665">
      <w:r>
        <w:t xml:space="preserve">Vlada Republike Slovenije je določila besedilo </w:t>
      </w:r>
      <w:proofErr w:type="gramStart"/>
      <w:r>
        <w:t>predloga Zakona</w:t>
      </w:r>
      <w:proofErr w:type="gramEnd"/>
      <w:r>
        <w:t xml:space="preserve"> o ratifikaciji Mednarodne konvencije za nadzor in ravnanje z ladijsko balastno vodo in usedlinami, 2004, sestavljene v Londonu 13. februarja 2004.</w:t>
      </w:r>
    </w:p>
    <w:p w14:paraId="52A339FE" w14:textId="77777777" w:rsidR="00101665" w:rsidRDefault="00101665" w:rsidP="00101665"/>
    <w:p w14:paraId="5AF49D8A" w14:textId="77777777" w:rsidR="00101665" w:rsidRDefault="00101665" w:rsidP="00101665">
      <w:r>
        <w:t xml:space="preserve">Cilj ratifikacije Mednarodne konvencije za nadzor in ravnanje z ladijsko balastno vodo in usedlinami, 2004, je preprečiti vnos tujerodnih invazivnih vrst in patogenov v morsko okolje prek balastne vode in </w:t>
      </w:r>
      <w:proofErr w:type="gramStart"/>
      <w:r>
        <w:t>sedimentov</w:t>
      </w:r>
      <w:proofErr w:type="gramEnd"/>
      <w:r>
        <w:t xml:space="preserve"> v ladijskih tankih. Konvencija državam pogodbenicam nalaga vzpostavitev pravnega in institucionalnega okvira za nadzor ladij pod njihovo zastavo in tujih ladij v njihovih pristaniščih, pripravo načrtov ravnanja z balastno vodo, vodenje knjige o balastni vodi ter enotne postopke pregledov in izdaje mednarodnih spričeval.</w:t>
      </w:r>
    </w:p>
    <w:p w14:paraId="3BFC0FAE" w14:textId="153A33F1" w:rsidR="00EF7154" w:rsidRDefault="00101665" w:rsidP="00101665">
      <w:pPr>
        <w:pStyle w:val="Vir"/>
      </w:pPr>
      <w:r>
        <w:t>Vir: Ministrstvo za zunanje in evropske zadeve Republike Slovenije</w:t>
      </w:r>
    </w:p>
    <w:p w14:paraId="43EC4C3F" w14:textId="276118D5" w:rsidR="0033383A" w:rsidRDefault="0033383A" w:rsidP="0033383A">
      <w:pPr>
        <w:pStyle w:val="Naslov2"/>
      </w:pPr>
      <w:r>
        <w:t>Konvencija o odpravi nasilja in nadlegovanja v svetu dela</w:t>
      </w:r>
    </w:p>
    <w:p w14:paraId="3F2BD05F" w14:textId="68BF274D" w:rsidR="0033383A" w:rsidRDefault="0033383A" w:rsidP="0033383A">
      <w:r>
        <w:t xml:space="preserve">Vlada je določila besedilo </w:t>
      </w:r>
      <w:proofErr w:type="gramStart"/>
      <w:r>
        <w:t>p</w:t>
      </w:r>
      <w:r>
        <w:t xml:space="preserve">redloga </w:t>
      </w:r>
      <w:r>
        <w:t>Z</w:t>
      </w:r>
      <w:r>
        <w:t>akona</w:t>
      </w:r>
      <w:proofErr w:type="gramEnd"/>
      <w:r>
        <w:t xml:space="preserve"> o ratifikaciji Konvencije o odpravi nasilja in nadlegovanja v svetu dela, 2019 (Konvencija MOD št. 190), sprejete v Ženevi 21. junija 2019, kot je bila spremenjena s Konvencijo o spremembah standardov zaradi priznanja varnega in zdravega delovnega okolja za temeljno načelo, 2023 (Konvencija MOD št. 191).</w:t>
      </w:r>
    </w:p>
    <w:p w14:paraId="0EE59858" w14:textId="77777777" w:rsidR="0033383A" w:rsidRDefault="0033383A" w:rsidP="0033383A"/>
    <w:p w14:paraId="1912148E" w14:textId="77777777" w:rsidR="0033383A" w:rsidRDefault="0033383A" w:rsidP="0033383A">
      <w:r>
        <w:t>Konvencija o odpravi nasilja in nadlegovanja v svetu dela in spremljajoče istoimensko priporočilo sta prva mednarodna standarda o nasilju in nadlegovanju v svetu dela. S sprejeto konvencijo je bila dogovorjena definicija nasilja in nadlegovanja v svetu dela na mednarodni ravni, prav tako so bili opredeljeni celoviti ukrepi za njuno obravnavanje in preprečevanje.</w:t>
      </w:r>
    </w:p>
    <w:p w14:paraId="65AB41FB" w14:textId="77777777" w:rsidR="0033383A" w:rsidRDefault="0033383A" w:rsidP="0033383A"/>
    <w:p w14:paraId="760F3570" w14:textId="77777777" w:rsidR="0033383A" w:rsidRDefault="0033383A" w:rsidP="0033383A">
      <w:r>
        <w:t xml:space="preserve">Konvencija v preambuli med drugim navaja, da lahko nasilje in nadlegovanje v svetu dela pomenita kršitev ali zlorabo človekovih pravic, vplivata na duševno, telesno in spolno zdravje, dostojanstvo ter </w:t>
      </w:r>
      <w:r>
        <w:lastRenderedPageBreak/>
        <w:t>družinsko in družbeno okolje posameznika, prav tako pa ogrožata enake možnosti, ter sta nesprejemljiva ter nezdružljiva z dostojnim delom. Konvencija izpostavlja pravico vsakogar do sveta dela brez nasilja in nadlegovanja, vključno brez nasilja in nadlegovanja zaradi spola. Nasilje in nadlegovanje zaradi spola nesorazmerno prizadeneta ženske in dekleta, vključujoče in celostno delovanje, ki upošteva enakost spolov in obravnava temeljne vzroke in dejavnike tveganja, je tako ključno za odpravo nasilja in nadlegovanja v svetu dela.</w:t>
      </w:r>
    </w:p>
    <w:p w14:paraId="4082022C" w14:textId="77777777" w:rsidR="0033383A" w:rsidRDefault="0033383A" w:rsidP="0033383A"/>
    <w:p w14:paraId="569A2ED2" w14:textId="77777777" w:rsidR="0033383A" w:rsidRDefault="0033383A" w:rsidP="0033383A">
      <w:r>
        <w:t>Konvencija poudarja tudi odgovornost članic, da spodbujajo splošno okolje ničelne strpnosti do nasilja in nadlegovanja s ciljem omogočiti preprečevanje takšnega vedenja in praks, ter da se morajo vsi udeleženi v svetu dela vzdržati nasilja in nadlegovanja, ju preprečevati in odpravljati. Nasilje in nadlegovanje sta prav tako nezdružljiva s spodbujanjem trajnostnih podjetij ter negativno vplivata na organizacijo dela, odnose na delovnem mestu, zavzetost delavcev, ugled podjetja in produktivnost.</w:t>
      </w:r>
    </w:p>
    <w:p w14:paraId="10D88198" w14:textId="77777777" w:rsidR="0033383A" w:rsidRDefault="0033383A" w:rsidP="0033383A">
      <w:pPr>
        <w:pStyle w:val="Vir"/>
      </w:pPr>
      <w:r>
        <w:t>Vir: Ministrstvo za zunanje in evropske zadeve Republike Slovenije</w:t>
      </w:r>
    </w:p>
    <w:p w14:paraId="73EA63ED" w14:textId="37A8ADAD" w:rsidR="0033383A" w:rsidRDefault="0033383A" w:rsidP="0033383A">
      <w:pPr>
        <w:pStyle w:val="Naslov2"/>
      </w:pPr>
      <w:r>
        <w:t>Konvencija o spremembah standardov zaradi priznanja varnega in zdravega delovnega okolja za temeljno načelo</w:t>
      </w:r>
    </w:p>
    <w:p w14:paraId="1977D5D8" w14:textId="2E68FFDA" w:rsidR="0033383A" w:rsidRDefault="0033383A" w:rsidP="0033383A">
      <w:r>
        <w:t xml:space="preserve">Vlada Republike Slovenije je določila besedilo </w:t>
      </w:r>
      <w:proofErr w:type="gramStart"/>
      <w:r>
        <w:t>p</w:t>
      </w:r>
      <w:r>
        <w:t xml:space="preserve">redloga </w:t>
      </w:r>
      <w:r>
        <w:t>Z</w:t>
      </w:r>
      <w:r>
        <w:t>akona</w:t>
      </w:r>
      <w:proofErr w:type="gramEnd"/>
      <w:r>
        <w:t xml:space="preserve"> o ratifikaciji Konvencije o spremembah standardov zaradi priznanja varnega in zdravega delovnega okolja za temeljno načelo, sprejete v Ženevi 12. junija 2023.</w:t>
      </w:r>
    </w:p>
    <w:p w14:paraId="2553829C" w14:textId="77777777" w:rsidR="0033383A" w:rsidRDefault="0033383A" w:rsidP="0033383A"/>
    <w:p w14:paraId="0FC65B90" w14:textId="77777777" w:rsidR="0033383A" w:rsidRDefault="0033383A" w:rsidP="0033383A">
      <w:r>
        <w:t xml:space="preserve">Odločitev Generalne konference Mednarodne organizacije dela glede sprejema omenjene konvencije je skladna z Resolucijo o vključitvi varnega in zdravega delovnega okolja v okvir temeljnih načel in pravic pri delu MOD, 2022, ki je med drugim obstoječim štirim temeljnim načelom in pravicam pri delu (svoboda združevanja in dejansko priznanje pravice do kolektivnega dogovarjanja, odprava vseh oblik prisilnega ali obveznega dela, dejanska odprava dela otrok in odprava diskriminacije glede zaposlovanja in poklicev) dodala varno in zdravo delovno okolje ter pozvala Administrativni svet Mednarodnega urada za delo k sprejemu vseh ustreznih ukrepov za uvedbo nekaterih sprememb zadevnih mednarodnih standardov dela, in sicer zaradi določitve novega, petega temeljnega načela in pravice pri delu. Z omenjeno resolucijo je konferenca prav tako določila Konvenciji MOD št. 155 in </w:t>
      </w:r>
      <w:proofErr w:type="gramStart"/>
      <w:r>
        <w:t>187</w:t>
      </w:r>
      <w:proofErr w:type="gramEnd"/>
      <w:r>
        <w:t xml:space="preserve"> kot temeljni, s čimer je obstoječim osmim temeljnim konvencijam MOD dodala še omenjeni dve.</w:t>
      </w:r>
    </w:p>
    <w:p w14:paraId="408707DF" w14:textId="47D00123" w:rsidR="00EF7154" w:rsidRDefault="0033383A" w:rsidP="0033383A">
      <w:pPr>
        <w:pStyle w:val="Vir"/>
      </w:pPr>
      <w:r>
        <w:t>Vir: Ministrstvo za zunanje in evropske zadeve Republike Slovenije</w:t>
      </w:r>
    </w:p>
    <w:p w14:paraId="195176E3" w14:textId="57F25E13" w:rsidR="0033383A" w:rsidRDefault="0033383A" w:rsidP="0033383A">
      <w:pPr>
        <w:pStyle w:val="Naslov2"/>
      </w:pPr>
      <w:r>
        <w:t>Pogodba o ustanovitvi Evropskega mehanizma za stabilnost ter spremembe Priloge I in Priloge II, kot neposredne posledice pristopa Republike Bolgarije</w:t>
      </w:r>
    </w:p>
    <w:p w14:paraId="735ED494" w14:textId="5CB7BC09" w:rsidR="0033383A" w:rsidRDefault="0033383A" w:rsidP="0033383A">
      <w:r>
        <w:t xml:space="preserve">Vlada je določila besedilo </w:t>
      </w:r>
      <w:proofErr w:type="gramStart"/>
      <w:r>
        <w:t>predloga Zakon</w:t>
      </w:r>
      <w:r>
        <w:t>a</w:t>
      </w:r>
      <w:proofErr w:type="gramEnd"/>
      <w:r>
        <w:t xml:space="preserve"> o  ratifikaciji prilagoditve Pogodbe o ustanovitvi Evropskega mehanizma za stabilnost med Kraljevino Belgijo, Zvezno republiko Nemčijo, Republiko Estonijo, Irsko, Helensko republiko, Kraljevino Španijo, Francosko republiko, Republiko Hrvaško, Italijansko republiko, Republiko Ciper, Republiko Latvijo, Republiko Litvo, Velikim vojvodstvom Luksemburg, Malto, Kraljevino Nizozemsko, Republiko Avstrijo, Portugalsko republiko, Republiko Slovenijo, Slovaško republiko in Republiko Finsko ter spremembe Priloge I in Priloge II, kot neposredne posledice pristopa Republike Bolgarije, ki ga je sprejel Svet guvernerjev Evropskega mehanizma za stabilnost v Bruslju 11. decembra 2025.</w:t>
      </w:r>
    </w:p>
    <w:p w14:paraId="713E6441" w14:textId="77777777" w:rsidR="0033383A" w:rsidRDefault="0033383A" w:rsidP="0033383A">
      <w:pPr>
        <w:pStyle w:val="Vir"/>
      </w:pPr>
      <w:r>
        <w:t>Vir: Ministrstvo za zunanje in evropske zadeve Republike Slovenije</w:t>
      </w:r>
    </w:p>
    <w:p w14:paraId="34C1F667" w14:textId="422B0C95" w:rsidR="0033383A" w:rsidRDefault="0033383A" w:rsidP="0033383A">
      <w:pPr>
        <w:pStyle w:val="Naslov2"/>
      </w:pPr>
      <w:r>
        <w:t>Zakon o ratifikaciji prilagoditve pogodbe o ustanovitvi Evropskega mehanizma za stabilnost zaradi prenehanja začasno prilagojenega kapitalskega ključa za Republiko Latvijo</w:t>
      </w:r>
    </w:p>
    <w:p w14:paraId="1016A83C" w14:textId="77777777" w:rsidR="0033383A" w:rsidRDefault="0033383A" w:rsidP="0033383A"/>
    <w:p w14:paraId="5040CA78" w14:textId="77777777" w:rsidR="0033383A" w:rsidRDefault="0033383A" w:rsidP="0033383A">
      <w:r>
        <w:lastRenderedPageBreak/>
        <w:t xml:space="preserve">Vlada Republike Slovenije je določila besedilo </w:t>
      </w:r>
      <w:proofErr w:type="gramStart"/>
      <w:r>
        <w:t>predloga Zakona</w:t>
      </w:r>
      <w:proofErr w:type="gramEnd"/>
      <w:r>
        <w:t xml:space="preserve"> o  ratifikaciji prilagoditve pogodbe o ustanovitvi Evropskega mehanizma za stabilnost med Kraljevino Belgijo, Zvezno republiko Nemčijo, Republiko Estonijo, Irsko, Helensko republiko, Kraljevino Španijo, Francosko republiko, Republiko Hrvaško, Italijansko republiko, Republiko Ciper, Republiko Latvijo, Republiko Litvo, Velikim vojvodstvom Luksemburg, Malto, Kraljevino Nizozemsko, Republiko Avstrijo, Portugalsko republiko, Republiko Slovenijo, Slovaško republiko in Republiko Finsko ter spremembe Priloge I in Priloge II zaradi prenehanja začasno prilagojenega kapitalskega ključa za Republiko Latvijo, ki ga je sprejel Svet guvernerjev Evropskega mehanizma za stabilnost v Bruslju, 11. decembra 2025.</w:t>
      </w:r>
    </w:p>
    <w:p w14:paraId="5982DA28" w14:textId="29CA0092" w:rsidR="00EF7154" w:rsidRDefault="0033383A" w:rsidP="0033383A">
      <w:pPr>
        <w:pStyle w:val="Vir"/>
      </w:pPr>
      <w:r>
        <w:t>Vir: Ministrstvo za zunanje in evropske zadeve Republike Slovenije</w:t>
      </w:r>
    </w:p>
    <w:p w14:paraId="4153E189" w14:textId="5A4FC766" w:rsidR="0033383A" w:rsidRDefault="0033383A" w:rsidP="0033383A">
      <w:pPr>
        <w:pStyle w:val="Naslov2"/>
      </w:pPr>
      <w:r>
        <w:t>Odprava vizumske obveznosti za kratkoročno bivanje za imetnike diplomatskih potnih listov</w:t>
      </w:r>
    </w:p>
    <w:p w14:paraId="7E645DB7" w14:textId="37FC389A" w:rsidR="0033383A" w:rsidRDefault="0033383A" w:rsidP="0033383A">
      <w:r>
        <w:t>Vlada je izdala Uredbo o ratifikaciji Sporazuma med Vlado Republike Slovenije in Kabinetom ministrov Kirgiške republike o odpravi vizumske obveznosti za kratkoročno bivanje za imetnike diplomatskih potnih listov.</w:t>
      </w:r>
    </w:p>
    <w:p w14:paraId="6B6C36F4" w14:textId="77777777" w:rsidR="0033383A" w:rsidRDefault="0033383A" w:rsidP="0033383A"/>
    <w:p w14:paraId="31852A0C" w14:textId="77777777" w:rsidR="0033383A" w:rsidRDefault="0033383A" w:rsidP="0033383A">
      <w:r>
        <w:t>Sporazum velja za veljavne diplomatske potne liste za Kirgiško republiko in za Republiko Slovenijo. Imetniki veljavnih diplomatskih potnih listov vsakega od pogodbenikov</w:t>
      </w:r>
      <w:proofErr w:type="gramStart"/>
      <w:r>
        <w:t>,</w:t>
      </w:r>
      <w:proofErr w:type="gramEnd"/>
      <w:r>
        <w:t xml:space="preserve"> lahko v skladu z določbami tega sporazuma vstopijo na ozemlje drugega pogodbenika, potujejo čezenj, na njem bivajo in z njega odidejo brez vizuma v največ 90 dneh v katerem koli obdobju 180 dni.</w:t>
      </w:r>
    </w:p>
    <w:p w14:paraId="4998234F" w14:textId="248C3356" w:rsidR="00EF7154" w:rsidRDefault="0033383A" w:rsidP="0033383A">
      <w:pPr>
        <w:pStyle w:val="Vir"/>
      </w:pPr>
      <w:r>
        <w:t>Vir: Ministrstvo za zunanje in evropske zadeve Republike Slovenije</w:t>
      </w:r>
    </w:p>
    <w:p w14:paraId="7A4D2201" w14:textId="460B7CE8" w:rsidR="00CE20C0" w:rsidRDefault="00CE20C0" w:rsidP="00CE20C0">
      <w:pPr>
        <w:pStyle w:val="Naslov2"/>
      </w:pPr>
      <w:r>
        <w:t>Vlada sprejela Pobudo za podpis Konvencije Sveta Evrope o varstvu odvetniškega poklica</w:t>
      </w:r>
    </w:p>
    <w:p w14:paraId="36DE4787" w14:textId="77777777" w:rsidR="00CE20C0" w:rsidRDefault="00CE20C0" w:rsidP="00CE20C0">
      <w:r>
        <w:t>Vlada Republike Slovenije je sprejela Pobudo za podpis Konvencije Sveta Evrope o varstvu odvetniškega poklica in jo poslala v potrditev Odboru za zunanjo politiko Državnega zbora Republike Slovenije.</w:t>
      </w:r>
    </w:p>
    <w:p w14:paraId="5F2F0A6A" w14:textId="77777777" w:rsidR="00CE20C0" w:rsidRDefault="00CE20C0" w:rsidP="00CE20C0"/>
    <w:p w14:paraId="086AD865" w14:textId="5632352E" w:rsidR="00CE20C0" w:rsidRDefault="00CE20C0" w:rsidP="00CE20C0">
      <w:r>
        <w:t>Konvencija Sveta Evrope o varstvu odvetniškega poklica (</w:t>
      </w:r>
      <w:proofErr w:type="gramStart"/>
      <w:r>
        <w:t>CETS št.</w:t>
      </w:r>
      <w:proofErr w:type="gramEnd"/>
      <w:r>
        <w:t xml:space="preserve"> 226) je bila sprejeta z namenom okrepiti varstvo odvetnikov pri opravljanju njihovega dela. Nastala je kot odziv na vse pogostejše primere napadov, groženj, nadlegovanja in ustrahovanja odvetnikov ter na nedopustne pritiske in vmešavanja v njihovo poklicno neodvisnost.</w:t>
      </w:r>
    </w:p>
    <w:p w14:paraId="257B45BB" w14:textId="77777777" w:rsidR="00CE20C0" w:rsidRDefault="00CE20C0" w:rsidP="00CE20C0"/>
    <w:p w14:paraId="05FC3FB6" w14:textId="2AAF6325" w:rsidR="00CE20C0" w:rsidRDefault="00CE20C0" w:rsidP="00CE20C0">
      <w:r>
        <w:t>Do zdaj so obstajali predvsem nezavezujoči mednarodni standardi, zato njihovo spoštovanje ni bilo vedno zagotovljeno – tudi v državah z razvitim pravnim sistemom. Konvencija prvič vzpostavlja zavezujoč mednarodni okvir za zaščito odvetniškega poklica.</w:t>
      </w:r>
    </w:p>
    <w:p w14:paraId="6FBEA850" w14:textId="77777777" w:rsidR="00CE20C0" w:rsidRDefault="00CE20C0" w:rsidP="00CE20C0"/>
    <w:p w14:paraId="54A2D6BD" w14:textId="004BFBFA" w:rsidR="00CE20C0" w:rsidRDefault="00CE20C0" w:rsidP="00CE20C0">
      <w:r>
        <w:t>Slovenija želi s svojim podpisom pristopiti k odgovornemu obravnavanju problematike, ki se kaže v odvetniškem poklicu. Do konca leta 2025 je Konvencijo podpisalo 24 držav, med njimi 18 držav Evropske unije.</w:t>
      </w:r>
    </w:p>
    <w:p w14:paraId="52DD5DD1" w14:textId="0614E34F" w:rsidR="00EF7154" w:rsidRDefault="00CE20C0" w:rsidP="00CE20C0">
      <w:pPr>
        <w:pStyle w:val="Vir"/>
      </w:pPr>
      <w:r>
        <w:t>Vir: Ministrstvo za pravosodje</w:t>
      </w:r>
    </w:p>
    <w:p w14:paraId="7FEDF361" w14:textId="14EB54CF" w:rsidR="006205AE" w:rsidRDefault="006205AE" w:rsidP="006205AE">
      <w:pPr>
        <w:pStyle w:val="Naslov2"/>
      </w:pPr>
      <w:r>
        <w:t>Sodelovanje na obrambnem področju z Republiko Indijo</w:t>
      </w:r>
    </w:p>
    <w:p w14:paraId="75CEEF72" w14:textId="77777777" w:rsidR="006205AE" w:rsidRDefault="006205AE" w:rsidP="006205AE">
      <w:r>
        <w:t xml:space="preserve">Vlada je na današnji seji sprejela pobudo za sklenitev Sporazuma med Republiko Slovenijo in Republiko Indijo o sodelovanju na obrambnem področju. Pobudo bo poslala v potrditev Odboru za zunanjo politiko Državnega zbora Republike Slovenije. Usklajeni sporazum bo podpisal minister za obrambo. </w:t>
      </w:r>
    </w:p>
    <w:p w14:paraId="1EC4EF23" w14:textId="77777777" w:rsidR="006205AE" w:rsidRDefault="006205AE" w:rsidP="006205AE"/>
    <w:p w14:paraId="0416DBF9" w14:textId="77777777" w:rsidR="006205AE" w:rsidRDefault="006205AE" w:rsidP="006205AE">
      <w:r>
        <w:lastRenderedPageBreak/>
        <w:t xml:space="preserve">Državi bosta sporazum sklenili, da bi vzpostavili </w:t>
      </w:r>
      <w:proofErr w:type="gramStart"/>
      <w:r>
        <w:t>pravno-formalno</w:t>
      </w:r>
      <w:proofErr w:type="gramEnd"/>
      <w:r>
        <w:t xml:space="preserve"> podlago za obrambno sodelovanje, med drugim tudi zagotovitev ustrezne stopnje pravne varnosti civilnih uslužbencev in vojaških oseb države pošiljateljice na ozemlju države gostiteljice pri izvajanju dejavnosti po sporazumu. </w:t>
      </w:r>
    </w:p>
    <w:p w14:paraId="7C019327" w14:textId="77777777" w:rsidR="006205AE" w:rsidRDefault="006205AE" w:rsidP="006205AE"/>
    <w:p w14:paraId="63774C1B" w14:textId="77777777" w:rsidR="006205AE" w:rsidRDefault="006205AE" w:rsidP="006205AE">
      <w:r>
        <w:t xml:space="preserve">Sporazum bo opredelil področja sodelovanja, za izvajanje določb sporazuma pa bosta državi sklepali izvedbene dogovore. Sodelovanje bo potekalo v obliki obiskov in srečanj visokih predstavnikov pogodbenic, strokovnih posvetov, izobraževanj in usposabljanj, sodelovanja opazovalcev in vojaških enot na </w:t>
      </w:r>
      <w:proofErr w:type="spellStart"/>
      <w:r>
        <w:t>dvo</w:t>
      </w:r>
      <w:proofErr w:type="spellEnd"/>
      <w:r>
        <w:t xml:space="preserve">- in večstranskih vojaških vajah, izmenjave podatkov in drugih oblikah. </w:t>
      </w:r>
    </w:p>
    <w:p w14:paraId="67CCE35B" w14:textId="72AF9B45" w:rsidR="00EF7154" w:rsidRDefault="006205AE" w:rsidP="006205AE">
      <w:pPr>
        <w:pStyle w:val="Vir"/>
      </w:pPr>
      <w:r>
        <w:t>Vir: Ministrstvo za obrambo</w:t>
      </w:r>
    </w:p>
    <w:p w14:paraId="6CCEE013" w14:textId="4365556A" w:rsidR="005948F8" w:rsidRDefault="005948F8" w:rsidP="005948F8">
      <w:pPr>
        <w:pStyle w:val="Naslov2"/>
      </w:pPr>
      <w:r>
        <w:t>Z Republiko Korejo načrtovano sodelovanje na obrambnem področju</w:t>
      </w:r>
    </w:p>
    <w:p w14:paraId="114A0FD7" w14:textId="77777777" w:rsidR="005948F8" w:rsidRDefault="005948F8" w:rsidP="005948F8">
      <w:r>
        <w:t xml:space="preserve">Vlada je danes sprejela pobudo za sklenitev Sporazuma med Republiko Slovenijo in Republiko Korejo o sodelovanju na obrambnem področju, ki jo bo poslala v potrditev Odboru za zunanjo politiko Državnega zbora Republike Slovenije. Usklajeni sporazum bo podpisal minister za obrambo. </w:t>
      </w:r>
    </w:p>
    <w:p w14:paraId="614E6CE4" w14:textId="77777777" w:rsidR="005948F8" w:rsidRDefault="005948F8" w:rsidP="005948F8"/>
    <w:p w14:paraId="18B4531A" w14:textId="791C5789" w:rsidR="005948F8" w:rsidRDefault="005948F8" w:rsidP="005948F8">
      <w:r>
        <w:t>Namen sklenitve sporazuma je vzpostavitev pravno-formalnih podlag za obrambno sodelovanje med pogodbenicama, med drugim tudi zagotovitev ustrezne stopnje pravne varnosti civilnih uslužbencev in vojaških oseb države pošiljateljice na ozemlju države gostiteljice pri izvajanju dejavnosti po sporazumu. Državi namreč krovnega sporazuma o sodelovanju na obrambnem in vojaškem področju nimata sklenjenega, zato je sodelovanje doslej potekalo predvsem v multilateralnem okolju.</w:t>
      </w:r>
    </w:p>
    <w:p w14:paraId="58E4D1FA" w14:textId="77777777" w:rsidR="005948F8" w:rsidRDefault="005948F8" w:rsidP="005948F8"/>
    <w:p w14:paraId="5D58533D" w14:textId="77777777" w:rsidR="005948F8" w:rsidRDefault="005948F8" w:rsidP="005948F8">
      <w:r>
        <w:t xml:space="preserve">Sporazum bo opredelil področja sodelovanja, ki bo potekalo v obliki obiskov in srečanj visokih predstavnikov pogodbenic, strokovnih posvetov, izobraževanj in usposabljanj, sodelovanja opazovalcev in vojaških enot na </w:t>
      </w:r>
      <w:proofErr w:type="spellStart"/>
      <w:r>
        <w:t>dvo</w:t>
      </w:r>
      <w:proofErr w:type="spellEnd"/>
      <w:r>
        <w:t xml:space="preserve">- in večstranskih vojaških vajah, izmenjave podatkov in drugih oblikah. </w:t>
      </w:r>
    </w:p>
    <w:p w14:paraId="7E7B14AD" w14:textId="77777777" w:rsidR="005948F8" w:rsidRDefault="005948F8" w:rsidP="005948F8"/>
    <w:p w14:paraId="207E28D3" w14:textId="5AD02728" w:rsidR="005948F8" w:rsidRDefault="005948F8" w:rsidP="005948F8">
      <w:r>
        <w:t xml:space="preserve">Za izvajanje določb sporazuma bosta pogodbenici sklenili izvedbene dogovore. </w:t>
      </w:r>
    </w:p>
    <w:p w14:paraId="08880CB9" w14:textId="22F0DC14" w:rsidR="00EF7154" w:rsidRDefault="005948F8" w:rsidP="005948F8">
      <w:pPr>
        <w:pStyle w:val="Vir"/>
      </w:pPr>
      <w:r>
        <w:t>Vir: Ministrstvo za obrambo</w:t>
      </w:r>
    </w:p>
    <w:p w14:paraId="2EAE5FE5" w14:textId="0D9FA5AE" w:rsidR="005948F8" w:rsidRDefault="005948F8" w:rsidP="005948F8">
      <w:pPr>
        <w:pStyle w:val="Naslov2"/>
      </w:pPr>
      <w:r>
        <w:t>Slovenska vojska bo del Zmogljivosti EU za hitro napotitev</w:t>
      </w:r>
    </w:p>
    <w:p w14:paraId="3E36EABF" w14:textId="77777777" w:rsidR="005948F8" w:rsidRDefault="005948F8" w:rsidP="005948F8">
      <w:r>
        <w:t xml:space="preserve">Vlada je danes na seji sprejela odločitev o sodelovanju Slovenske vojske v Zmogljivosti EU za hitro napotitev (EU </w:t>
      </w:r>
      <w:proofErr w:type="spellStart"/>
      <w:r>
        <w:t>Radid</w:t>
      </w:r>
      <w:proofErr w:type="spellEnd"/>
      <w:r>
        <w:t xml:space="preserve"> </w:t>
      </w:r>
      <w:proofErr w:type="spellStart"/>
      <w:r>
        <w:t>Deployment</w:t>
      </w:r>
      <w:proofErr w:type="spellEnd"/>
      <w:r>
        <w:t xml:space="preserve"> </w:t>
      </w:r>
      <w:proofErr w:type="spellStart"/>
      <w:r>
        <w:t>Capacity</w:t>
      </w:r>
      <w:proofErr w:type="spellEnd"/>
      <w:r>
        <w:t xml:space="preserve"> – EU RDC) v letih 2026 in 2027, in sicer v skupnem obsegu do ravni </w:t>
      </w:r>
      <w:proofErr w:type="gramStart"/>
      <w:r>
        <w:t>čete</w:t>
      </w:r>
      <w:proofErr w:type="gramEnd"/>
      <w:r>
        <w:t>. S sklepom bo seznanila Odbor Državnega zbora za obrambo in Odbor Državnega zbora za zunanjo politiko.</w:t>
      </w:r>
    </w:p>
    <w:p w14:paraId="5BD864E5" w14:textId="77777777" w:rsidR="005948F8" w:rsidRDefault="005948F8" w:rsidP="005948F8"/>
    <w:p w14:paraId="17A39849" w14:textId="77777777" w:rsidR="005948F8" w:rsidRDefault="005948F8" w:rsidP="005948F8">
      <w:r>
        <w:t>Konkretne sile in zmogljivosti, s katerimi bo v obdobju 2026–2027 v jedrnem in podpornem delu EU RDC sodelovala Slovenska vojska, bo skladno s sklepom vlade, določil minister za obrambo. Ministrstvo za obrambo ter Ministrstvo za zunanje in evropske zadeve pa bosta izvedla ustrezne postopke. O morebitnem aktiviranju, napotitvi in delovanju pripadnikov ter deklariranih zmogljivosti Slovenske vojske v okviru EU RDC bo odločala vlada s posebnim sklepom.</w:t>
      </w:r>
    </w:p>
    <w:p w14:paraId="7A15DBFE" w14:textId="77777777" w:rsidR="005948F8" w:rsidRDefault="005948F8" w:rsidP="005948F8"/>
    <w:p w14:paraId="33A5974F" w14:textId="77777777" w:rsidR="005948F8" w:rsidRDefault="005948F8" w:rsidP="005948F8">
      <w:r>
        <w:t xml:space="preserve">Zmogljivost EU RDC je vojaški instrument EU za hitro odzivanje na varnostne grožnje in krizne </w:t>
      </w:r>
      <w:proofErr w:type="gramStart"/>
      <w:r>
        <w:t>situacije</w:t>
      </w:r>
      <w:proofErr w:type="gramEnd"/>
      <w:r>
        <w:t xml:space="preserve"> izven njenega območja. Jedro EU RDC so Bojne skupine EU (angl. EU Battle </w:t>
      </w:r>
      <w:proofErr w:type="spellStart"/>
      <w:r>
        <w:t>Groups</w:t>
      </w:r>
      <w:proofErr w:type="spellEnd"/>
      <w:r>
        <w:t xml:space="preserve"> – EUBG), podporni del pa so strateški elementi za zagotovitev delovanja in dopolnjujoči moduli. Slovenija je v </w:t>
      </w:r>
      <w:proofErr w:type="gramStart"/>
      <w:r>
        <w:t>rotacijah</w:t>
      </w:r>
      <w:proofErr w:type="gramEnd"/>
      <w:r>
        <w:t xml:space="preserve"> EUBG že sodelovala, in sicer v letih 2007, 2012, 2017, 2021, 2022 in 2024. </w:t>
      </w:r>
    </w:p>
    <w:p w14:paraId="72AA8B3C" w14:textId="77777777" w:rsidR="005948F8" w:rsidRDefault="005948F8" w:rsidP="005948F8"/>
    <w:p w14:paraId="13AC7F53" w14:textId="77777777" w:rsidR="005948F8" w:rsidRDefault="005948F8" w:rsidP="005948F8">
      <w:r>
        <w:t xml:space="preserve">Slovenija bo konkretno podporo pripravljenosti in operativnosti EU RDC izkazala s sodelovanjem v rotaciji EUBG v preizkušenem in uveljavljenem regionalnem formatu Pobude za obrambno </w:t>
      </w:r>
      <w:r>
        <w:lastRenderedPageBreak/>
        <w:t>sodelovanje (</w:t>
      </w:r>
      <w:proofErr w:type="spellStart"/>
      <w:r>
        <w:t>Defence</w:t>
      </w:r>
      <w:proofErr w:type="spellEnd"/>
      <w:r>
        <w:t xml:space="preserve"> </w:t>
      </w:r>
      <w:proofErr w:type="spellStart"/>
      <w:r>
        <w:t>Cooperation</w:t>
      </w:r>
      <w:proofErr w:type="spellEnd"/>
      <w:r>
        <w:t xml:space="preserve"> </w:t>
      </w:r>
      <w:proofErr w:type="spellStart"/>
      <w:r>
        <w:t>Initiative</w:t>
      </w:r>
      <w:proofErr w:type="spellEnd"/>
      <w:r>
        <w:t xml:space="preserve"> – DECI) v letu 2027, kar bo skladno z varnostnimi in drugimi razmerami dopolnjevala s strateškimi elementi za zagotovitev delovanja</w:t>
      </w:r>
      <w:proofErr w:type="gramStart"/>
      <w:r>
        <w:t xml:space="preserve">.  </w:t>
      </w:r>
      <w:proofErr w:type="gramEnd"/>
      <w:r>
        <w:t xml:space="preserve">Prav tako bomo prispevek zagotovili v podporni del EU RDC, in sicer že v letu 2026 kot pripravljenost taktičnega transportnega letala C-27J. </w:t>
      </w:r>
    </w:p>
    <w:p w14:paraId="100D38F1" w14:textId="5B9D56D0" w:rsidR="00EF7154" w:rsidRDefault="005948F8" w:rsidP="005948F8">
      <w:pPr>
        <w:pStyle w:val="Vir"/>
      </w:pPr>
      <w:r>
        <w:t>Vir: Ministrstvo za obrambo</w:t>
      </w:r>
    </w:p>
    <w:p w14:paraId="2DC1EAF8" w14:textId="6FAB6F29" w:rsidR="00677662" w:rsidRDefault="00677662" w:rsidP="00677662">
      <w:pPr>
        <w:pStyle w:val="Naslov2"/>
      </w:pPr>
      <w:r>
        <w:t xml:space="preserve">Poročilo o </w:t>
      </w:r>
      <w:proofErr w:type="gramStart"/>
      <w:r>
        <w:t>realizaciji</w:t>
      </w:r>
      <w:proofErr w:type="gramEnd"/>
      <w:r>
        <w:t xml:space="preserve"> sklepov Komisije Državnega zbora Republike Slovenije za odnose s Slovenci v zamejstvu in po svetu v obdobju maj 2024–december 2025</w:t>
      </w:r>
    </w:p>
    <w:p w14:paraId="65A2ED8F" w14:textId="77777777" w:rsidR="00677662" w:rsidRDefault="00677662" w:rsidP="00677662">
      <w:r>
        <w:t xml:space="preserve">Vlada je na današnji dopisni seji sprejela Poročilo o </w:t>
      </w:r>
      <w:proofErr w:type="gramStart"/>
      <w:r>
        <w:t>realizaciji</w:t>
      </w:r>
      <w:proofErr w:type="gramEnd"/>
      <w:r>
        <w:t xml:space="preserve"> sklepov Komisije Državnega zbora Republike Slovenije za odnose s Slovenci v zamejstvu in po svetu v obdobju maj 2024–december 2025. </w:t>
      </w:r>
    </w:p>
    <w:p w14:paraId="7613B6CB" w14:textId="77777777" w:rsidR="00677662" w:rsidRDefault="00677662" w:rsidP="00677662"/>
    <w:p w14:paraId="13F628D6" w14:textId="368060F0" w:rsidR="00677662" w:rsidRDefault="00677662" w:rsidP="00677662">
      <w:r>
        <w:t xml:space="preserve">Poročilo je bilo pripravljeno na podlagi zaprosila komisije z dne 22. decembra 2025 ter predstavlja pregled </w:t>
      </w:r>
      <w:proofErr w:type="gramStart"/>
      <w:r>
        <w:t>aktivnosti</w:t>
      </w:r>
      <w:proofErr w:type="gramEnd"/>
      <w:r>
        <w:t xml:space="preserve"> posameznih resorjev pri izvajanju sklepov, ki so bili sprejeti na sejah komisije v navedenem obdobju. Gre za uresničevanje sklepov na področjih gospodarskega sodelovanja med Republiko Slovenijo in slovensko skupnostjo v zamejstvu in po svetu, položaja avtohtone slovenske narodne skupnosti v Republiki Avstriji, vloge krovnih zvez slovenskih kulturnih društev iz sosednjih držav pri sooblikovanju skupnega slovenskega kulturnega prostora, urejanja, ohranjanja in digitalizacije slovenske kulturne dediščine v zamejstvu in po svetu ter posebnih trajnih priznavalnin učiteljem slovenskega dopolnilnega pouka v tujini, ki za poučevanje niso prejemali plačila.</w:t>
      </w:r>
    </w:p>
    <w:p w14:paraId="2900C322" w14:textId="4527F442" w:rsidR="00EF7154" w:rsidRDefault="00677662" w:rsidP="00677662">
      <w:pPr>
        <w:pStyle w:val="Vir"/>
      </w:pPr>
      <w:r w:rsidRPr="00677662">
        <w:t>Vir: Urad Vlade Republike Slovenije za Slovence v zamejstvu in po svetu</w:t>
      </w:r>
    </w:p>
    <w:p w14:paraId="6A79CE41" w14:textId="34CBC9F6" w:rsidR="005B1739" w:rsidRDefault="005B1739" w:rsidP="005B1739">
      <w:pPr>
        <w:pStyle w:val="Naslov2"/>
      </w:pPr>
      <w:r>
        <w:t>Vlada imenovala generalno sekretarko na obrambnem ministrstvu</w:t>
      </w:r>
    </w:p>
    <w:p w14:paraId="07E870A0" w14:textId="77777777" w:rsidR="005B1739" w:rsidRDefault="005B1739" w:rsidP="005B1739">
      <w:r>
        <w:t>Vlada je danes izdala odločbo o imenovanju mag. Vanje Svetec Leaney za generalno sekretarko na Ministrstvu za obrambo, in sicer za mandatno dobo petih let, to je do 15. januarja 2031, z možnostjo ponovnega imenovanja.</w:t>
      </w:r>
    </w:p>
    <w:p w14:paraId="7B354D1D" w14:textId="77777777" w:rsidR="005B1739" w:rsidRDefault="005B1739" w:rsidP="005B1739"/>
    <w:p w14:paraId="46DC4B12" w14:textId="77777777" w:rsidR="005B1739" w:rsidRDefault="005B1739" w:rsidP="005B1739">
      <w:r>
        <w:t xml:space="preserve">Kot primerno kandidatko za položaj generalne sekretarke na Ministrstvu za obrambo je minister za obrambo vladi predlagal mag. Vanjo Svetec Leaney, ki je bila doslej na navedenem delovnem mestu vršilka dolžnosti. </w:t>
      </w:r>
    </w:p>
    <w:p w14:paraId="5948EC25" w14:textId="77B732BD" w:rsidR="00EF7154" w:rsidRDefault="005B1739" w:rsidP="005B1739">
      <w:pPr>
        <w:pStyle w:val="Vir"/>
      </w:pPr>
      <w:r>
        <w:t>Vir: Ministrstvo za obrambo</w:t>
      </w:r>
    </w:p>
    <w:p w14:paraId="116EFC69" w14:textId="342EDD94" w:rsidR="009D7AF2" w:rsidRDefault="009D7AF2" w:rsidP="009D7AF2">
      <w:pPr>
        <w:pStyle w:val="Naslov2"/>
      </w:pPr>
      <w:r>
        <w:t xml:space="preserve">Stalna medresorska delovna skupina za koordinacijo gospodarske varnosti EU </w:t>
      </w:r>
    </w:p>
    <w:p w14:paraId="50AFD99B" w14:textId="77777777" w:rsidR="009D7AF2" w:rsidRDefault="009D7AF2" w:rsidP="009D7AF2">
      <w:r>
        <w:t xml:space="preserve">Vlada Republike Slovenije je sprejela Sklep o ustanovitvi Stalne medresorske delovne skupine za koordinacijo odzivov in </w:t>
      </w:r>
      <w:proofErr w:type="gramStart"/>
      <w:r>
        <w:t>aktivnosti</w:t>
      </w:r>
      <w:proofErr w:type="gramEnd"/>
      <w:r>
        <w:t xml:space="preserve"> Republike Slovenije glede gospodarske varnosti Evropske unije na operativni ravni.</w:t>
      </w:r>
    </w:p>
    <w:p w14:paraId="053BF417" w14:textId="77777777" w:rsidR="009D7AF2" w:rsidRDefault="009D7AF2" w:rsidP="009D7AF2"/>
    <w:p w14:paraId="680FD598" w14:textId="77777777" w:rsidR="009D7AF2" w:rsidRDefault="009D7AF2" w:rsidP="009D7AF2">
      <w:r>
        <w:t xml:space="preserve">Gospodarska varnost predstavlja eno osrednjih prednostnih nalog Evropske komisije. Zaradi izrazite </w:t>
      </w:r>
      <w:proofErr w:type="gramStart"/>
      <w:r>
        <w:t>horizontalne</w:t>
      </w:r>
      <w:proofErr w:type="gramEnd"/>
      <w:r>
        <w:t xml:space="preserve"> narave ter strateškega pomena tega področja je nujna učinkovita in usklajena koordinacija tako na ravni Evropske unije kot tudi na nacionalni ravni. Na podlagi dogovora na ravni državnih sekretarjev Ministrstva za zunanje in evropske zadeve, Ministrstva za gospodarstvo, turizem in šport ter Kabineta predsednika vlade je bil zato pripravljen predlog sklepa o ustanovitvi navedene stalne medresorske delovne skupine, ki jo bo vodilo Ministrstvo za gospodarstvo, turizem in šport.</w:t>
      </w:r>
    </w:p>
    <w:p w14:paraId="42820DBF" w14:textId="77777777" w:rsidR="009D7AF2" w:rsidRDefault="009D7AF2" w:rsidP="009D7AF2"/>
    <w:p w14:paraId="125636F3" w14:textId="77777777" w:rsidR="009D7AF2" w:rsidRDefault="009D7AF2" w:rsidP="009D7AF2">
      <w:r>
        <w:t xml:space="preserve">Člani in namestniki delovne skupine so predstavniki Ministrstva za gospodarstvo, turizem in šport, Ministrstva za zunanje in evropske zadeve, Ministrstva za digitalno preobrazbo, Ministrstva za visoko šolstvo, znanost in inovacije, Ministrstva za obrambo ter Urada Republike Slovenije za informacijsko </w:t>
      </w:r>
      <w:r>
        <w:lastRenderedPageBreak/>
        <w:t xml:space="preserve">varnost. Delovna skupina ne posega v pristojnosti posameznih resorjev, o svojem delu pa poroča Vladi Republike Slovenije in deluje do preklica. Pri delu ji lahko pomagajo tudi predstavniki drugih vladnih resorjev in služb ter zunanji sodelavci in strokovnjaki. </w:t>
      </w:r>
    </w:p>
    <w:p w14:paraId="1086C499" w14:textId="77777777" w:rsidR="009D7AF2" w:rsidRDefault="009D7AF2" w:rsidP="009D7AF2"/>
    <w:p w14:paraId="1D30DD87" w14:textId="77777777" w:rsidR="009D7AF2" w:rsidRDefault="009D7AF2" w:rsidP="009D7AF2">
      <w:r>
        <w:t xml:space="preserve">Delovna skupina bo skrbela za koordinacijo in reševanje odprtih vprašanj na operativni ravni ter tako prispevala k učinkovitemu zastopanju interesov in predstavljanju stališč Republike Slovenije glede posameznih dosjejev in </w:t>
      </w:r>
      <w:proofErr w:type="gramStart"/>
      <w:r>
        <w:t>aktivnosti</w:t>
      </w:r>
      <w:proofErr w:type="gramEnd"/>
      <w:r>
        <w:t xml:space="preserve"> glede gospodarske varnosti Evropske unije.</w:t>
      </w:r>
    </w:p>
    <w:p w14:paraId="30921535" w14:textId="3CBDA64C" w:rsidR="00EF7154" w:rsidRDefault="009D7AF2" w:rsidP="009D7AF2">
      <w:pPr>
        <w:pStyle w:val="Vir"/>
      </w:pPr>
      <w:r>
        <w:t>Vir: Ministrstvo za gospodarstvo, turizem in šport</w:t>
      </w:r>
    </w:p>
    <w:p w14:paraId="54502A4D" w14:textId="7B0D79FA" w:rsidR="008A4E2F" w:rsidRDefault="008A4E2F" w:rsidP="008A4E2F">
      <w:pPr>
        <w:pStyle w:val="Naslov2"/>
      </w:pPr>
      <w:r>
        <w:t>Vlada posodobila sestavo vladne pogajalske skupine za pogajanja s FIDES in sprejela spremembo sklepa o imenovanju</w:t>
      </w:r>
    </w:p>
    <w:p w14:paraId="499E8EE1" w14:textId="77777777" w:rsidR="008A4E2F" w:rsidRDefault="008A4E2F" w:rsidP="008A4E2F">
      <w:r>
        <w:t>Vlada Republike Slovenije je na dopisni seji sprejela sklep o spremembi Sklepa Vlade Republike Slovenije o imenovanju vladne pogajalske skupine za pogajanja z Glavnim stavkovnim odborom FIDES, sindikata zdravnikov in zobozdravnikov Slovenije, v zvezi z njihovimi stavkovnimi zahtevami.</w:t>
      </w:r>
    </w:p>
    <w:p w14:paraId="632AAFDB" w14:textId="77777777" w:rsidR="008A4E2F" w:rsidRDefault="008A4E2F" w:rsidP="008A4E2F"/>
    <w:p w14:paraId="62DC3BBB" w14:textId="0C744293" w:rsidR="008A4E2F" w:rsidRDefault="008A4E2F" w:rsidP="008A4E2F">
      <w:r>
        <w:t xml:space="preserve">V vladni pogajalski skupini se spremeni naziv članici Jasni Humar v državno sekretarko na Ministrstvu za zdravje, z mesta članice vladne pogajalske skupine se razreši </w:t>
      </w:r>
      <w:proofErr w:type="gramStart"/>
      <w:r>
        <w:t>Ksenijo Trčko, sekretarko na Ministrstvu za zdravje</w:t>
      </w:r>
      <w:proofErr w:type="gramEnd"/>
      <w:r>
        <w:t>, in namesto nje za članico pogajalske skupine imenuje Medejo Šuštar, višjo svetovalko na Ministrstvu za zdravje.</w:t>
      </w:r>
    </w:p>
    <w:p w14:paraId="3657F7DC" w14:textId="77777777" w:rsidR="008A4E2F" w:rsidRDefault="008A4E2F" w:rsidP="008A4E2F"/>
    <w:p w14:paraId="35EC67A6" w14:textId="77A95612" w:rsidR="008A4E2F" w:rsidRDefault="008A4E2F" w:rsidP="008A4E2F">
      <w:r>
        <w:t>Sprejeti sklep zagotavlja nemoteno nadaljevanje pogajanj z Glavnim stavkovnim odborom FIDES v zvezi z njihovimi stavkovnimi zahtevami.</w:t>
      </w:r>
    </w:p>
    <w:p w14:paraId="2ED6E7AF" w14:textId="495128AA" w:rsidR="00EF7154" w:rsidRDefault="008A4E2F" w:rsidP="008A4E2F">
      <w:pPr>
        <w:pStyle w:val="Vir"/>
      </w:pPr>
      <w:r>
        <w:t>Vir: Ministrstvo za zdravje</w:t>
      </w:r>
    </w:p>
    <w:p w14:paraId="058300D1" w14:textId="77777777" w:rsidR="00EF7154" w:rsidRDefault="00EF7154" w:rsidP="00EF7154"/>
    <w:p w14:paraId="124CAC43" w14:textId="77777777" w:rsidR="00EF7154" w:rsidRPr="00EF7154" w:rsidRDefault="00EF7154" w:rsidP="00EF7154"/>
    <w:sectPr w:rsidR="00EF7154" w:rsidRPr="00EF7154"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E27"/>
    <w:multiLevelType w:val="hybridMultilevel"/>
    <w:tmpl w:val="B5CE16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E323B4"/>
    <w:multiLevelType w:val="hybridMultilevel"/>
    <w:tmpl w:val="AC5615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6F3640C"/>
    <w:multiLevelType w:val="hybridMultilevel"/>
    <w:tmpl w:val="2F2E77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4B092F"/>
    <w:multiLevelType w:val="hybridMultilevel"/>
    <w:tmpl w:val="DD6405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3"/>
  </w:num>
  <w:num w:numId="2" w16cid:durableId="984821814">
    <w:abstractNumId w:val="10"/>
  </w:num>
  <w:num w:numId="3" w16cid:durableId="150218247">
    <w:abstractNumId w:val="1"/>
  </w:num>
  <w:num w:numId="4" w16cid:durableId="1026903286">
    <w:abstractNumId w:val="11"/>
  </w:num>
  <w:num w:numId="5" w16cid:durableId="231817878">
    <w:abstractNumId w:val="5"/>
  </w:num>
  <w:num w:numId="6" w16cid:durableId="2110814889">
    <w:abstractNumId w:val="14"/>
  </w:num>
  <w:num w:numId="7" w16cid:durableId="695153758">
    <w:abstractNumId w:val="6"/>
  </w:num>
  <w:num w:numId="8" w16cid:durableId="853298866">
    <w:abstractNumId w:val="9"/>
  </w:num>
  <w:num w:numId="9" w16cid:durableId="1789348953">
    <w:abstractNumId w:val="4"/>
  </w:num>
  <w:num w:numId="10" w16cid:durableId="1415012333">
    <w:abstractNumId w:val="12"/>
  </w:num>
  <w:num w:numId="11" w16cid:durableId="886650520">
    <w:abstractNumId w:val="7"/>
  </w:num>
  <w:num w:numId="12" w16cid:durableId="312607874">
    <w:abstractNumId w:val="2"/>
  </w:num>
  <w:num w:numId="13" w16cid:durableId="1398894926">
    <w:abstractNumId w:val="0"/>
  </w:num>
  <w:num w:numId="14" w16cid:durableId="857430202">
    <w:abstractNumId w:val="3"/>
  </w:num>
  <w:num w:numId="15" w16cid:durableId="6823609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04626"/>
    <w:rsid w:val="000318E4"/>
    <w:rsid w:val="00050A56"/>
    <w:rsid w:val="00057D37"/>
    <w:rsid w:val="000610D5"/>
    <w:rsid w:val="00076DF7"/>
    <w:rsid w:val="00085D04"/>
    <w:rsid w:val="00087069"/>
    <w:rsid w:val="00087A14"/>
    <w:rsid w:val="00096432"/>
    <w:rsid w:val="00097B85"/>
    <w:rsid w:val="000D5520"/>
    <w:rsid w:val="000E0657"/>
    <w:rsid w:val="00101665"/>
    <w:rsid w:val="00110B8F"/>
    <w:rsid w:val="00111A16"/>
    <w:rsid w:val="00113F85"/>
    <w:rsid w:val="0012724F"/>
    <w:rsid w:val="0013016C"/>
    <w:rsid w:val="001357B6"/>
    <w:rsid w:val="001602C9"/>
    <w:rsid w:val="0016530C"/>
    <w:rsid w:val="001673A5"/>
    <w:rsid w:val="00173343"/>
    <w:rsid w:val="001B01DD"/>
    <w:rsid w:val="001B42F9"/>
    <w:rsid w:val="001B48E4"/>
    <w:rsid w:val="001C3560"/>
    <w:rsid w:val="001C5F19"/>
    <w:rsid w:val="001D4277"/>
    <w:rsid w:val="001D69D6"/>
    <w:rsid w:val="001F51BC"/>
    <w:rsid w:val="001F7F63"/>
    <w:rsid w:val="00203CAB"/>
    <w:rsid w:val="00203F5F"/>
    <w:rsid w:val="00215140"/>
    <w:rsid w:val="00220CDD"/>
    <w:rsid w:val="0022511A"/>
    <w:rsid w:val="00231021"/>
    <w:rsid w:val="00232921"/>
    <w:rsid w:val="002501CE"/>
    <w:rsid w:val="002856E5"/>
    <w:rsid w:val="002C0766"/>
    <w:rsid w:val="002C36A6"/>
    <w:rsid w:val="002D5B5D"/>
    <w:rsid w:val="002E3F96"/>
    <w:rsid w:val="002F3BE7"/>
    <w:rsid w:val="00302938"/>
    <w:rsid w:val="0032428F"/>
    <w:rsid w:val="0033383A"/>
    <w:rsid w:val="0033519E"/>
    <w:rsid w:val="00346E22"/>
    <w:rsid w:val="00351E1E"/>
    <w:rsid w:val="00357DC0"/>
    <w:rsid w:val="00361255"/>
    <w:rsid w:val="00381018"/>
    <w:rsid w:val="003847C8"/>
    <w:rsid w:val="00385767"/>
    <w:rsid w:val="003877EB"/>
    <w:rsid w:val="00390582"/>
    <w:rsid w:val="00390DF7"/>
    <w:rsid w:val="0039662C"/>
    <w:rsid w:val="003A3742"/>
    <w:rsid w:val="003B1257"/>
    <w:rsid w:val="003D64D8"/>
    <w:rsid w:val="003E17B6"/>
    <w:rsid w:val="003E1B89"/>
    <w:rsid w:val="003E6170"/>
    <w:rsid w:val="003F4CC5"/>
    <w:rsid w:val="00415527"/>
    <w:rsid w:val="00424DF8"/>
    <w:rsid w:val="00432937"/>
    <w:rsid w:val="004403EC"/>
    <w:rsid w:val="00447B57"/>
    <w:rsid w:val="0045565C"/>
    <w:rsid w:val="00455B63"/>
    <w:rsid w:val="00460370"/>
    <w:rsid w:val="00472762"/>
    <w:rsid w:val="004A00A8"/>
    <w:rsid w:val="004A7BFC"/>
    <w:rsid w:val="004A7CAD"/>
    <w:rsid w:val="004B4753"/>
    <w:rsid w:val="004B7346"/>
    <w:rsid w:val="004C3F67"/>
    <w:rsid w:val="004C721D"/>
    <w:rsid w:val="00514121"/>
    <w:rsid w:val="00522637"/>
    <w:rsid w:val="00527867"/>
    <w:rsid w:val="00527AA5"/>
    <w:rsid w:val="005314D7"/>
    <w:rsid w:val="00544398"/>
    <w:rsid w:val="005458D4"/>
    <w:rsid w:val="005515BD"/>
    <w:rsid w:val="00571BC9"/>
    <w:rsid w:val="005740C1"/>
    <w:rsid w:val="0059143B"/>
    <w:rsid w:val="005948F8"/>
    <w:rsid w:val="005A570D"/>
    <w:rsid w:val="005B1739"/>
    <w:rsid w:val="005B5886"/>
    <w:rsid w:val="005C1523"/>
    <w:rsid w:val="005E1ABB"/>
    <w:rsid w:val="00614FFD"/>
    <w:rsid w:val="006205AE"/>
    <w:rsid w:val="00626A98"/>
    <w:rsid w:val="006274BB"/>
    <w:rsid w:val="00634EFA"/>
    <w:rsid w:val="00635D43"/>
    <w:rsid w:val="006367B9"/>
    <w:rsid w:val="00657B15"/>
    <w:rsid w:val="0066249C"/>
    <w:rsid w:val="0067375D"/>
    <w:rsid w:val="00676F03"/>
    <w:rsid w:val="00677662"/>
    <w:rsid w:val="006906AF"/>
    <w:rsid w:val="00693BA3"/>
    <w:rsid w:val="006B3F12"/>
    <w:rsid w:val="006C1B31"/>
    <w:rsid w:val="006D36E2"/>
    <w:rsid w:val="006F29FA"/>
    <w:rsid w:val="0070324C"/>
    <w:rsid w:val="0071171B"/>
    <w:rsid w:val="007120FD"/>
    <w:rsid w:val="007130E1"/>
    <w:rsid w:val="00716545"/>
    <w:rsid w:val="00717E59"/>
    <w:rsid w:val="0073796B"/>
    <w:rsid w:val="00750D01"/>
    <w:rsid w:val="007643A0"/>
    <w:rsid w:val="007669A3"/>
    <w:rsid w:val="00775843"/>
    <w:rsid w:val="00781345"/>
    <w:rsid w:val="007830B9"/>
    <w:rsid w:val="00784E57"/>
    <w:rsid w:val="0079749C"/>
    <w:rsid w:val="007A4C0B"/>
    <w:rsid w:val="007A6460"/>
    <w:rsid w:val="007B0ADD"/>
    <w:rsid w:val="007B515F"/>
    <w:rsid w:val="007C21FB"/>
    <w:rsid w:val="007D15EC"/>
    <w:rsid w:val="007E198F"/>
    <w:rsid w:val="007E3E63"/>
    <w:rsid w:val="007F5D6B"/>
    <w:rsid w:val="007F6EF7"/>
    <w:rsid w:val="008220A3"/>
    <w:rsid w:val="008244C0"/>
    <w:rsid w:val="008336E7"/>
    <w:rsid w:val="00836E94"/>
    <w:rsid w:val="00847AA2"/>
    <w:rsid w:val="00847AD3"/>
    <w:rsid w:val="00851CB6"/>
    <w:rsid w:val="00851FE1"/>
    <w:rsid w:val="008624E8"/>
    <w:rsid w:val="008A10A5"/>
    <w:rsid w:val="008A16D8"/>
    <w:rsid w:val="008A172A"/>
    <w:rsid w:val="008A4E2F"/>
    <w:rsid w:val="008B6738"/>
    <w:rsid w:val="008B7AF2"/>
    <w:rsid w:val="008C4231"/>
    <w:rsid w:val="008D49BD"/>
    <w:rsid w:val="008E28DB"/>
    <w:rsid w:val="00905C96"/>
    <w:rsid w:val="009174DA"/>
    <w:rsid w:val="00933061"/>
    <w:rsid w:val="00933087"/>
    <w:rsid w:val="00945B27"/>
    <w:rsid w:val="009540E4"/>
    <w:rsid w:val="00974186"/>
    <w:rsid w:val="00983241"/>
    <w:rsid w:val="009900DE"/>
    <w:rsid w:val="009A41AA"/>
    <w:rsid w:val="009B3707"/>
    <w:rsid w:val="009C2C98"/>
    <w:rsid w:val="009C2D77"/>
    <w:rsid w:val="009C562E"/>
    <w:rsid w:val="009C60EF"/>
    <w:rsid w:val="009D10D1"/>
    <w:rsid w:val="009D7AF2"/>
    <w:rsid w:val="009F37F4"/>
    <w:rsid w:val="009F4DB0"/>
    <w:rsid w:val="00A06971"/>
    <w:rsid w:val="00A231C7"/>
    <w:rsid w:val="00A30052"/>
    <w:rsid w:val="00A34FC4"/>
    <w:rsid w:val="00A445DF"/>
    <w:rsid w:val="00A521C4"/>
    <w:rsid w:val="00A5415F"/>
    <w:rsid w:val="00A60A37"/>
    <w:rsid w:val="00A60FBF"/>
    <w:rsid w:val="00A67305"/>
    <w:rsid w:val="00A726C3"/>
    <w:rsid w:val="00A7412B"/>
    <w:rsid w:val="00A767ED"/>
    <w:rsid w:val="00A775C9"/>
    <w:rsid w:val="00AB1DC2"/>
    <w:rsid w:val="00AC33A6"/>
    <w:rsid w:val="00AD1AFD"/>
    <w:rsid w:val="00AE6CD6"/>
    <w:rsid w:val="00AF5FC8"/>
    <w:rsid w:val="00B022E5"/>
    <w:rsid w:val="00B06EAB"/>
    <w:rsid w:val="00B47F61"/>
    <w:rsid w:val="00B53594"/>
    <w:rsid w:val="00B602CF"/>
    <w:rsid w:val="00B60F58"/>
    <w:rsid w:val="00B70F5B"/>
    <w:rsid w:val="00B753A8"/>
    <w:rsid w:val="00B84862"/>
    <w:rsid w:val="00B903E5"/>
    <w:rsid w:val="00BA743D"/>
    <w:rsid w:val="00BB1111"/>
    <w:rsid w:val="00BB73C0"/>
    <w:rsid w:val="00BE5C43"/>
    <w:rsid w:val="00C3152B"/>
    <w:rsid w:val="00C354D9"/>
    <w:rsid w:val="00C365A8"/>
    <w:rsid w:val="00C458C2"/>
    <w:rsid w:val="00C666AC"/>
    <w:rsid w:val="00C97F7B"/>
    <w:rsid w:val="00CA5624"/>
    <w:rsid w:val="00CC3123"/>
    <w:rsid w:val="00CC37B3"/>
    <w:rsid w:val="00CE20C0"/>
    <w:rsid w:val="00CE21D5"/>
    <w:rsid w:val="00CE45D7"/>
    <w:rsid w:val="00D10EB4"/>
    <w:rsid w:val="00D14EEC"/>
    <w:rsid w:val="00D22282"/>
    <w:rsid w:val="00D60A92"/>
    <w:rsid w:val="00D64FA4"/>
    <w:rsid w:val="00D650E2"/>
    <w:rsid w:val="00D7373E"/>
    <w:rsid w:val="00D85532"/>
    <w:rsid w:val="00D9208E"/>
    <w:rsid w:val="00D95BC6"/>
    <w:rsid w:val="00D966FF"/>
    <w:rsid w:val="00D97B4B"/>
    <w:rsid w:val="00DA3B4D"/>
    <w:rsid w:val="00DA3BD5"/>
    <w:rsid w:val="00DA5C0D"/>
    <w:rsid w:val="00DA5D7A"/>
    <w:rsid w:val="00DB55BA"/>
    <w:rsid w:val="00DD11E2"/>
    <w:rsid w:val="00DE199D"/>
    <w:rsid w:val="00DE1B54"/>
    <w:rsid w:val="00DE27BA"/>
    <w:rsid w:val="00E02AB3"/>
    <w:rsid w:val="00E05EEE"/>
    <w:rsid w:val="00E14AAE"/>
    <w:rsid w:val="00E20351"/>
    <w:rsid w:val="00E2036F"/>
    <w:rsid w:val="00E3207D"/>
    <w:rsid w:val="00E3507E"/>
    <w:rsid w:val="00E40BD7"/>
    <w:rsid w:val="00E7132A"/>
    <w:rsid w:val="00E83E60"/>
    <w:rsid w:val="00E86C78"/>
    <w:rsid w:val="00E948BD"/>
    <w:rsid w:val="00E96045"/>
    <w:rsid w:val="00EC012E"/>
    <w:rsid w:val="00ED5AAF"/>
    <w:rsid w:val="00EE35F8"/>
    <w:rsid w:val="00EF1263"/>
    <w:rsid w:val="00EF7154"/>
    <w:rsid w:val="00F01966"/>
    <w:rsid w:val="00F03257"/>
    <w:rsid w:val="00F20884"/>
    <w:rsid w:val="00F21123"/>
    <w:rsid w:val="00F21419"/>
    <w:rsid w:val="00F21BAD"/>
    <w:rsid w:val="00F23144"/>
    <w:rsid w:val="00F240E9"/>
    <w:rsid w:val="00F31222"/>
    <w:rsid w:val="00F462C7"/>
    <w:rsid w:val="00F56111"/>
    <w:rsid w:val="00F6522C"/>
    <w:rsid w:val="00F92545"/>
    <w:rsid w:val="00F93A56"/>
    <w:rsid w:val="00F9731A"/>
    <w:rsid w:val="00FA792D"/>
    <w:rsid w:val="00FC2D38"/>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2.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4.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4064</Words>
  <Characters>23169</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2026-01-14T07:34:00Z</dcterms:created>
  <dcterms:modified xsi:type="dcterms:W3CDTF">2026-01-14T09:10:00Z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