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24648193" w:rsidR="0073796B" w:rsidRPr="0039662C" w:rsidRDefault="00F03257" w:rsidP="0039662C">
      <w:pPr>
        <w:pStyle w:val="Naslov1"/>
      </w:pPr>
      <w:r>
        <w:t>396</w:t>
      </w:r>
      <w:r w:rsidR="0073796B" w:rsidRPr="0039662C">
        <w:t xml:space="preserve">. </w:t>
      </w:r>
      <w:r>
        <w:t xml:space="preserve">dopisna </w:t>
      </w:r>
      <w:r w:rsidR="0073796B" w:rsidRPr="0039662C">
        <w:t>seja Vlade Republike Slovenije</w:t>
      </w:r>
    </w:p>
    <w:p w14:paraId="27F30B92" w14:textId="02EC0C9F" w:rsidR="0073796B" w:rsidRDefault="0045565C" w:rsidP="008B7AF2">
      <w:pPr>
        <w:pStyle w:val="DatumSZJ"/>
      </w:pPr>
      <w:r>
        <w:t>7</w:t>
      </w:r>
      <w:r w:rsidR="002856E5">
        <w:t>.</w:t>
      </w:r>
      <w:r w:rsidR="008220A3">
        <w:t xml:space="preserve"> </w:t>
      </w:r>
      <w:r w:rsidR="00F03257">
        <w:t>januar</w:t>
      </w:r>
      <w:r w:rsidR="00DA3B4D">
        <w:t xml:space="preserve"> </w:t>
      </w:r>
      <w:r w:rsidR="0073796B" w:rsidRPr="008B7AF2">
        <w:t>202</w:t>
      </w:r>
      <w:r w:rsidR="00F03257">
        <w:t>6</w:t>
      </w:r>
    </w:p>
    <w:p w14:paraId="141B8EEA" w14:textId="162D5D69" w:rsidR="00A767ED" w:rsidRDefault="00A767ED" w:rsidP="00A767ED">
      <w:pPr>
        <w:pStyle w:val="Naslov2"/>
      </w:pPr>
      <w:r>
        <w:t>Vlada podaljšala začasni ukrep v zavodih za prestajanje kazni zapora ter odločila o kadrovskih zadevah</w:t>
      </w:r>
    </w:p>
    <w:p w14:paraId="27DBC3C5" w14:textId="77777777" w:rsidR="00A767ED" w:rsidRDefault="00A767ED" w:rsidP="00A767ED">
      <w:r>
        <w:t>Vlada Republike Slovenije je izdala Odlok o podaljšanju trajanja začasnega ukrepa za premostitev zaostrenih varnostnih razmer zaradi kadrovskih ali prostorskih težav v zavodih za prestajanje kazni zapora.</w:t>
      </w:r>
    </w:p>
    <w:p w14:paraId="34F22686" w14:textId="77777777" w:rsidR="00A767ED" w:rsidRDefault="00A767ED" w:rsidP="00A767ED"/>
    <w:p w14:paraId="48BCAF42" w14:textId="77777777" w:rsidR="00A767ED" w:rsidRDefault="00A767ED" w:rsidP="00A767ED">
      <w:r>
        <w:t>Z odlokom se začasni ukrep opravljanja del in nalog pravosodnega policista s strani delavca uprave, ki je bil v preteklosti zaposlen na delovnem mestu pravosodni policist, podaljša do 12. aprila 2026.</w:t>
      </w:r>
    </w:p>
    <w:p w14:paraId="0FB081A4" w14:textId="099C42E2" w:rsidR="00F03257" w:rsidRDefault="00A767ED" w:rsidP="00A767ED">
      <w:pPr>
        <w:pStyle w:val="Vir"/>
      </w:pPr>
      <w:r>
        <w:t>Vir: Ministrstvo za pravosodje</w:t>
      </w:r>
    </w:p>
    <w:p w14:paraId="025CE6B6" w14:textId="241D8D6C" w:rsidR="00F03257" w:rsidRDefault="00F03257" w:rsidP="00F03257">
      <w:pPr>
        <w:pStyle w:val="Naslov2"/>
      </w:pPr>
      <w:r>
        <w:t>Vlada potrdila program odprave posledic škode po neurjih avgusta lani</w:t>
      </w:r>
    </w:p>
    <w:p w14:paraId="2D680DA2" w14:textId="77777777" w:rsidR="00F03257" w:rsidRDefault="00F03257" w:rsidP="00F03257">
      <w:r>
        <w:t xml:space="preserve">Vlada je potrdila program odprave posledic škode zaradi neurja s poplavami in plazovi, ki je 29. in 30. avgusta 2025 prizadelo predvsem del Primorske in Notranjske ter delno tudi Podravje. Program omogoča postopno in sistematično odpravo posledic neurja ter učinkovito uporabo sredstev državnega proračuna. Hkrati zagotavlja, da lokalne skupnosti in oškodovanci prejmejo potrebno strokovno pomoč in podporo pri obnovi. Ključne vsebine programa so obnova lokalne in druge javne infrastrukture ter izvedba geotehničnih ukrepov, obnova objektov vodne infrastrukture in obnova poškodovanih stanovanjskih objektov. </w:t>
      </w:r>
    </w:p>
    <w:p w14:paraId="60DED448" w14:textId="0BDFD366" w:rsidR="00F03257" w:rsidRDefault="00F03257" w:rsidP="00F03257">
      <w:pPr>
        <w:pStyle w:val="Vir"/>
      </w:pPr>
      <w:r>
        <w:t>Vir: Ministrstvo za naravne vire in prostor</w:t>
      </w:r>
    </w:p>
    <w:p w14:paraId="341A4BC3" w14:textId="53392F08" w:rsidR="00F03257" w:rsidRDefault="00851CB6" w:rsidP="00A767ED">
      <w:pPr>
        <w:pStyle w:val="Naslov2"/>
      </w:pPr>
      <w:r>
        <w:t>S</w:t>
      </w:r>
      <w:r w:rsidR="00F03257">
        <w:t>mernic</w:t>
      </w:r>
      <w:r>
        <w:t>e</w:t>
      </w:r>
      <w:r w:rsidR="00F03257">
        <w:t xml:space="preserve"> za izvajanje ukrepov aktivne politike zaposlovanja za obdobje 2026–2030</w:t>
      </w:r>
    </w:p>
    <w:p w14:paraId="3E9C697D" w14:textId="3A1842B5" w:rsidR="00851CB6" w:rsidRDefault="00851CB6" w:rsidP="00851CB6">
      <w:r>
        <w:t xml:space="preserve">Vlada Republike Slovenije je sprejela </w:t>
      </w:r>
      <w:r w:rsidR="00096432">
        <w:t>s</w:t>
      </w:r>
      <w:r>
        <w:t>mernice za izvajanje ukrepov aktivne politike zaposlovanja za obdobje 2026–2030.</w:t>
      </w:r>
    </w:p>
    <w:p w14:paraId="1187C591" w14:textId="77777777" w:rsidR="00851CB6" w:rsidRDefault="00851CB6" w:rsidP="00851CB6"/>
    <w:p w14:paraId="20B30765" w14:textId="01817542" w:rsidR="00851CB6" w:rsidRDefault="00851CB6" w:rsidP="00851CB6">
      <w:r>
        <w:t xml:space="preserve">Aktivna politika zaposlovanja (APZ) je eden od ukrepov države na trgu dela, ki prispeva k povečevanju zaposlenosti in zmanjševanju brezposelnosti. Smernice za izvajanje ukrepov aktivne politike zaposlovanja za obdobje 2026–2030 so strateški dokument na tem področju in predstavljajo okvir za izvajanje ukrepov APZ v prihodnjem petletnem obdobju. </w:t>
      </w:r>
    </w:p>
    <w:p w14:paraId="2CA999E3" w14:textId="77777777" w:rsidR="00851CB6" w:rsidRDefault="00851CB6" w:rsidP="00851CB6"/>
    <w:p w14:paraId="0F2F7E9E" w14:textId="66783582" w:rsidR="00851CB6" w:rsidRDefault="00851CB6" w:rsidP="00851CB6">
      <w:r>
        <w:t>Prioritete dela predstavljajo odraz rezultatov dosedanjega izvajanja ukrepov APZ in identificiranih »ozkih grl« ter obstoječih slabosti na trgu dela, prepoznanih v okviru strateških nacionalnih dokumentov, kot tudi usmeritev krovnih evropskih dokumentov. Ukrepi APZ bodo tudi v obdobju 2026–2030 usmerjeni zlasti k najbolj ranljivim skupinam na trgu dela, torej tistim, ki potrebujejo pomoč pri vstopu na trg dela. Glavni cilji pri izvajanju APZ v obdobju 2026–2030:</w:t>
      </w:r>
    </w:p>
    <w:p w14:paraId="2C192D78" w14:textId="77777777" w:rsidR="00851CB6" w:rsidRDefault="00851CB6" w:rsidP="00851CB6"/>
    <w:p w14:paraId="5CF225AA" w14:textId="06D39CDD" w:rsidR="00851CB6" w:rsidRDefault="00851CB6" w:rsidP="00851CB6">
      <w:pPr>
        <w:pStyle w:val="Odstavekseznama"/>
        <w:numPr>
          <w:ilvl w:val="0"/>
          <w:numId w:val="15"/>
        </w:numPr>
      </w:pPr>
      <w:r>
        <w:t xml:space="preserve">Zmanjševanje števila dolgotrajno brezposelnih oseb. </w:t>
      </w:r>
    </w:p>
    <w:p w14:paraId="509BD920" w14:textId="6D8BEB74" w:rsidR="00851CB6" w:rsidRDefault="00851CB6" w:rsidP="00851CB6">
      <w:pPr>
        <w:pStyle w:val="Odstavekseznama"/>
        <w:numPr>
          <w:ilvl w:val="0"/>
          <w:numId w:val="15"/>
        </w:numPr>
      </w:pPr>
      <w:r>
        <w:t>Hitrejša aktivacija brezposelnih, predvsem starejših od 50 let, nizko izobraženih in prejemnikov denarne socialne pomoči (DSP).</w:t>
      </w:r>
    </w:p>
    <w:p w14:paraId="05E58FD3" w14:textId="0659467D" w:rsidR="00851CB6" w:rsidRDefault="00851CB6" w:rsidP="00851CB6">
      <w:pPr>
        <w:pStyle w:val="Odstavekseznama"/>
        <w:numPr>
          <w:ilvl w:val="0"/>
          <w:numId w:val="15"/>
        </w:numPr>
      </w:pPr>
      <w:r>
        <w:t xml:space="preserve">Hitrejši prehod brezposelnih, mladih do 29 let na trg dela – jamstvo za mlade. </w:t>
      </w:r>
    </w:p>
    <w:p w14:paraId="52CB340B" w14:textId="58109B95" w:rsidR="00851CB6" w:rsidRDefault="00851CB6" w:rsidP="00851CB6">
      <w:pPr>
        <w:pStyle w:val="Odstavekseznama"/>
        <w:numPr>
          <w:ilvl w:val="0"/>
          <w:numId w:val="15"/>
        </w:numPr>
      </w:pPr>
      <w:r>
        <w:t>Okrepitev znanj in veščin za potrebe trga dela.</w:t>
      </w:r>
    </w:p>
    <w:p w14:paraId="58987225" w14:textId="77777777" w:rsidR="00851CB6" w:rsidRDefault="00851CB6" w:rsidP="00851CB6"/>
    <w:p w14:paraId="6B5FE1B6" w14:textId="77777777" w:rsidR="00851CB6" w:rsidRDefault="00851CB6" w:rsidP="00851CB6">
      <w:r>
        <w:t>V dokumentu je opredeljeno obdobje veljavnosti, namen in cilji izvajanja ukrepov APZ, okvirni obseg in viri sredstev po posameznih ukrepih APZ, kazalniki za spremljanje in vrednotenje učinkovitosti ukrepov APZ in cilji strateških dokumentov Republike Slovenije in Evropske Unije, ki jih je treba doseči z izvajanjem ukrepov APZ, zajetih v smernicah, in njihov prispevek k doseganju teh ciljev.</w:t>
      </w:r>
    </w:p>
    <w:p w14:paraId="5862EF03" w14:textId="77777777" w:rsidR="00851CB6" w:rsidRDefault="00851CB6" w:rsidP="00851CB6">
      <w:r>
        <w:t>Socialni partnerji so na dopisni seji Ekonomsko-socialnega sveta, ki je potekala od 15. do 18. decembra 2025, obravnavali Smernice za izvajanje aktivne politike zaposlovanja za obdobje 2026–2030 in se z njimi seznanili.</w:t>
      </w:r>
    </w:p>
    <w:p w14:paraId="10CB4196" w14:textId="7AA37CCB" w:rsidR="00851CB6" w:rsidRDefault="00851CB6" w:rsidP="00851CB6">
      <w:pPr>
        <w:pStyle w:val="Vir"/>
      </w:pPr>
      <w:r w:rsidRPr="00851CB6">
        <w:t>Vir: Ministrstvo za delo, družino, socialne zadeve in enake možnosti</w:t>
      </w:r>
    </w:p>
    <w:p w14:paraId="5EFFE6C7" w14:textId="32655B0D" w:rsidR="008A10A5" w:rsidRDefault="008A10A5" w:rsidP="008A10A5">
      <w:pPr>
        <w:pStyle w:val="Naslov2"/>
      </w:pPr>
      <w:r>
        <w:t>Vlada potrdila financiranje ravnanja z radioaktivnimi odpadki za leto 2026</w:t>
      </w:r>
    </w:p>
    <w:p w14:paraId="6E4470D1" w14:textId="27A5A338" w:rsidR="008A10A5" w:rsidRDefault="008A10A5" w:rsidP="008A10A5">
      <w:r>
        <w:t>Vlada je sprejela sklep o sklenitvi Aneksa št. 4 k Pogodbi o izvajanju obvezne državne gospodarske javne službe za ravnanje z radioaktivnimi odpadki, s katerim zagotavlja financiranje dejavnosti Agencije za radioaktivne odpadke (ARAO) v letu 2026. Za podpis aneksa je Vlada Republike Slovenije pooblastila ministra za okolje, podnebje in energijo mag. Bojana Kumra.</w:t>
      </w:r>
    </w:p>
    <w:p w14:paraId="52A8E49B" w14:textId="77777777" w:rsidR="008A10A5" w:rsidRDefault="008A10A5" w:rsidP="008A10A5"/>
    <w:p w14:paraId="3456F0B1" w14:textId="664DB446" w:rsidR="008A10A5" w:rsidRDefault="008A10A5" w:rsidP="008A10A5">
      <w:r>
        <w:t xml:space="preserve">Z aneksom se zagotavljajo proračunska sredstva za izvajanje storitev obvezne državne gospodarske javne službe ravnanja z radioaktivnimi odpadki, ki jih bo Agencija za radioaktivne odpadke izvajala v letu 2026 na podlagi dvoletnega Poslovnega načrta za leti 2025 in 2026, h kateremu je Vlada Republike Slovenije podala soglasje z dne 7. januarja 2025. Ker Poslovni načrt Agencije za radioaktivne odpadke za leti 2026 in 2027 zaradi zahtevnega usklajevanja z Dolgoročnim programom dela ARAO za obdobje 2026–2030 ter novim Pravilnikom o notranji organizaciji in sistemizaciji delovnih mest še ni potrjen, se s tem aneksom zagotavlja nemoteno financiranje dejavnosti v letu 2026. </w:t>
      </w:r>
    </w:p>
    <w:p w14:paraId="065C7CBD" w14:textId="77777777" w:rsidR="008A10A5" w:rsidRDefault="008A10A5" w:rsidP="008A10A5"/>
    <w:p w14:paraId="252A083F" w14:textId="77777777" w:rsidR="008A10A5" w:rsidRDefault="008A10A5" w:rsidP="008A10A5">
      <w:r>
        <w:t>Skupna pogodbena vrednost za leto 2026 znaša 48,2 milijona evrov z DDV. Sredstva bodo namenjena predvsem za izgradnjo in obratovanje odlagališča nizko- in srednjeradioaktivnih odpadkov, ravnanje z institucionalnimi radioaktivnimi odpadki, dolgoročni nadzor zaprtih odlagališč ter dolgoročno načrtovanje ravnanja z radioaktivnimi odpadki in izrabljenim gorivom.</w:t>
      </w:r>
    </w:p>
    <w:p w14:paraId="588B2B75" w14:textId="77777777" w:rsidR="008A10A5" w:rsidRDefault="008A10A5" w:rsidP="008A10A5"/>
    <w:p w14:paraId="6E0F07C9" w14:textId="1A075E66" w:rsidR="008A10A5" w:rsidRDefault="008A10A5" w:rsidP="008A10A5">
      <w:r>
        <w:t>Aneks hkrati ureja tudi zagotavljanje sredstev za plačilo nadomestil lokalnim skupnostim zaradi omejene rabe prostora in za načrtovanje intervencijskih ukrepov na območju Centralnega skladišča radioaktivnih odpadkov, skladno z UV8 ter za nakup in vzdrževanje osnovnih sredstev, ki jih ima zavod v brezplačni uporabi.</w:t>
      </w:r>
    </w:p>
    <w:p w14:paraId="7F0E12A8" w14:textId="51AA9385" w:rsidR="00F03257" w:rsidRDefault="008A10A5" w:rsidP="008A10A5">
      <w:pPr>
        <w:pStyle w:val="Vir"/>
      </w:pPr>
      <w:r>
        <w:t>Vir: Ministrstvo za okolje, podnebje in energijo</w:t>
      </w:r>
    </w:p>
    <w:p w14:paraId="555EBECE" w14:textId="159EEAE6" w:rsidR="00390582" w:rsidRDefault="00390582" w:rsidP="00390582">
      <w:pPr>
        <w:pStyle w:val="Naslov2"/>
      </w:pPr>
      <w:r>
        <w:t>Vlada podpira projekte vzpostavitve ali nadgradnje Centrov odličnosti</w:t>
      </w:r>
    </w:p>
    <w:p w14:paraId="3540AAA8" w14:textId="77777777" w:rsidR="00390582" w:rsidRDefault="00390582" w:rsidP="00390582">
      <w:r>
        <w:t>Vlada RS se je seznanila s prizadevanji Ministrstva za visoko šolstvo, znanost in inovacije ter podpira projekte pri kandidaturi na javni razpis HORIZON-WIDERA-2025-ACCESS-01-01-</w:t>
      </w:r>
      <w:proofErr w:type="spellStart"/>
      <w:r>
        <w:t>two</w:t>
      </w:r>
      <w:proofErr w:type="spellEnd"/>
      <w:r>
        <w:t>-</w:t>
      </w:r>
      <w:proofErr w:type="spellStart"/>
      <w:r>
        <w:t>stage</w:t>
      </w:r>
      <w:proofErr w:type="spellEnd"/>
      <w:r>
        <w:t xml:space="preserve">: </w:t>
      </w:r>
      <w:proofErr w:type="spellStart"/>
      <w:r>
        <w:t>Teaming</w:t>
      </w:r>
      <w:proofErr w:type="spellEnd"/>
      <w:r>
        <w:t xml:space="preserve"> for </w:t>
      </w:r>
      <w:proofErr w:type="spellStart"/>
      <w:r>
        <w:t>Excellence</w:t>
      </w:r>
      <w:proofErr w:type="spellEnd"/>
      <w:r>
        <w:t>.</w:t>
      </w:r>
    </w:p>
    <w:p w14:paraId="5B48965E" w14:textId="77777777" w:rsidR="00390582" w:rsidRDefault="00390582" w:rsidP="00390582"/>
    <w:p w14:paraId="0CDFB5D8" w14:textId="24047D53" w:rsidR="00390582" w:rsidRDefault="00390582" w:rsidP="00390582">
      <w:r>
        <w:t xml:space="preserve">Evropska komisija je v okviru programa Obzorje Evropa objavila javni razpis HORIZON-WIDERA za sofinanciranje Centrov odličnosti, ki imajo ob sodelovanju institucije iz druge države potencial za izboljšanje raziskovalne odličnosti. Gre za komplementarni javni razpis, ki zahteva obvezno komplementarno financiranje iz nacionalnih sredstev, sredstev Evropskih strukturnih in investicijskih skladov ali zasebnih virov najmanj v višini zaprošenih sredstev prijaviteljev v okviru javnega razpisa, ki se financira iz programa Obzorja Evropa. </w:t>
      </w:r>
    </w:p>
    <w:p w14:paraId="227E9A13" w14:textId="77777777" w:rsidR="00390582" w:rsidRDefault="00390582" w:rsidP="00390582"/>
    <w:p w14:paraId="7D4FC587" w14:textId="0ABD7D5A" w:rsidR="00390582" w:rsidRDefault="00390582" w:rsidP="00390582">
      <w:r>
        <w:lastRenderedPageBreak/>
        <w:t xml:space="preserve">V okviru Resolucije o Znanstvenoraziskovalni in inovacijski strategiji Slovenije 2030 je med pomembnejšimi ukrepi za krepitev odprtosti in mednarodne konkurenčnosti tudi povečanje podpore pridobivanju projektov okvirnega programa EU za raziskave in inovacije, med katere spada tudi inštrument TEAMING. Če bo v okviru druge faze izbranih več projektov in sredstva iz naslova Evropskega sklada za regionalni razvoj ne bodo zadoščala, se bo sofinanciranje komplementarnega dela zagotovilo iz sredstev integralnega proračuna. </w:t>
      </w:r>
    </w:p>
    <w:p w14:paraId="6FAD338A" w14:textId="7859D6BB" w:rsidR="00F03257" w:rsidRDefault="00390582" w:rsidP="00390582">
      <w:pPr>
        <w:pStyle w:val="Vir"/>
      </w:pPr>
      <w:r>
        <w:t>Vir: Ministrstvo za visoko šolstvo, znanost in inovacije</w:t>
      </w:r>
    </w:p>
    <w:p w14:paraId="74C619DD" w14:textId="718B5CF3" w:rsidR="00390582" w:rsidRDefault="00390582" w:rsidP="00390582">
      <w:pPr>
        <w:pStyle w:val="Naslov2"/>
      </w:pPr>
      <w:r>
        <w:t>Odprtje proračunske postavke pri Državni volilni komisiji</w:t>
      </w:r>
    </w:p>
    <w:p w14:paraId="672B5892" w14:textId="77777777" w:rsidR="00390582" w:rsidRDefault="00390582" w:rsidP="00390582">
      <w:r>
        <w:t>Vlada je danes sklenila, da pri Državni volilni komisiji odpre proračunsko postavko za izvedbo referendumov.</w:t>
      </w:r>
    </w:p>
    <w:p w14:paraId="04F1C790" w14:textId="77777777" w:rsidR="00390582" w:rsidRDefault="00390582" w:rsidP="00390582"/>
    <w:p w14:paraId="4A818FB7" w14:textId="77777777" w:rsidR="00390582" w:rsidRDefault="00390582" w:rsidP="00390582">
      <w:r>
        <w:t>Sredstva za pokrivanje obveznosti na tej postavki v višini približno dveh milijonov evrov bomo letos zagotovili s prerazporeditvijo pravic porabe z Ministrstva za finance.</w:t>
      </w:r>
    </w:p>
    <w:p w14:paraId="6773465B" w14:textId="77777777" w:rsidR="00390582" w:rsidRDefault="00390582" w:rsidP="00390582"/>
    <w:p w14:paraId="4C5EF9F5" w14:textId="77777777" w:rsidR="00390582" w:rsidRDefault="00390582" w:rsidP="00390582">
      <w:r>
        <w:t>Z navedenimi sredstvi bo Državna volilna komisija dokončno poplačala obveznosti glede izvedenega referenduma o Zakonu o pomoči pri prostovoljnem končanju življenja.</w:t>
      </w:r>
    </w:p>
    <w:p w14:paraId="103B5C83" w14:textId="72A8113B" w:rsidR="00F03257" w:rsidRDefault="00390582" w:rsidP="00390582">
      <w:pPr>
        <w:pStyle w:val="Vir"/>
      </w:pPr>
      <w:r>
        <w:t>Vir: Ministrstvo za finance</w:t>
      </w:r>
    </w:p>
    <w:p w14:paraId="7B456AA8" w14:textId="5C1D4540" w:rsidR="00E40BD7" w:rsidRDefault="00E40BD7" w:rsidP="00E40BD7">
      <w:pPr>
        <w:pStyle w:val="Naslov2"/>
      </w:pPr>
      <w:r>
        <w:t>Vlada sprejela odgovor Evropski komisiji glede prenosa direktive o odpadni električni in elektronski opremi</w:t>
      </w:r>
    </w:p>
    <w:p w14:paraId="3F537A57" w14:textId="77777777" w:rsidR="00E40BD7" w:rsidRDefault="00E40BD7" w:rsidP="00E40BD7">
      <w:r>
        <w:t xml:space="preserve">Vlada je sprejela odgovor na uradni opomin Evropske komisije zaradi </w:t>
      </w:r>
      <w:proofErr w:type="spellStart"/>
      <w:r>
        <w:t>nenotifikacije</w:t>
      </w:r>
      <w:proofErr w:type="spellEnd"/>
      <w:r>
        <w:t xml:space="preserve"> predpisov za prenos spremenjene Direktive (EU) 2024/884 o odpadni električni in elektronski opremi v slovenski pravni red.</w:t>
      </w:r>
    </w:p>
    <w:p w14:paraId="3EC2CA8B" w14:textId="77777777" w:rsidR="00E40BD7" w:rsidRDefault="00E40BD7" w:rsidP="00E40BD7"/>
    <w:p w14:paraId="008932FA" w14:textId="064FCEF2" w:rsidR="00E40BD7" w:rsidRDefault="00E40BD7" w:rsidP="00E40BD7">
      <w:r>
        <w:t>V odgovoru je pojasnila, da je zamik pri prenosu direktive povezan z odprto ustavno presojo ureditve proizvajalčeve razširjene odgovornosti, ki trenutno vpliva tudi na področje ravnanja z odpadno električno in elektronsko opremo. Do končne odločitve Ustavnega sodišča se uporablja začasna ureditev.</w:t>
      </w:r>
    </w:p>
    <w:p w14:paraId="4192EC8B" w14:textId="77777777" w:rsidR="00E40BD7" w:rsidRDefault="00E40BD7" w:rsidP="00E40BD7"/>
    <w:p w14:paraId="2A754C5B" w14:textId="51E10BEA" w:rsidR="00E40BD7" w:rsidRDefault="00E40BD7" w:rsidP="00E40BD7">
      <w:r>
        <w:t>Ministrstvo za okolje, podnebje in energijo je kljub temu nemudoma pristopilo k ciljni prenovitvi uredbe o odpadni električni in elektronski opremi v delu, ki se nanaša na prenos določb direktive. Predlog novele uredbe je bil decembra 2025 poslan v javno obravnavo in medresorsko usklajevanje.</w:t>
      </w:r>
    </w:p>
    <w:p w14:paraId="70FF06FD" w14:textId="77777777" w:rsidR="00E40BD7" w:rsidRDefault="00E40BD7" w:rsidP="00E40BD7">
      <w:r>
        <w:t>Sprejem novele uredbe je predviden februarja 2026, takoj po objavi v Uradnem listu pa bo predpis notificiran Evropski komisiji. S tem bo Republika Slovenija v celoti prenesla določbe direktive v svoj pravni red in odpravila očitke iz uradnega opomina.</w:t>
      </w:r>
    </w:p>
    <w:p w14:paraId="7AA27BEF" w14:textId="02BC0BA4" w:rsidR="00F03257" w:rsidRDefault="00E40BD7" w:rsidP="00E40BD7">
      <w:pPr>
        <w:pStyle w:val="Vir"/>
      </w:pPr>
      <w:r>
        <w:t>Vir: Ministrstvo za okolje, podnebje in energijo</w:t>
      </w:r>
    </w:p>
    <w:p w14:paraId="2D099FE9" w14:textId="5CC7BE1F" w:rsidR="001357B6" w:rsidRDefault="001357B6" w:rsidP="001357B6">
      <w:pPr>
        <w:pStyle w:val="Naslov2"/>
      </w:pPr>
      <w:r>
        <w:t xml:space="preserve">Republika Slovenija podpira novelo uredbe o skupni ureditvi trgov </w:t>
      </w:r>
    </w:p>
    <w:p w14:paraId="5F71AD97" w14:textId="4342BB34" w:rsidR="001357B6" w:rsidRDefault="001357B6" w:rsidP="001357B6">
      <w:r>
        <w:t>Vlada je sprejela stališče, da Republika Slovenija pozdravlja namen in cilje predloga novele  uredbe o skupni ureditvi trgov (SUT), zlasti v luči prizadevanj za krepitev konkurenčnosti evropskega kmetijstva. Novela uredbe po oceni Slovenije prispeva h krepitvi strateškega pomena kmetijstva in prehrane za varnost, konkurenčnost in trajnost Unije ter posledično k izboljšanju položaja kmetov, zmanjšanju odvisnosti od uvoza in povečanju lokalne samooskrbe.</w:t>
      </w:r>
    </w:p>
    <w:p w14:paraId="271D7411" w14:textId="77777777" w:rsidR="001357B6" w:rsidRDefault="001357B6" w:rsidP="001357B6"/>
    <w:p w14:paraId="2FFA6D78" w14:textId="77777777" w:rsidR="001357B6" w:rsidRDefault="001357B6" w:rsidP="001357B6">
      <w:r>
        <w:t xml:space="preserve">Republika Slovenija podpira širitev obsega kmetijskih proizvodov pod tržnimi standardi ter vključitev sektorskih intervencij v uredbo, pri čemer opozarja na nekatera tehnična vprašanja glede obveznega </w:t>
      </w:r>
      <w:r>
        <w:lastRenderedPageBreak/>
        <w:t xml:space="preserve">izvajanja intervencij v določenih sektorjih in izvajanja v državah z nizko stopnjo samoorganiziranja proizvajalcev. </w:t>
      </w:r>
    </w:p>
    <w:p w14:paraId="35465E66" w14:textId="77777777" w:rsidR="001357B6" w:rsidRDefault="001357B6" w:rsidP="001357B6"/>
    <w:p w14:paraId="67A045AB" w14:textId="77777777" w:rsidR="001357B6" w:rsidRDefault="001357B6" w:rsidP="001357B6">
      <w:r>
        <w:t>Republika Slovenija se strinja s prenovljenimi pravili šolske sheme, ki dajejo večji poudarek trajnostnemu prehranjevanju, ter podpira uvedbo zaščite izrazov, povezanih z mesom. Podpira tudi vključitev novega sektorja za beljakovinske rastline in pozitivno ocenjuje novosti glede konoplje, pri čemer podpira uvedbo vseh pogojev za boljšo zaščito javnega zdravja. Prav tako pozdravlja prizadevanja in cilje predloga, usmerjene v zmanjševanje administrativnih bremen za kmete, gospodarstvo in javno upravo.</w:t>
      </w:r>
    </w:p>
    <w:p w14:paraId="0A9DB06E" w14:textId="77777777" w:rsidR="001357B6" w:rsidRDefault="001357B6" w:rsidP="001357B6"/>
    <w:p w14:paraId="5E861060" w14:textId="77777777" w:rsidR="001357B6" w:rsidRDefault="001357B6" w:rsidP="001357B6">
      <w:r>
        <w:t xml:space="preserve">Republika Slovenija meni, da so z uredbo predlagani ukrepi za oskrbo v krizah dobrodošli, pri čemer je pomembno, da se ohrani subsidiarnost in zagotovi povezava z obstoječimi nacionalnimi sistemi, da se prepreči podvajanje administrativnih postopkov in prekomerno finančno breme za države članice ter zagotovi poenostavitev postopkov. Ključna je tudi zaščita občutljivih podatkov o blagovnih rezervah držav članic. Slovenija podpira prostovoljnost ukrepov, izraža pa potrebo po jasnejših smernicah, jasno opredelitev financiranja ukrepov in čezmejnega sodelovanja med državami članicami. </w:t>
      </w:r>
    </w:p>
    <w:p w14:paraId="40002965" w14:textId="582F175A" w:rsidR="00F03257" w:rsidRDefault="001357B6" w:rsidP="001357B6">
      <w:pPr>
        <w:pStyle w:val="Vir"/>
      </w:pPr>
      <w:r>
        <w:t>Vir: Ministrstvo za kmetijstvo, gozdarstvo in prehrano</w:t>
      </w:r>
    </w:p>
    <w:p w14:paraId="57D65CDE" w14:textId="7F2D25BB" w:rsidR="00F56111" w:rsidRDefault="00F56111" w:rsidP="00F56111">
      <w:pPr>
        <w:pStyle w:val="Naslov2"/>
      </w:pPr>
      <w:r>
        <w:t>Republika Slovenija pozdravlja namen in cilje predloga uredbe o vzpostavitvi pogojev za izvajanje podpore Unije skupni kmetijski politiki 2028–2034</w:t>
      </w:r>
    </w:p>
    <w:p w14:paraId="4B342CC2" w14:textId="77777777" w:rsidR="00F56111" w:rsidRDefault="00F56111" w:rsidP="00F56111">
      <w:r>
        <w:t>Vlada je sprejela stališče, da Republika Slovenija pozdravlja namen in cilje Predloga uredbe Evropskega parlamenta in Sveta o vzpostavitvi pogojev za izvajanje podpore Unije skupni kmetijski politiki za obdobje 2028–2034, zlasti v luči prizadevanj za krepitev konkurenčnosti in zagotavljanja enotnih pogojev poslovanja evropskega kmetijstva.</w:t>
      </w:r>
    </w:p>
    <w:p w14:paraId="2BA5DCEE" w14:textId="77777777" w:rsidR="00F56111" w:rsidRDefault="00F56111" w:rsidP="00F56111"/>
    <w:p w14:paraId="151950C2" w14:textId="77777777" w:rsidR="00F56111" w:rsidRDefault="00F56111" w:rsidP="00F56111">
      <w:r>
        <w:t>Za Republiko Slovenijo je ključnega pomena oblikovanje pravične, trajnostne in konkurenčne skupne kmetijske politike (SKP), zasnovane na skupnih pravilih pri ključnih elementih, da se zagotovi poštene konkurenčne pogoje notranjega trga, ki bo državam članicam v okviru enotne SKP zagotavljala ustrezno prožnost za prilagajanje nacionalnim posebnostim ter ustrezno naslavljala potrebe slovenskega kmetijstva, razvoja podeželja in območij z naravnimi omejitvami, hkrati pa podpirala prizadevanja za prehod na trajnostne kmetijsko-prehranske sisteme.</w:t>
      </w:r>
    </w:p>
    <w:p w14:paraId="073BE218" w14:textId="77777777" w:rsidR="00F56111" w:rsidRDefault="00F56111" w:rsidP="00F56111"/>
    <w:p w14:paraId="1F5D6E5D" w14:textId="77777777" w:rsidR="00F56111" w:rsidRDefault="00F56111" w:rsidP="00F56111">
      <w:r>
        <w:t xml:space="preserve">Za Republiko Slovenijo je pomembno, da se v novem predlogu ohranja obstoječi izvedbeni model dosedanje SKP, ki državam članicam omogoča potrebno prožnost za naslavljanje posebnosti nacionalnih kmetijsko-prehranskih sistemov. Republika Slovenija pozdravlja ohranitev nabora ključnih ukrepov SKP iz sedanjega programskega obdobja ter njihovo obravnavo kot dohodkovnih ukrepov SKP. Zlasti pomembno je, da so vključena plačila na površino, kot je degresivna dohodkovna podpora in vezane podpore, za katere je tudi v prihodnjem programskem obdobju predlagano financiranje izključno z EU sredstvi, in plačilo za območja z naravnimi in drugimi omejitvami (OMD plačilo), kmetijsko-okoljsko-podnebna plačila, naložbene podpore za kmete in lastnike gozdov ter podpore za mlade kmete. Republika Slovenija pozdravlja tudi dodajanje nekaterih novih ukrepov, zlasti storitev nadomeščanja na kmetijskih gospodarstvih. </w:t>
      </w:r>
    </w:p>
    <w:p w14:paraId="5E5FAFBD" w14:textId="77777777" w:rsidR="00F56111" w:rsidRDefault="00F56111" w:rsidP="00F56111"/>
    <w:p w14:paraId="17E5CA37" w14:textId="77777777" w:rsidR="00F56111" w:rsidRDefault="00F56111" w:rsidP="00F56111">
      <w:r>
        <w:t xml:space="preserve">Ob hkratni potrebi po zadostni prožnosti in upoštevanju posebnosti držav članic Republika Slovenija opozarja, da bo treba med obravnavo nasloviti nekatera odprta vprašanja, ki se nanašajo na obvezne elemente ciljno usmerjene degresivne dohodkovne podpore na površino, zlasti način diferenciacije tega plačila in neupravičenost kmetov, ki so upokojeni, ter na obvezno uvedbo plačila za majhne kmetije. </w:t>
      </w:r>
    </w:p>
    <w:p w14:paraId="658B70AD" w14:textId="77777777" w:rsidR="00F56111" w:rsidRDefault="00F56111" w:rsidP="00F56111"/>
    <w:p w14:paraId="316E8EBD" w14:textId="77777777" w:rsidR="00F56111" w:rsidRDefault="00F56111" w:rsidP="00F56111">
      <w:r>
        <w:t xml:space="preserve">Za Republiko Slovenijo je pomembno, da se nadaljuje zastavljena pot zelenega prehoda in da se v ta proces vključuje celoten kmetijsko-prehranski sektor, pri tem pa je treba nasloviti vprašanje števila in </w:t>
      </w:r>
      <w:r>
        <w:lastRenderedPageBreak/>
        <w:t xml:space="preserve">namena obveznih ukrepov, zlasti s področja kmetijsko-okoljsko-podnebnih spodbud, saj države članice pri izboru ukrepov potrebujemo večjo prožnost, da bi lahko upoštevale in ustrezno naslovile posebnosti in potrebe v Sloveniji. Kar zadeva socialno pogojenost v okviru sistema odgovornega upravljanja s kmetijo, se Republika zavzema za dodatne poenostavitve. </w:t>
      </w:r>
    </w:p>
    <w:p w14:paraId="7966C618" w14:textId="77777777" w:rsidR="00F56111" w:rsidRDefault="00F56111" w:rsidP="00F56111"/>
    <w:p w14:paraId="76CA73F6" w14:textId="77777777" w:rsidR="00F56111" w:rsidRDefault="00F56111" w:rsidP="00F56111">
      <w:r>
        <w:t>Za Republiko Slovenijo je spodbujanje generacijske prenove pomembna prioriteta, zato pozdravljamo predlagane nove pristope, ki predstavljajo bolj celovito reševanje generacijske prenove.</w:t>
      </w:r>
    </w:p>
    <w:p w14:paraId="4FCF9E46" w14:textId="77777777" w:rsidR="00F56111" w:rsidRDefault="00F56111" w:rsidP="00F56111"/>
    <w:p w14:paraId="6AF7D1A6" w14:textId="77777777" w:rsidR="00F56111" w:rsidRDefault="00F56111" w:rsidP="00F56111">
      <w:r>
        <w:t>Republika Slovenija kot pozitivne ocenjuje tudi predlagane izboljšave upravljanja s tveganji, uvedbo novih plačil za krizne razmere in večjo prožnost nacionalnih načrtov pri odzivanju na nepredvidene dogodke.</w:t>
      </w:r>
    </w:p>
    <w:p w14:paraId="4032AE90" w14:textId="77777777" w:rsidR="00F56111" w:rsidRDefault="00F56111" w:rsidP="00F56111"/>
    <w:p w14:paraId="735F9B75" w14:textId="77777777" w:rsidR="00F56111" w:rsidRDefault="00F56111" w:rsidP="00F56111">
      <w:r>
        <w:t>Republika Slovenija pozdravlja, da naložbe ostajajo ključno orodje za krepitev konkurenčnosti, odpornosti in trajnosti kmetijske pridelave in predelave. Republika Slovenija bo v pogajanjih tudi izpostavila pomen vlaganj v infrastrukturo, npr. namakalne sisteme in živilsko-predelovalno dejavnost. Republika Slovenija pozdravlja prizadevanja in cilje predloga, usmerjene v zmanjševanje administrativnih bremen.</w:t>
      </w:r>
    </w:p>
    <w:p w14:paraId="639017D2" w14:textId="35DBCCD8" w:rsidR="00F03257" w:rsidRDefault="00F56111" w:rsidP="00F56111">
      <w:pPr>
        <w:pStyle w:val="Vir"/>
      </w:pPr>
      <w:r>
        <w:t>Vir: Ministrstvo za kmetijstvo, gozdarstvo in prehrano</w:t>
      </w:r>
    </w:p>
    <w:p w14:paraId="7EA349FB" w14:textId="72324CA3" w:rsidR="007D15EC" w:rsidRDefault="007D15EC" w:rsidP="007D15EC">
      <w:pPr>
        <w:pStyle w:val="Naslov2"/>
      </w:pPr>
      <w:r>
        <w:t>Vlada o stališču Slovenije glede predloga o lastnih virih Evropske unije</w:t>
      </w:r>
    </w:p>
    <w:p w14:paraId="7136A9AC" w14:textId="77777777" w:rsidR="007D15EC" w:rsidRDefault="007D15EC" w:rsidP="007D15EC">
      <w:r>
        <w:t xml:space="preserve">Vlada je danes sprejela predlog stališča Slovenije glede predloga sklepa Sveta Evropske unije o sistemu virov lastnih sredstev Evropske unije (EU). </w:t>
      </w:r>
    </w:p>
    <w:p w14:paraId="59182804" w14:textId="77777777" w:rsidR="007D15EC" w:rsidRDefault="007D15EC" w:rsidP="007D15EC"/>
    <w:p w14:paraId="0EC3F719" w14:textId="77777777" w:rsidR="007D15EC" w:rsidRDefault="007D15EC" w:rsidP="007D15EC">
      <w:r>
        <w:t xml:space="preserve">Slovenija podpira razpravo o predlogu Evropske komisije za nove lastne vire proračuna EU, zlasti z vidika odplačevanja dolga iz načrta za oživitev gospodarstva EU (angleško </w:t>
      </w:r>
      <w:proofErr w:type="spellStart"/>
      <w:r>
        <w:t>NextGenerationEU</w:t>
      </w:r>
      <w:proofErr w:type="spellEnd"/>
      <w:r>
        <w:t xml:space="preserve">). Predloge za nove lastne vire sredstev EU ocenjujemo predvsem z vidika preglednosti, pravičnosti in upravnega bremena. </w:t>
      </w:r>
    </w:p>
    <w:p w14:paraId="0EEB452A" w14:textId="77777777" w:rsidR="007D15EC" w:rsidRDefault="007D15EC" w:rsidP="007D15EC"/>
    <w:p w14:paraId="72C90FE1" w14:textId="77777777" w:rsidR="007D15EC" w:rsidRDefault="007D15EC" w:rsidP="007D15EC">
      <w:r>
        <w:t xml:space="preserve">Slovenija nasprotuje predlogu Komisije, da se delež carinskih dajatev, ki jih obdržijo države članice, zniža na 10 odstotkov. Nasprotuje tudi predlogu vira iz naslova trošarin na tobak, saj te predstavljajo visok in stabilen prihodek nacionalnega proračuna, katerega zmanjšanje bi bilo težko nadomestiti. </w:t>
      </w:r>
    </w:p>
    <w:p w14:paraId="267330B6" w14:textId="77777777" w:rsidR="007D15EC" w:rsidRDefault="007D15EC" w:rsidP="007D15EC"/>
    <w:p w14:paraId="2C208744" w14:textId="77777777" w:rsidR="007D15EC" w:rsidRDefault="007D15EC" w:rsidP="007D15EC">
      <w:r>
        <w:t xml:space="preserve">V zvezi s prihodki sheme za trgovanje z emisijami (shema ETS) Slovenija poudarja, da so ti prihodki ključni za podnebno ukrepanje. Meni, da je smiselno preučiti zgolj </w:t>
      </w:r>
      <w:proofErr w:type="spellStart"/>
      <w:r>
        <w:t>proračunizacijo</w:t>
      </w:r>
      <w:proofErr w:type="spellEnd"/>
      <w:r>
        <w:t xml:space="preserve"> prihodkov sheme ETS iz naslova letalstva in pomorstva, saj v teh primerih ne gre za stacionarne vire emisij, ki jih je zato težje smiselno enoznačno pripisati posamezni državi članici. </w:t>
      </w:r>
    </w:p>
    <w:p w14:paraId="76F20AAD" w14:textId="77777777" w:rsidR="007D15EC" w:rsidRDefault="007D15EC" w:rsidP="007D15EC"/>
    <w:p w14:paraId="3E9079EC" w14:textId="77777777" w:rsidR="007D15EC" w:rsidRDefault="007D15EC" w:rsidP="007D15EC">
      <w:r>
        <w:t xml:space="preserve">Slovenija je preučila tudi predlagani mehanizem EU za ogljično prilagoditev na mejah ter dva nova predloga vira proračuna EU; prvi temelji na količini nezbrane odpadne električne in elektronske opreme, drugi pa na pavšalnem prispevku velikih podjetij, ki se zdijo primernejši za nadaljnjo obravnavo. </w:t>
      </w:r>
    </w:p>
    <w:p w14:paraId="47A21BF0" w14:textId="77777777" w:rsidR="007D15EC" w:rsidRDefault="007D15EC" w:rsidP="007D15EC"/>
    <w:p w14:paraId="3116B1C9" w14:textId="77777777" w:rsidR="007D15EC" w:rsidRDefault="007D15EC" w:rsidP="007D15EC">
      <w:r>
        <w:t xml:space="preserve">Z namenom zagotavljanja preglednega sistema virov lastnih sredstev, brez dodatnih prilagoditev, Slovenija podpira takšen sistem, ki vključuje ukinitev omejevanja osnove za DDV vir in ukinitev pavšalnega znižanja za lastne vire iz naslova </w:t>
      </w:r>
      <w:proofErr w:type="spellStart"/>
      <w:r>
        <w:t>nereciklirane</w:t>
      </w:r>
      <w:proofErr w:type="spellEnd"/>
      <w:r>
        <w:t xml:space="preserve"> plastike ter vira na osnovi bruto nacionalnega dohodka.</w:t>
      </w:r>
    </w:p>
    <w:p w14:paraId="29EEB36C" w14:textId="4EAF3F90" w:rsidR="00F03257" w:rsidRDefault="007D15EC" w:rsidP="007D15EC">
      <w:pPr>
        <w:pStyle w:val="Vir"/>
      </w:pPr>
      <w:r>
        <w:t>Vir: Ministrstvo za finance</w:t>
      </w:r>
    </w:p>
    <w:p w14:paraId="50554E58" w14:textId="2F7DAD52" w:rsidR="00A775C9" w:rsidRDefault="00A775C9" w:rsidP="00A775C9">
      <w:pPr>
        <w:pStyle w:val="Naslov2"/>
      </w:pPr>
      <w:r>
        <w:t>Vlada dala soglasje k imenovanju direktorja javnega zavoda Študijski center za narodno spravo</w:t>
      </w:r>
    </w:p>
    <w:p w14:paraId="11B52C4C" w14:textId="77777777" w:rsidR="00A775C9" w:rsidRDefault="00A775C9" w:rsidP="00A775C9">
      <w:r>
        <w:lastRenderedPageBreak/>
        <w:t>Vlada Republike Slovenije je dala soglasje k imenovanju dr. Tomaža Ivešića za direktorja javnega zavoda Študijski center za narodno spravo, ki ga je svet zavoda imenoval za mandatno obdobje petih let.</w:t>
      </w:r>
    </w:p>
    <w:p w14:paraId="77C59799" w14:textId="6E7107FE" w:rsidR="00F03257" w:rsidRDefault="00A775C9" w:rsidP="00A775C9">
      <w:pPr>
        <w:pStyle w:val="Vir"/>
      </w:pPr>
      <w:r>
        <w:t>Vir: Ministrstvo za pravosodje</w:t>
      </w:r>
    </w:p>
    <w:p w14:paraId="58D8273E" w14:textId="0482DB01" w:rsidR="006D36E2" w:rsidRDefault="006D36E2" w:rsidP="006D36E2">
      <w:pPr>
        <w:pStyle w:val="Naslov2"/>
      </w:pPr>
      <w:r>
        <w:t xml:space="preserve">Vlada sprejela amandmaje k predlogu Zakona o kazenski obravnavi mladoletnikov </w:t>
      </w:r>
    </w:p>
    <w:p w14:paraId="77666D7B" w14:textId="77777777" w:rsidR="006D36E2" w:rsidRDefault="006D36E2" w:rsidP="006D36E2"/>
    <w:p w14:paraId="2F830078" w14:textId="02AC2E14" w:rsidR="006D36E2" w:rsidRDefault="006D36E2" w:rsidP="006D36E2">
      <w:r>
        <w:t>Vlada Republike Slovenije soglaša s predlogi amandmajev k predlogu Zakona o kazenski obravnavi mladoletnikov (ZOKOM).</w:t>
      </w:r>
    </w:p>
    <w:p w14:paraId="4AE56FED" w14:textId="77777777" w:rsidR="006D36E2" w:rsidRDefault="006D36E2" w:rsidP="006D36E2"/>
    <w:p w14:paraId="4FB5CDF0" w14:textId="23711EDC" w:rsidR="006D36E2" w:rsidRDefault="006D36E2" w:rsidP="006D36E2">
      <w:r>
        <w:t>Pripravljeni amandmaji ustrezno naslavljajo pripombe in predloge Zakonodajno-pravne službe Državnega zbora RS, Ministrstva za finance in Ministrstva za zdravje.</w:t>
      </w:r>
    </w:p>
    <w:p w14:paraId="7E22A32E" w14:textId="0CAA61EF" w:rsidR="006D36E2" w:rsidRDefault="006D36E2" w:rsidP="006D36E2">
      <w:pPr>
        <w:pStyle w:val="Vir"/>
      </w:pPr>
      <w:r>
        <w:t>Vir: Ministrstvo za pravosodje</w:t>
      </w:r>
    </w:p>
    <w:p w14:paraId="6B276290" w14:textId="06765AC5" w:rsidR="006D36E2" w:rsidRDefault="006D36E2" w:rsidP="006D36E2">
      <w:pPr>
        <w:pStyle w:val="Naslov2"/>
      </w:pPr>
      <w:r>
        <w:t xml:space="preserve">Ponovno imenovanje mag. Mirana Miheliča za generalnega direktorja Agencije RS za kmetijske trge in razvoj podeželja </w:t>
      </w:r>
    </w:p>
    <w:p w14:paraId="18CAC9BE" w14:textId="4D01602F" w:rsidR="006D36E2" w:rsidRDefault="006D36E2" w:rsidP="006D36E2">
      <w:r>
        <w:t>Vlada je izdala odločbo o imenovanju mag. Mirana Miheliča za generalnega direktorja Agencije Republike Slovenije za kmetijske trge in razvoj podeželja v Ministrstvu za kmetijstvo, gozdarstvo in prehrano, za mandatno dobo pet let, in sicer</w:t>
      </w:r>
      <w:r w:rsidR="00057D37">
        <w:t xml:space="preserve"> </w:t>
      </w:r>
      <w:r>
        <w:t>od 15. aprila 2026 do najdlje 14. aprila 2031, z možnostjo ponovnega imenovanja.</w:t>
      </w:r>
    </w:p>
    <w:p w14:paraId="36AA4CC6" w14:textId="77777777" w:rsidR="006D36E2" w:rsidRDefault="006D36E2" w:rsidP="006D36E2"/>
    <w:p w14:paraId="3E501E19" w14:textId="77777777" w:rsidR="006D36E2" w:rsidRDefault="006D36E2" w:rsidP="006D36E2">
      <w:r>
        <w:t>Mag. Miran Mihelič, je bil 15. aprila 2021 imenovan na položaj generalnega direktorja Agencije Republike Slovenije za kmetijske trge in razvoj podeželja za mandatno dobo pet let, do najdlje 14. aprila 2026, z možnostjo ponovnega imenovanja.</w:t>
      </w:r>
    </w:p>
    <w:p w14:paraId="366B9B1A" w14:textId="229F7A94" w:rsidR="006D36E2" w:rsidRDefault="006D36E2" w:rsidP="006D36E2">
      <w:pPr>
        <w:pStyle w:val="Vir"/>
      </w:pPr>
      <w:r>
        <w:t>Vir: Ministrstvo za kmetijstvo, gozdarstvo in prehrano</w:t>
      </w:r>
    </w:p>
    <w:p w14:paraId="14FFCFCF" w14:textId="0B8F2B98" w:rsidR="001B48E4" w:rsidRDefault="001B48E4" w:rsidP="001B48E4">
      <w:pPr>
        <w:pStyle w:val="Naslov2"/>
      </w:pPr>
      <w:r>
        <w:t>Vlada imenovala člane Sveta Republike Slovenije za upravljanje varnosti v civilnem letalstvu</w:t>
      </w:r>
    </w:p>
    <w:p w14:paraId="4488D50A" w14:textId="77777777" w:rsidR="001B48E4" w:rsidRDefault="001B48E4" w:rsidP="001B48E4">
      <w:r>
        <w:t>Vlada Republike Slovenije je imenovala predsednika in člane Sveta Republike Slovenije za upravljanje varnosti v civilnem letalstvu:</w:t>
      </w:r>
    </w:p>
    <w:p w14:paraId="5061C87C" w14:textId="5F2B1353" w:rsidR="001B48E4" w:rsidRDefault="001B48E4" w:rsidP="001B48E4">
      <w:r>
        <w:t>dva predstavnika ministrstva, pristojnega za promet:</w:t>
      </w:r>
    </w:p>
    <w:p w14:paraId="52550D72" w14:textId="4A5985AE" w:rsidR="001B48E4" w:rsidRDefault="001B48E4" w:rsidP="001B48E4">
      <w:pPr>
        <w:pStyle w:val="Odstavekseznama"/>
        <w:numPr>
          <w:ilvl w:val="0"/>
          <w:numId w:val="12"/>
        </w:numPr>
      </w:pPr>
      <w:r>
        <w:t>Tomaž Pečnik, generalni direktor Direktorata za letalski in pomorski promet, predsednik;</w:t>
      </w:r>
    </w:p>
    <w:p w14:paraId="23F1A46F" w14:textId="0871F6D8" w:rsidR="001B48E4" w:rsidRDefault="001B48E4" w:rsidP="001B48E4">
      <w:pPr>
        <w:pStyle w:val="Odstavekseznama"/>
        <w:numPr>
          <w:ilvl w:val="0"/>
          <w:numId w:val="12"/>
        </w:numPr>
      </w:pPr>
      <w:r>
        <w:t>Sabina Dolinšek Popadić, vodja Sektorja za letalstvo, Direktorat za letalski in pomorski promet, članica in namestnica predsednika;</w:t>
      </w:r>
    </w:p>
    <w:p w14:paraId="4B3FB040" w14:textId="77777777" w:rsidR="001B48E4" w:rsidRDefault="001B48E4" w:rsidP="001B48E4"/>
    <w:p w14:paraId="083DFDE2" w14:textId="12891CE7" w:rsidR="001B48E4" w:rsidRDefault="001B48E4" w:rsidP="001B48E4">
      <w:r>
        <w:t>dva predstavnika Javne agencije za civilno letalstvo Republike Slovenije:</w:t>
      </w:r>
    </w:p>
    <w:p w14:paraId="4D418C7C" w14:textId="2667BA30" w:rsidR="001B48E4" w:rsidRDefault="001B48E4" w:rsidP="001B48E4">
      <w:pPr>
        <w:pStyle w:val="Odstavekseznama"/>
        <w:numPr>
          <w:ilvl w:val="0"/>
          <w:numId w:val="13"/>
        </w:numPr>
      </w:pPr>
      <w:r>
        <w:t>Srečko Janša, v. d. direktorja, član;</w:t>
      </w:r>
    </w:p>
    <w:p w14:paraId="66B75287" w14:textId="3A73F3EC" w:rsidR="001B48E4" w:rsidRDefault="001B48E4" w:rsidP="001B48E4">
      <w:pPr>
        <w:pStyle w:val="Odstavekseznama"/>
        <w:numPr>
          <w:ilvl w:val="0"/>
          <w:numId w:val="13"/>
        </w:numPr>
      </w:pPr>
      <w:r>
        <w:t>Nataša Bešter, nadzornik I, članica;</w:t>
      </w:r>
    </w:p>
    <w:p w14:paraId="5AE5E4AA" w14:textId="77777777" w:rsidR="001B48E4" w:rsidRDefault="001B48E4" w:rsidP="001B48E4"/>
    <w:p w14:paraId="21E5EAF3" w14:textId="0D5DADEB" w:rsidR="001B48E4" w:rsidRDefault="001B48E4" w:rsidP="001B48E4">
      <w:r>
        <w:t>en predstavnik organa za preiskave v zvezi z varnostjo:</w:t>
      </w:r>
    </w:p>
    <w:p w14:paraId="0C7320F5" w14:textId="05A4E5A3" w:rsidR="001B48E4" w:rsidRDefault="001B48E4" w:rsidP="001B48E4">
      <w:pPr>
        <w:pStyle w:val="Odstavekseznama"/>
        <w:numPr>
          <w:ilvl w:val="0"/>
          <w:numId w:val="14"/>
        </w:numPr>
      </w:pPr>
      <w:r>
        <w:t>Marko Cvek, preiskovalec letalskih nesreč in incidentov, Služba za preiskovanje letalskih, pomorskih in železniških nesreč in incidentov, član;</w:t>
      </w:r>
    </w:p>
    <w:p w14:paraId="52D94A87" w14:textId="77777777" w:rsidR="001B48E4" w:rsidRDefault="001B48E4" w:rsidP="001B48E4"/>
    <w:p w14:paraId="37C3FEB7" w14:textId="12C8DB6C" w:rsidR="001B48E4" w:rsidRDefault="001B48E4" w:rsidP="001B48E4">
      <w:r>
        <w:t>en predstavnik ministrstva, pristojnega za notranje zadeve:</w:t>
      </w:r>
    </w:p>
    <w:p w14:paraId="750F96A8" w14:textId="4ED7E203" w:rsidR="001B48E4" w:rsidRDefault="001B48E4" w:rsidP="001B48E4">
      <w:pPr>
        <w:pStyle w:val="Odstavekseznama"/>
        <w:numPr>
          <w:ilvl w:val="0"/>
          <w:numId w:val="14"/>
        </w:numPr>
      </w:pPr>
      <w:r>
        <w:t>Dejan Kink, vodja Letalske policijske enote, Policija, član;</w:t>
      </w:r>
    </w:p>
    <w:p w14:paraId="2F4425E2" w14:textId="77777777" w:rsidR="001B48E4" w:rsidRDefault="001B48E4" w:rsidP="001B48E4"/>
    <w:p w14:paraId="7213A59C" w14:textId="08DB27AE" w:rsidR="001B48E4" w:rsidRDefault="001B48E4" w:rsidP="001B48E4">
      <w:r>
        <w:t>en predstavnik ministrstva, pristojnega za obrambo:</w:t>
      </w:r>
    </w:p>
    <w:p w14:paraId="76C5582A" w14:textId="1062265E" w:rsidR="001B48E4" w:rsidRDefault="001B48E4" w:rsidP="001B48E4">
      <w:pPr>
        <w:pStyle w:val="Odstavekseznama"/>
        <w:numPr>
          <w:ilvl w:val="0"/>
          <w:numId w:val="14"/>
        </w:numPr>
      </w:pPr>
      <w:r>
        <w:t>Robert Špernjak, podpolkovnik, Vojaški letalski organ, Slovenska vojska, član;</w:t>
      </w:r>
    </w:p>
    <w:p w14:paraId="6D34849D" w14:textId="77777777" w:rsidR="001B48E4" w:rsidRDefault="001B48E4" w:rsidP="001B48E4"/>
    <w:p w14:paraId="0BD44543" w14:textId="49DF7EE7" w:rsidR="001B48E4" w:rsidRDefault="001B48E4" w:rsidP="001B48E4">
      <w:r>
        <w:t>en predstavnik organa, pristojnega za zaščito in reševanje:</w:t>
      </w:r>
    </w:p>
    <w:p w14:paraId="6971D482" w14:textId="773C092F" w:rsidR="001B48E4" w:rsidRDefault="001B48E4" w:rsidP="001B48E4">
      <w:pPr>
        <w:pStyle w:val="Odstavekseznama"/>
        <w:numPr>
          <w:ilvl w:val="0"/>
          <w:numId w:val="14"/>
        </w:numPr>
      </w:pPr>
      <w:r>
        <w:t xml:space="preserve">Mitja Vidmar, vodja Sektorja za izvajanje podpore gašenja iz zraka, Uprava Republike Slovenije za zaščito in reševanje, član; </w:t>
      </w:r>
    </w:p>
    <w:p w14:paraId="0C1E8FCC" w14:textId="77777777" w:rsidR="001B48E4" w:rsidRDefault="001B48E4" w:rsidP="001B48E4"/>
    <w:p w14:paraId="4EF26FC5" w14:textId="7D92C0D7" w:rsidR="001B48E4" w:rsidRDefault="001B48E4" w:rsidP="001B48E4">
      <w:r>
        <w:t>dva predstavnika Kontrole zračnega prometa Slovenije, d. o. o.:</w:t>
      </w:r>
    </w:p>
    <w:p w14:paraId="45B6ABA9" w14:textId="43699682" w:rsidR="001B48E4" w:rsidRDefault="001B48E4" w:rsidP="001B48E4">
      <w:pPr>
        <w:pStyle w:val="Odstavekseznama"/>
        <w:numPr>
          <w:ilvl w:val="0"/>
          <w:numId w:val="14"/>
        </w:numPr>
      </w:pPr>
      <w:r>
        <w:t>Rok Marolt, direktor, član;</w:t>
      </w:r>
    </w:p>
    <w:p w14:paraId="0BE45D19" w14:textId="294C3391" w:rsidR="001B48E4" w:rsidRDefault="001B48E4" w:rsidP="001B48E4">
      <w:pPr>
        <w:pStyle w:val="Odstavekseznama"/>
        <w:numPr>
          <w:ilvl w:val="0"/>
          <w:numId w:val="14"/>
        </w:numPr>
      </w:pPr>
      <w:r>
        <w:t>mag. Jerneja Šifrer, razvojni tehnolog, Sektor za certificiranje, vodenje projektov in usposabljanje osebja, članica.</w:t>
      </w:r>
    </w:p>
    <w:p w14:paraId="5D3E98A2" w14:textId="3103C562" w:rsidR="00F03257" w:rsidRDefault="001B48E4" w:rsidP="001B48E4">
      <w:pPr>
        <w:pStyle w:val="Vir"/>
      </w:pPr>
      <w:r>
        <w:t>Vir: Ministrstvo za infrastrukturo</w:t>
      </w:r>
    </w:p>
    <w:p w14:paraId="0F0CA66B" w14:textId="77777777" w:rsidR="001D69D6" w:rsidRDefault="001D69D6" w:rsidP="001D69D6"/>
    <w:sectPr w:rsidR="001D69D6"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7"/>
    <w:multiLevelType w:val="hybridMultilevel"/>
    <w:tmpl w:val="B5CE1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323B4"/>
    <w:multiLevelType w:val="hybridMultilevel"/>
    <w:tmpl w:val="AC561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F3640C"/>
    <w:multiLevelType w:val="hybridMultilevel"/>
    <w:tmpl w:val="2F2E7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4B092F"/>
    <w:multiLevelType w:val="hybridMultilevel"/>
    <w:tmpl w:val="DD640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3"/>
  </w:num>
  <w:num w:numId="2" w16cid:durableId="984821814">
    <w:abstractNumId w:val="10"/>
  </w:num>
  <w:num w:numId="3" w16cid:durableId="150218247">
    <w:abstractNumId w:val="1"/>
  </w:num>
  <w:num w:numId="4" w16cid:durableId="1026903286">
    <w:abstractNumId w:val="11"/>
  </w:num>
  <w:num w:numId="5" w16cid:durableId="231817878">
    <w:abstractNumId w:val="5"/>
  </w:num>
  <w:num w:numId="6" w16cid:durableId="2110814889">
    <w:abstractNumId w:val="14"/>
  </w:num>
  <w:num w:numId="7" w16cid:durableId="695153758">
    <w:abstractNumId w:val="6"/>
  </w:num>
  <w:num w:numId="8" w16cid:durableId="853298866">
    <w:abstractNumId w:val="9"/>
  </w:num>
  <w:num w:numId="9" w16cid:durableId="1789348953">
    <w:abstractNumId w:val="4"/>
  </w:num>
  <w:num w:numId="10" w16cid:durableId="1415012333">
    <w:abstractNumId w:val="12"/>
  </w:num>
  <w:num w:numId="11" w16cid:durableId="886650520">
    <w:abstractNumId w:val="7"/>
  </w:num>
  <w:num w:numId="12" w16cid:durableId="312607874">
    <w:abstractNumId w:val="2"/>
  </w:num>
  <w:num w:numId="13" w16cid:durableId="1398894926">
    <w:abstractNumId w:val="0"/>
  </w:num>
  <w:num w:numId="14" w16cid:durableId="857430202">
    <w:abstractNumId w:val="3"/>
  </w:num>
  <w:num w:numId="15" w16cid:durableId="682360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57D37"/>
    <w:rsid w:val="000610D5"/>
    <w:rsid w:val="00076DF7"/>
    <w:rsid w:val="00085D04"/>
    <w:rsid w:val="00087069"/>
    <w:rsid w:val="00087A14"/>
    <w:rsid w:val="00096432"/>
    <w:rsid w:val="00097B85"/>
    <w:rsid w:val="000D5520"/>
    <w:rsid w:val="000E0657"/>
    <w:rsid w:val="00110B8F"/>
    <w:rsid w:val="00111A16"/>
    <w:rsid w:val="00113F85"/>
    <w:rsid w:val="0012724F"/>
    <w:rsid w:val="0013016C"/>
    <w:rsid w:val="001357B6"/>
    <w:rsid w:val="001602C9"/>
    <w:rsid w:val="0016530C"/>
    <w:rsid w:val="001673A5"/>
    <w:rsid w:val="00173343"/>
    <w:rsid w:val="001B01DD"/>
    <w:rsid w:val="001B42F9"/>
    <w:rsid w:val="001B48E4"/>
    <w:rsid w:val="001C3560"/>
    <w:rsid w:val="001C5F19"/>
    <w:rsid w:val="001D4277"/>
    <w:rsid w:val="001D69D6"/>
    <w:rsid w:val="001F51BC"/>
    <w:rsid w:val="001F7F63"/>
    <w:rsid w:val="00203CAB"/>
    <w:rsid w:val="00203F5F"/>
    <w:rsid w:val="00215140"/>
    <w:rsid w:val="00220CDD"/>
    <w:rsid w:val="0022511A"/>
    <w:rsid w:val="00231021"/>
    <w:rsid w:val="002501CE"/>
    <w:rsid w:val="002856E5"/>
    <w:rsid w:val="002C0766"/>
    <w:rsid w:val="002C36A6"/>
    <w:rsid w:val="002D5B5D"/>
    <w:rsid w:val="002E3F96"/>
    <w:rsid w:val="002F3BE7"/>
    <w:rsid w:val="00302938"/>
    <w:rsid w:val="0032428F"/>
    <w:rsid w:val="0033519E"/>
    <w:rsid w:val="00346E22"/>
    <w:rsid w:val="00351E1E"/>
    <w:rsid w:val="00357DC0"/>
    <w:rsid w:val="00361255"/>
    <w:rsid w:val="00381018"/>
    <w:rsid w:val="003847C8"/>
    <w:rsid w:val="00385767"/>
    <w:rsid w:val="003877EB"/>
    <w:rsid w:val="00390582"/>
    <w:rsid w:val="00390DF7"/>
    <w:rsid w:val="0039662C"/>
    <w:rsid w:val="003A3742"/>
    <w:rsid w:val="003B1257"/>
    <w:rsid w:val="003D64D8"/>
    <w:rsid w:val="003E17B6"/>
    <w:rsid w:val="003E1B89"/>
    <w:rsid w:val="003E6170"/>
    <w:rsid w:val="003F4CC5"/>
    <w:rsid w:val="00415527"/>
    <w:rsid w:val="00424DF8"/>
    <w:rsid w:val="00432937"/>
    <w:rsid w:val="004403EC"/>
    <w:rsid w:val="00447B57"/>
    <w:rsid w:val="0045565C"/>
    <w:rsid w:val="00455B63"/>
    <w:rsid w:val="00460370"/>
    <w:rsid w:val="00472762"/>
    <w:rsid w:val="004A00A8"/>
    <w:rsid w:val="004A7BFC"/>
    <w:rsid w:val="004A7CAD"/>
    <w:rsid w:val="004B4753"/>
    <w:rsid w:val="004B7346"/>
    <w:rsid w:val="004C3F67"/>
    <w:rsid w:val="004C721D"/>
    <w:rsid w:val="00514121"/>
    <w:rsid w:val="00522637"/>
    <w:rsid w:val="00527867"/>
    <w:rsid w:val="00527AA5"/>
    <w:rsid w:val="005314D7"/>
    <w:rsid w:val="005458D4"/>
    <w:rsid w:val="005515BD"/>
    <w:rsid w:val="005740C1"/>
    <w:rsid w:val="0059143B"/>
    <w:rsid w:val="005A570D"/>
    <w:rsid w:val="005B5886"/>
    <w:rsid w:val="005C1523"/>
    <w:rsid w:val="005E1ABB"/>
    <w:rsid w:val="00614FFD"/>
    <w:rsid w:val="00626A98"/>
    <w:rsid w:val="006274BB"/>
    <w:rsid w:val="00634EFA"/>
    <w:rsid w:val="00635D43"/>
    <w:rsid w:val="006367B9"/>
    <w:rsid w:val="00657B15"/>
    <w:rsid w:val="0066249C"/>
    <w:rsid w:val="0067375D"/>
    <w:rsid w:val="00676F03"/>
    <w:rsid w:val="006906AF"/>
    <w:rsid w:val="00693BA3"/>
    <w:rsid w:val="006B3F12"/>
    <w:rsid w:val="006C1B31"/>
    <w:rsid w:val="006D36E2"/>
    <w:rsid w:val="006F29FA"/>
    <w:rsid w:val="0070324C"/>
    <w:rsid w:val="0071171B"/>
    <w:rsid w:val="007120FD"/>
    <w:rsid w:val="007130E1"/>
    <w:rsid w:val="00716545"/>
    <w:rsid w:val="00717E59"/>
    <w:rsid w:val="0073796B"/>
    <w:rsid w:val="00750D01"/>
    <w:rsid w:val="007643A0"/>
    <w:rsid w:val="007669A3"/>
    <w:rsid w:val="00781345"/>
    <w:rsid w:val="00784E57"/>
    <w:rsid w:val="0079749C"/>
    <w:rsid w:val="007A4C0B"/>
    <w:rsid w:val="007A6460"/>
    <w:rsid w:val="007B0ADD"/>
    <w:rsid w:val="007B515F"/>
    <w:rsid w:val="007C21FB"/>
    <w:rsid w:val="007D15EC"/>
    <w:rsid w:val="007E198F"/>
    <w:rsid w:val="007E3E63"/>
    <w:rsid w:val="007F5D6B"/>
    <w:rsid w:val="007F6EF7"/>
    <w:rsid w:val="008220A3"/>
    <w:rsid w:val="008244C0"/>
    <w:rsid w:val="008336E7"/>
    <w:rsid w:val="00836E94"/>
    <w:rsid w:val="00847AA2"/>
    <w:rsid w:val="00847AD3"/>
    <w:rsid w:val="00851CB6"/>
    <w:rsid w:val="00851FE1"/>
    <w:rsid w:val="008624E8"/>
    <w:rsid w:val="008A10A5"/>
    <w:rsid w:val="008A16D8"/>
    <w:rsid w:val="008A172A"/>
    <w:rsid w:val="008B6738"/>
    <w:rsid w:val="008B7AF2"/>
    <w:rsid w:val="008C4231"/>
    <w:rsid w:val="008D49BD"/>
    <w:rsid w:val="00905C96"/>
    <w:rsid w:val="009174DA"/>
    <w:rsid w:val="00933061"/>
    <w:rsid w:val="00933087"/>
    <w:rsid w:val="00945B27"/>
    <w:rsid w:val="009540E4"/>
    <w:rsid w:val="00974186"/>
    <w:rsid w:val="00983241"/>
    <w:rsid w:val="009900DE"/>
    <w:rsid w:val="009A41AA"/>
    <w:rsid w:val="009B3707"/>
    <w:rsid w:val="009C2C98"/>
    <w:rsid w:val="009C2D77"/>
    <w:rsid w:val="009C562E"/>
    <w:rsid w:val="009D10D1"/>
    <w:rsid w:val="009F37F4"/>
    <w:rsid w:val="009F4DB0"/>
    <w:rsid w:val="00A06971"/>
    <w:rsid w:val="00A30052"/>
    <w:rsid w:val="00A34FC4"/>
    <w:rsid w:val="00A445DF"/>
    <w:rsid w:val="00A521C4"/>
    <w:rsid w:val="00A5415F"/>
    <w:rsid w:val="00A60A37"/>
    <w:rsid w:val="00A60FBF"/>
    <w:rsid w:val="00A67305"/>
    <w:rsid w:val="00A726C3"/>
    <w:rsid w:val="00A7412B"/>
    <w:rsid w:val="00A767ED"/>
    <w:rsid w:val="00A775C9"/>
    <w:rsid w:val="00AB1DC2"/>
    <w:rsid w:val="00AD1AFD"/>
    <w:rsid w:val="00AE6CD6"/>
    <w:rsid w:val="00AF5FC8"/>
    <w:rsid w:val="00B022E5"/>
    <w:rsid w:val="00B06EAB"/>
    <w:rsid w:val="00B47F61"/>
    <w:rsid w:val="00B53594"/>
    <w:rsid w:val="00B602CF"/>
    <w:rsid w:val="00B60F58"/>
    <w:rsid w:val="00B70F5B"/>
    <w:rsid w:val="00B753A8"/>
    <w:rsid w:val="00B84862"/>
    <w:rsid w:val="00B903E5"/>
    <w:rsid w:val="00BA743D"/>
    <w:rsid w:val="00BB1111"/>
    <w:rsid w:val="00BB73C0"/>
    <w:rsid w:val="00BE5C43"/>
    <w:rsid w:val="00C3152B"/>
    <w:rsid w:val="00C354D9"/>
    <w:rsid w:val="00C365A8"/>
    <w:rsid w:val="00C458C2"/>
    <w:rsid w:val="00C666AC"/>
    <w:rsid w:val="00C97F7B"/>
    <w:rsid w:val="00CA5624"/>
    <w:rsid w:val="00CC3123"/>
    <w:rsid w:val="00CC37B3"/>
    <w:rsid w:val="00CE21D5"/>
    <w:rsid w:val="00CE45D7"/>
    <w:rsid w:val="00D10EB4"/>
    <w:rsid w:val="00D14EEC"/>
    <w:rsid w:val="00D22282"/>
    <w:rsid w:val="00D60A92"/>
    <w:rsid w:val="00D64FA4"/>
    <w:rsid w:val="00D650E2"/>
    <w:rsid w:val="00D7373E"/>
    <w:rsid w:val="00D85532"/>
    <w:rsid w:val="00D9208E"/>
    <w:rsid w:val="00D95BC6"/>
    <w:rsid w:val="00D966FF"/>
    <w:rsid w:val="00D97B4B"/>
    <w:rsid w:val="00DA3B4D"/>
    <w:rsid w:val="00DA3BD5"/>
    <w:rsid w:val="00DA5C0D"/>
    <w:rsid w:val="00DA5D7A"/>
    <w:rsid w:val="00DB55BA"/>
    <w:rsid w:val="00DE199D"/>
    <w:rsid w:val="00DE1B54"/>
    <w:rsid w:val="00DE27BA"/>
    <w:rsid w:val="00E02AB3"/>
    <w:rsid w:val="00E05EEE"/>
    <w:rsid w:val="00E14AAE"/>
    <w:rsid w:val="00E20351"/>
    <w:rsid w:val="00E2036F"/>
    <w:rsid w:val="00E3207D"/>
    <w:rsid w:val="00E3507E"/>
    <w:rsid w:val="00E40BD7"/>
    <w:rsid w:val="00E7132A"/>
    <w:rsid w:val="00E83E60"/>
    <w:rsid w:val="00E86C78"/>
    <w:rsid w:val="00E948BD"/>
    <w:rsid w:val="00EC012E"/>
    <w:rsid w:val="00ED5AAF"/>
    <w:rsid w:val="00EE35F8"/>
    <w:rsid w:val="00EF1263"/>
    <w:rsid w:val="00F01966"/>
    <w:rsid w:val="00F03257"/>
    <w:rsid w:val="00F20884"/>
    <w:rsid w:val="00F21123"/>
    <w:rsid w:val="00F21419"/>
    <w:rsid w:val="00F21BAD"/>
    <w:rsid w:val="00F23144"/>
    <w:rsid w:val="00F240E9"/>
    <w:rsid w:val="00F31222"/>
    <w:rsid w:val="00F462C7"/>
    <w:rsid w:val="00F56111"/>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2830</Words>
  <Characters>16131</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2026-01-07T05:31:00Z</dcterms:created>
  <dcterms:modified xsi:type="dcterms:W3CDTF">2026-01-07T12:29:00Z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