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D2605C8" w:rsidR="0073796B" w:rsidRPr="0039662C" w:rsidRDefault="00D10EB4" w:rsidP="0039662C">
      <w:pPr>
        <w:pStyle w:val="Naslov1"/>
      </w:pPr>
      <w:r>
        <w:t>1</w:t>
      </w:r>
      <w:r w:rsidR="00D97B4B">
        <w:t>8</w:t>
      </w:r>
      <w:r w:rsidR="00DB55BA">
        <w:t>2</w:t>
      </w:r>
      <w:r w:rsidR="0073796B" w:rsidRPr="0039662C">
        <w:t>. redna seja Vlade Republike Slovenije</w:t>
      </w:r>
    </w:p>
    <w:p w14:paraId="27F30B92" w14:textId="76CBA26F" w:rsidR="0073796B" w:rsidRDefault="00DB55BA" w:rsidP="008B7AF2">
      <w:pPr>
        <w:pStyle w:val="DatumSZJ"/>
      </w:pPr>
      <w:r>
        <w:t>4</w:t>
      </w:r>
      <w:r w:rsidR="002856E5">
        <w:t>.</w:t>
      </w:r>
      <w:r w:rsidR="008220A3">
        <w:t xml:space="preserve"> </w:t>
      </w:r>
      <w:r>
        <w:t>dec</w:t>
      </w:r>
      <w:r w:rsidR="009F4DB0">
        <w:t>em</w:t>
      </w:r>
      <w:r w:rsidR="006F29FA">
        <w:t>ber</w:t>
      </w:r>
      <w:r w:rsidR="00DA3B4D">
        <w:t xml:space="preserve"> </w:t>
      </w:r>
      <w:r w:rsidR="0073796B" w:rsidRPr="008B7AF2">
        <w:t>202</w:t>
      </w:r>
      <w:r w:rsidR="00F21123">
        <w:t>5</w:t>
      </w:r>
    </w:p>
    <w:p w14:paraId="2902F631" w14:textId="58D311B0" w:rsidR="008308A5" w:rsidRDefault="008308A5" w:rsidP="008308A5">
      <w:pPr>
        <w:pStyle w:val="Naslov2"/>
      </w:pPr>
      <w:r>
        <w:t>U</w:t>
      </w:r>
      <w:r w:rsidR="00F17053">
        <w:t>redb</w:t>
      </w:r>
      <w:r>
        <w:t>a</w:t>
      </w:r>
      <w:r w:rsidR="00F17053">
        <w:t xml:space="preserve"> o rudarskih pravicah za izkoriščanje mineralnih surovin v pridobivalnih prostorih Hardeška </w:t>
      </w:r>
      <w:proofErr w:type="gramStart"/>
      <w:r w:rsidR="00F17053">
        <w:t xml:space="preserve">šuma  </w:t>
      </w:r>
      <w:proofErr w:type="gramEnd"/>
      <w:r w:rsidR="00F17053">
        <w:t>v občini Ormož in Laže III v občini Divača</w:t>
      </w:r>
    </w:p>
    <w:p w14:paraId="539CE745" w14:textId="315FAB68" w:rsidR="008308A5" w:rsidRDefault="008308A5" w:rsidP="008308A5">
      <w:r>
        <w:t>Vlada je izdala Uredbo o rudarskih pravicah za izkoriščanje mineralnih surovin v pridobivalnih prostorih Hardeška šuma – širitev 5 v občini Ormož in Laže III v občini Divača. Predlagana pridobivalna prostora in vlagatelja vlog izpolnjujeta predpisane pogoje za podelitev rudarske pravice.</w:t>
      </w:r>
    </w:p>
    <w:p w14:paraId="5B95F090" w14:textId="45611DB4" w:rsidR="008308A5" w:rsidRDefault="008308A5" w:rsidP="008308A5">
      <w:pPr>
        <w:pStyle w:val="Vir"/>
      </w:pPr>
      <w:r>
        <w:t>Vir: Ministrstvo za naravne vire in prostor</w:t>
      </w:r>
    </w:p>
    <w:p w14:paraId="793E5383" w14:textId="75F733F8" w:rsidR="00D01342" w:rsidRDefault="00D01342" w:rsidP="00D01342">
      <w:pPr>
        <w:pStyle w:val="Naslov2"/>
      </w:pPr>
      <w:r>
        <w:t>Vlada izdala Uredbo o izvajanju Uredbe (ES) o dajanju krme v promet in njeni uporabi</w:t>
      </w:r>
    </w:p>
    <w:p w14:paraId="705E42B3" w14:textId="77777777" w:rsidR="00D01342" w:rsidRDefault="00D01342" w:rsidP="00D01342">
      <w:r>
        <w:t xml:space="preserve">Vlada je izdala Uredbo o izvajanju Uredbe (ES) o dajanju krme v promet in njeni uporabi, ki se objavi v Uradnem listu Republike Slovenije. S to uredbo se </w:t>
      </w:r>
      <w:proofErr w:type="gramStart"/>
      <w:r>
        <w:t>določa</w:t>
      </w:r>
      <w:proofErr w:type="gramEnd"/>
      <w:r>
        <w:t xml:space="preserve"> pristojni organ, nadzor, prekrške in sankcije za izvajanje Uredbe o dajanju krme v promet in njeni uporabi. </w:t>
      </w:r>
      <w:proofErr w:type="gramStart"/>
      <w:r>
        <w:t>Slednja</w:t>
      </w:r>
      <w:proofErr w:type="gramEnd"/>
      <w:r>
        <w:t xml:space="preserve"> predstavlja krovni predpis v EU, ki ureja pogoje glede varnosti in dajanja na trg</w:t>
      </w:r>
      <w:proofErr w:type="gramStart"/>
      <w:r>
        <w:t>,</w:t>
      </w:r>
      <w:proofErr w:type="gramEnd"/>
      <w:r>
        <w:t xml:space="preserve"> kot tudi glede uporabe krme (posamičnih krmil, krmnih mešanic in dietetične krme). 31. člen uredbe določa, da morajo države članice določiti pravila o kaznih, ki se uporabljajo za kršitve njenih določb.  </w:t>
      </w:r>
    </w:p>
    <w:p w14:paraId="6B31C2F6" w14:textId="77777777" w:rsidR="00D01342" w:rsidRDefault="00D01342" w:rsidP="00D01342"/>
    <w:p w14:paraId="6F1153F8" w14:textId="77777777" w:rsidR="00D01342" w:rsidRDefault="00D01342" w:rsidP="00D01342">
      <w:r>
        <w:t xml:space="preserve">Uredba določa sankcije za kršitve določb Uredbe o dajanju krme v promet in njeni uporabi, ki </w:t>
      </w:r>
      <w:proofErr w:type="gramStart"/>
      <w:r>
        <w:t>do sedaj</w:t>
      </w:r>
      <w:proofErr w:type="gramEnd"/>
      <w:r>
        <w:t xml:space="preserve"> niso bile sankcionirane po Zakonu o veterinarskih merilih skladnosti, niti po Zakonu o krmi. Pred Upravo za varno hrano, veterinarstvo in varstvo rastlin sta uradni nadzor na področju označevanja krme izvajala dva pristojna organa (Veterinarska uprava RS in Inšpektorat RS za kmetijstvo, gozdarstvo in hrano), vsak v okviru materialnega predpisa, ki jima je dajal pristojnost.</w:t>
      </w:r>
    </w:p>
    <w:p w14:paraId="29C2155B" w14:textId="06CF53FF" w:rsidR="00F17053" w:rsidRDefault="00D01342" w:rsidP="00D01342">
      <w:pPr>
        <w:pStyle w:val="Vir"/>
      </w:pPr>
      <w:r>
        <w:t>Vir: Ministrstvo za kmetijstvo, gozdarstvo in prehrano</w:t>
      </w:r>
    </w:p>
    <w:p w14:paraId="1CE85E6F" w14:textId="3F7C62A1" w:rsidR="00461943" w:rsidRDefault="00461943" w:rsidP="00461943">
      <w:pPr>
        <w:pStyle w:val="Naslov2"/>
      </w:pPr>
      <w:r>
        <w:t>Uredba o povračilu stroškov za službena potovanja v tujino</w:t>
      </w:r>
    </w:p>
    <w:p w14:paraId="3279EB70" w14:textId="77777777" w:rsidR="00461943" w:rsidRDefault="00461943" w:rsidP="00461943">
      <w:r>
        <w:t>Vlada Republike Slovenije je izdala Uredbo o povračilu stroškov za službena potovanja v tujino in jo objavi v Uradnem listu Republike Slovenije.</w:t>
      </w:r>
    </w:p>
    <w:p w14:paraId="0A49F23F" w14:textId="77777777" w:rsidR="00461943" w:rsidRDefault="00461943" w:rsidP="00461943"/>
    <w:p w14:paraId="51DF0419" w14:textId="77777777" w:rsidR="00461943" w:rsidRDefault="00461943" w:rsidP="00461943">
      <w:r>
        <w:t>Zaradi sprejema in uveljavitve novega Zakona o javnih uslužbencih in Zakona o funkcionarjih, ki vsebujeta določbe, ki urejajo povračilo stroškov za službena potovanja v tujino in pravico do akontacije za zaposlene v javnem sektorju (javne uslužbence in poklicne funkcionarje), je bila pripravljena nova Uredba o povračilu stroškov za službena potovanja v tujino – uredba, ki se trenutno še uporablja, je bila izdana na podlagi Zakona o uravnoteženju javnih financ.</w:t>
      </w:r>
    </w:p>
    <w:p w14:paraId="73AD092C" w14:textId="77777777" w:rsidR="00461943" w:rsidRDefault="00461943" w:rsidP="00461943"/>
    <w:p w14:paraId="5045D1DF" w14:textId="77777777" w:rsidR="00461943" w:rsidRDefault="00461943" w:rsidP="00461943">
      <w:r>
        <w:t xml:space="preserve">Uredba med drugim ureja načrtovanje službenih potovanj v tujino, vrste stroškov, ki se povrnejo zaposlenemu, vključno z dnevnicami, pojem delegacije na službenem potovanju v tujino ter možnost kombiniranja službenega in zasebnega potovanja. </w:t>
      </w:r>
    </w:p>
    <w:p w14:paraId="21913FA4" w14:textId="77777777" w:rsidR="00461943" w:rsidRDefault="00461943" w:rsidP="00461943"/>
    <w:p w14:paraId="5C433212" w14:textId="77777777" w:rsidR="00461943" w:rsidRDefault="00461943" w:rsidP="00461943">
      <w:r>
        <w:t>Uredba začne veljati 1. januarja 2026.</w:t>
      </w:r>
    </w:p>
    <w:p w14:paraId="1B14EC0A" w14:textId="18E4BEEC" w:rsidR="00F17053" w:rsidRDefault="00461943" w:rsidP="00461943">
      <w:pPr>
        <w:pStyle w:val="Vir"/>
      </w:pPr>
      <w:r>
        <w:t>Vir: Ministrstvo za javno upravo</w:t>
      </w:r>
    </w:p>
    <w:p w14:paraId="6AE2C42B" w14:textId="64C04777" w:rsidR="00461943" w:rsidRDefault="00461943" w:rsidP="00461943">
      <w:pPr>
        <w:pStyle w:val="Naslov2"/>
      </w:pPr>
      <w:r>
        <w:lastRenderedPageBreak/>
        <w:t>Uredba o priznanjih in denarnih nagradah v organih državne uprave, pravosodnih organih in upravah lokalnih skupnosti</w:t>
      </w:r>
    </w:p>
    <w:p w14:paraId="63F0E1C8" w14:textId="77777777" w:rsidR="00461943" w:rsidRDefault="00461943" w:rsidP="00461943">
      <w:r>
        <w:t>Vlada Republike Slovenije je izdala Uredbo o priznanjih in denarnih nagradah v organih državne uprave, pravosodnih organih in upravah lokalnih skupnosti in jo objavi v Uradnem listu Republike Slovenije. Z uredbo se urejajo vrste priznanj in postopek podeljevanja priznanj ter denarnih nagrad javnim uslužbencem v organih državne uprave, pravosodnih organih in upravah lokalnih skupnosti. Gre za izvedbo tretjega odstavka 125. člena Zakona o javnih uslužbencih, ki vladi nalaga, da z uredbo natančneje uredi navedena vprašanja.</w:t>
      </w:r>
    </w:p>
    <w:p w14:paraId="2B12B3FD" w14:textId="77777777" w:rsidR="00461943" w:rsidRDefault="00461943" w:rsidP="00461943"/>
    <w:p w14:paraId="078FADD5" w14:textId="77777777" w:rsidR="00461943" w:rsidRDefault="00461943" w:rsidP="00461943">
      <w:r>
        <w:t>Za posebne delovne uspehe, dosežene na posameznih področjih dela ali pri opravljanju delovnih nalog, ki prispevajo k uspešnosti in učinkovitosti poslovanja ter krepitvi ugleda organa, zmanjšanju stroškov poslovanja ali skrajševanju delovnih postopkov, in za dolgoletno strokovno delo uredba določa možnost podelitve treh vrst priznanj javnim uslužbencem: pohvalo, plaketo in spominsko plaketo ob upokojitvi. Prejemnik plakete prejme tudi denarno nagrado, ki jo iz sredstev, namenjenih za plače in druge izdatke zaposlenim, zagotovi organ, v katerem je javni uslužbenec zaposlen.</w:t>
      </w:r>
    </w:p>
    <w:p w14:paraId="2E0C6B58" w14:textId="77777777" w:rsidR="00461943" w:rsidRDefault="00461943" w:rsidP="00461943"/>
    <w:p w14:paraId="2D7ED3D4" w14:textId="77777777" w:rsidR="00461943" w:rsidRDefault="00461943" w:rsidP="00461943">
      <w:r>
        <w:t>Uredba določa postopek podeljevanja priznanj pri organu in pri generalnem sekretariatu vlade, vključno s postopkom imenovanja komisij za podelitev priznanj, z načinom predlaganja ter s podelitvijo priznanj. Priznanja se podeljujejo enkrat letno, razen spominska plaketa ob upokojitvi, ki se podeli ob sami upokojitvi. Priznanja se podeljujejo enkrat letno, pri čemer pohvale, plakete za dolgoletno strokovno delo in spominske plakete ob upokojitvi podeli predstojnik, plakete za izjemne delovne uspehe pa podeli predsednik vlade. Plakete za izjemne delovne uspehe se javnim uslužbencem prvič podelijo marca 2026.</w:t>
      </w:r>
    </w:p>
    <w:p w14:paraId="75914314" w14:textId="77777777" w:rsidR="00461943" w:rsidRDefault="00461943" w:rsidP="00461943"/>
    <w:p w14:paraId="60C75904" w14:textId="77777777" w:rsidR="00461943" w:rsidRDefault="00461943" w:rsidP="00461943">
      <w:r>
        <w:t>Uredba začne veljati 1. januarja 2026.</w:t>
      </w:r>
    </w:p>
    <w:p w14:paraId="547D7674" w14:textId="5AAEC6F1" w:rsidR="00F17053" w:rsidRDefault="00461943" w:rsidP="00461943">
      <w:pPr>
        <w:pStyle w:val="Vir"/>
      </w:pPr>
      <w:r>
        <w:t>Vir: Ministrstvo za javno upravo</w:t>
      </w:r>
    </w:p>
    <w:p w14:paraId="06EBFE40" w14:textId="235B906D" w:rsidR="006A11CC" w:rsidRDefault="006A11CC" w:rsidP="006A11CC">
      <w:pPr>
        <w:pStyle w:val="Naslov2"/>
      </w:pPr>
      <w:r>
        <w:t xml:space="preserve">Prekategorizacija hitrih cest H5 Škofije–Koper in H6 Koper (Škocjan)–Izola–(Lucija) </w:t>
      </w:r>
      <w:proofErr w:type="gramStart"/>
      <w:r>
        <w:t>v</w:t>
      </w:r>
      <w:proofErr w:type="gramEnd"/>
      <w:r>
        <w:t xml:space="preserve"> glavni cesti - vožnja osebnih vozil in motornih koles sedaj brez cestnine</w:t>
      </w:r>
    </w:p>
    <w:p w14:paraId="6C72C839" w14:textId="77777777" w:rsidR="006A11CC" w:rsidRDefault="006A11CC" w:rsidP="006A11CC">
      <w:r>
        <w:t xml:space="preserve">Vlada Republike Slovenije je sprejela Uredbo o spremembah Uredbe o kategorizaciji državnih cest, s katero je določila, da se hitri cesti H5 Škofije–Koper in H6 Koper (Škocjan)–Izola–(Lucija) prekategorizirata </w:t>
      </w:r>
      <w:proofErr w:type="gramStart"/>
      <w:r>
        <w:t>v</w:t>
      </w:r>
      <w:proofErr w:type="gramEnd"/>
      <w:r>
        <w:t xml:space="preserve"> glavni cesti G1-11 Škofije–Koper–Dragonja in G2-111 Koper (Škocjan)–Izola–Sečovlje. </w:t>
      </w:r>
    </w:p>
    <w:p w14:paraId="0A782AD2" w14:textId="77777777" w:rsidR="006A11CC" w:rsidRDefault="006A11CC" w:rsidP="006A11CC"/>
    <w:p w14:paraId="3F0F745C" w14:textId="77777777" w:rsidR="006A11CC" w:rsidRDefault="006A11CC" w:rsidP="006A11CC">
      <w:r>
        <w:t xml:space="preserve">S tem je omogočila, da se </w:t>
      </w:r>
      <w:proofErr w:type="spellStart"/>
      <w:r>
        <w:t>novokategorizirani</w:t>
      </w:r>
      <w:proofErr w:type="spellEnd"/>
      <w:r>
        <w:t xml:space="preserve"> glavni cesti z Uredbo o spremembah in dopolnitvah Uredbe o cestninskih cestah in cestninah opredelita kot izbirni cestninski cesti, na katerih se izvaja le cestninjenje vozil nad 3.500</w:t>
      </w:r>
      <w:proofErr w:type="gramStart"/>
      <w:r>
        <w:t xml:space="preserve"> kg</w:t>
      </w:r>
      <w:proofErr w:type="gramEnd"/>
      <w:r>
        <w:t xml:space="preserve"> največje dovoljene mase (tovornih vozil). Posledično to pomeni, da za vožnjo osebnih vozil in motornih koles po </w:t>
      </w:r>
      <w:proofErr w:type="spellStart"/>
      <w:r>
        <w:t>novokategoriziranih</w:t>
      </w:r>
      <w:proofErr w:type="spellEnd"/>
      <w:r>
        <w:t xml:space="preserve"> glavnih cestah ne bo več treba uporabljati elektronske vinjete. S tem ukrepom se bo izboljšala prometna varnost na vzporednem cestnem omrežju, razbremenila se bodo ob zadevnih cestah ležeča naselja in zmanjšal vpliv prometa na okolje, saj z možnostjo uporabe zadevnih cest brez elektronskih vinjet ne bo več razloga za izogibanje njuni uporabi. </w:t>
      </w:r>
    </w:p>
    <w:p w14:paraId="4EEFBE7E" w14:textId="77777777" w:rsidR="006A11CC" w:rsidRDefault="006A11CC" w:rsidP="006A11CC"/>
    <w:p w14:paraId="5E6BD624" w14:textId="77777777" w:rsidR="006A11CC" w:rsidRDefault="006A11CC" w:rsidP="006A11CC">
      <w:r>
        <w:t xml:space="preserve">Navedenim spremembam se prilagaja tudi cenik cestnine, zato je </w:t>
      </w:r>
      <w:proofErr w:type="gramStart"/>
      <w:r>
        <w:t>Vlada Republike Slovenje</w:t>
      </w:r>
      <w:proofErr w:type="gramEnd"/>
      <w:r>
        <w:t xml:space="preserve"> dala soglasje k Spremembam Cenika cestnine za uporabo cestninskih cest, ki ga je sprejel DARS, d. d. Cesti bo še naprej upravljal in vzdrževal DARS, d. d..</w:t>
      </w:r>
    </w:p>
    <w:p w14:paraId="0BEA2F92" w14:textId="6A031245" w:rsidR="00F17053" w:rsidRDefault="006A11CC" w:rsidP="006A11CC">
      <w:pPr>
        <w:pStyle w:val="Vir"/>
      </w:pPr>
      <w:r>
        <w:t>Vir: Ministrstvo za infrastrukturo</w:t>
      </w:r>
    </w:p>
    <w:p w14:paraId="26456467" w14:textId="164427D5" w:rsidR="0013093E" w:rsidRDefault="0013093E" w:rsidP="0013093E">
      <w:pPr>
        <w:pStyle w:val="Naslov2"/>
      </w:pPr>
      <w:r>
        <w:t>Vlada izdala Odlok o dodelitvi finančne pomoči zaradi pogina ovc v letu 2025</w:t>
      </w:r>
    </w:p>
    <w:p w14:paraId="06B72A5D" w14:textId="77777777" w:rsidR="0013093E" w:rsidRDefault="0013093E" w:rsidP="0013093E">
      <w:r>
        <w:lastRenderedPageBreak/>
        <w:t xml:space="preserve">Vlada je izdala Odlok o dodelitvi finančne pomoči zaradi pogina ovc v letu 2025 in ga objavi v Uradnem listu Republike Slovenije. Za dodelitev pomoči po odloku bo iz sredstev Ministrstva za kmetijstvo, gozdarstvo in prehrano v letu 2025 v skladu s pravili Evropske unije zagotovljenih do 1,3 milijona evrov. </w:t>
      </w:r>
    </w:p>
    <w:p w14:paraId="3BE0F0A7" w14:textId="77777777" w:rsidR="0013093E" w:rsidRDefault="0013093E" w:rsidP="0013093E"/>
    <w:p w14:paraId="3F7CF95B" w14:textId="77777777" w:rsidR="0013093E" w:rsidRDefault="0013093E" w:rsidP="0013093E">
      <w:r>
        <w:t xml:space="preserve">Odlok o dodelitvi finančne pomoči zaradi pogina ovc v letu 2025 je podlaga za izvedbo finančne pomoči kmetijskim gospodarstvom, ki se ukvarjajo z ovčerejo in so v obdobju od 18. julija do 20. novembra 2025 utrpela izgubo ovc zaradi okužbe z virusom modrikastega jezika (BTV). Namen ukrepa je omejitev gospodarske škode in zagotovitev stabilnih ekonomskih razmer na omenjenih kmetijskih gospodarstvih, do finančne pomoči pa je upravičen nosilec kmetijskega gospodarstva, ki izpolnjuje pogoje za pridobitev pomoči po tem odloku. </w:t>
      </w:r>
    </w:p>
    <w:p w14:paraId="67CD350C" w14:textId="3876E4DC" w:rsidR="00F17053" w:rsidRDefault="0013093E" w:rsidP="0013093E">
      <w:pPr>
        <w:pStyle w:val="Vir"/>
      </w:pPr>
      <w:r>
        <w:t>Vir: Ministrstvo za kmetijstvo, gozdarstvo in prehrano</w:t>
      </w:r>
    </w:p>
    <w:p w14:paraId="1EF6E122" w14:textId="5A0DFEAF" w:rsidR="00265619" w:rsidRPr="009907AE" w:rsidRDefault="00265619" w:rsidP="00265619">
      <w:pPr>
        <w:pStyle w:val="Naslov2"/>
        <w:rPr>
          <w:lang w:eastAsia="sl-SI"/>
        </w:rPr>
      </w:pPr>
      <w:r w:rsidRPr="009907AE">
        <w:rPr>
          <w:lang w:eastAsia="sl-SI"/>
        </w:rPr>
        <w:t xml:space="preserve">Sklep o določitvi deležev odpadne embalaže za </w:t>
      </w:r>
      <w:bookmarkStart w:id="0" w:name="_Hlk214520319"/>
      <w:r w:rsidRPr="009907AE">
        <w:rPr>
          <w:lang w:eastAsia="sl-SI"/>
        </w:rPr>
        <w:t>januar, februar in marec 2026</w:t>
      </w:r>
      <w:bookmarkEnd w:id="0"/>
      <w:r w:rsidRPr="009907AE">
        <w:rPr>
          <w:lang w:eastAsia="sl-SI"/>
        </w:rPr>
        <w:t xml:space="preserve"> </w:t>
      </w:r>
    </w:p>
    <w:p w14:paraId="079BC635" w14:textId="5AA5FB6C" w:rsidR="00265619" w:rsidRPr="009907AE" w:rsidRDefault="00265619" w:rsidP="00265619">
      <w:bookmarkStart w:id="1" w:name="_Hlk88465377"/>
      <w:r w:rsidRPr="009907AE">
        <w:t xml:space="preserve">Vlada je sprejela </w:t>
      </w:r>
      <w:r>
        <w:t>s</w:t>
      </w:r>
      <w:r w:rsidRPr="009907AE">
        <w:t>klep o določitvi deležev odpadne embalaže za januar, februar in marec 2026</w:t>
      </w:r>
      <w:bookmarkEnd w:id="1"/>
      <w:r w:rsidRPr="009907AE">
        <w:t>.</w:t>
      </w:r>
    </w:p>
    <w:p w14:paraId="7E0F9D82" w14:textId="77777777" w:rsidR="00265619" w:rsidRDefault="00265619" w:rsidP="00265619">
      <w:pPr>
        <w:rPr>
          <w:lang w:eastAsia="sl-SI"/>
        </w:rPr>
      </w:pPr>
    </w:p>
    <w:p w14:paraId="381A7300" w14:textId="77777777" w:rsidR="00265619" w:rsidRPr="009907AE" w:rsidRDefault="00265619" w:rsidP="00265619">
      <w:pPr>
        <w:rPr>
          <w:lang w:eastAsia="sl-SI"/>
        </w:rPr>
      </w:pPr>
      <w:r w:rsidRPr="009907AE">
        <w:rPr>
          <w:lang w:eastAsia="sl-SI"/>
        </w:rPr>
        <w:t>S tem sklepom se nadaljuje vzpostavljen sistem pravične razdelitve obveznosti med izvajalci ravnanja z odpadno embalažo v skladu z zakonodajo na področju varstva okolja in proizvajalčeve razširjene odgovornosti (PRO).</w:t>
      </w:r>
      <w:r w:rsidRPr="009907AE">
        <w:t xml:space="preserve"> </w:t>
      </w:r>
      <w:r w:rsidRPr="009907AE">
        <w:rPr>
          <w:lang w:eastAsia="sl-SI"/>
        </w:rPr>
        <w:t>Določitev četrtletnih deležev izhaja iz določb Zakona o varstvu okolja (ZVO-1 in ZVO-2) ter Uredbe o embalaži in odpadni embalaži. Namen sistema je zagotoviti pregledno, sledljivo in zakonito upravljanje tokov odpadne embalaže v Sloveniji ter preprečiti prenosa bremen med posameznimi izvajalci.</w:t>
      </w:r>
    </w:p>
    <w:p w14:paraId="69BA93CD" w14:textId="77777777" w:rsidR="00265619" w:rsidRDefault="00265619" w:rsidP="00265619">
      <w:pPr>
        <w:rPr>
          <w:lang w:eastAsia="sl-SI"/>
        </w:rPr>
      </w:pPr>
    </w:p>
    <w:p w14:paraId="35C50048" w14:textId="77777777" w:rsidR="00265619" w:rsidRPr="009907AE" w:rsidRDefault="00265619" w:rsidP="00265619">
      <w:pPr>
        <w:rPr>
          <w:lang w:eastAsia="sl-SI"/>
        </w:rPr>
      </w:pPr>
      <w:r w:rsidRPr="009907AE">
        <w:rPr>
          <w:lang w:eastAsia="sl-SI"/>
        </w:rPr>
        <w:t>Deleži so izračunani na podlagi prijavljene mase embalaže, dane na trg v Republiki Sloveniji, in metodologije iz Uredbe o embalaži in odpadni embalaži. Vlada deleže določa štirikrat letno; sklep se objavi v Uradnem listu Republike Slovenije.</w:t>
      </w:r>
    </w:p>
    <w:p w14:paraId="61A897B5" w14:textId="77777777" w:rsidR="00265619" w:rsidRDefault="00265619" w:rsidP="00265619">
      <w:pPr>
        <w:rPr>
          <w:lang w:eastAsia="sl-SI"/>
        </w:rPr>
      </w:pPr>
    </w:p>
    <w:p w14:paraId="1BD0D485" w14:textId="77777777" w:rsidR="00265619" w:rsidRPr="009907AE" w:rsidRDefault="00265619" w:rsidP="00265619">
      <w:pPr>
        <w:rPr>
          <w:lang w:eastAsia="sl-SI"/>
        </w:rPr>
      </w:pPr>
      <w:r w:rsidRPr="009907AE">
        <w:rPr>
          <w:lang w:eastAsia="sl-SI"/>
        </w:rPr>
        <w:t>Za obdobje januar–marec 2026 so deleži</w:t>
      </w:r>
      <w:proofErr w:type="gramStart"/>
      <w:r w:rsidRPr="009907AE">
        <w:rPr>
          <w:lang w:eastAsia="sl-SI"/>
        </w:rPr>
        <w:t xml:space="preserve"> določeni</w:t>
      </w:r>
      <w:proofErr w:type="gramEnd"/>
      <w:r w:rsidRPr="009907AE">
        <w:rPr>
          <w:lang w:eastAsia="sl-SI"/>
        </w:rPr>
        <w:t xml:space="preserve"> ločeno po vrstah embalažnih materialov (papir, steklo, plastika in kovine, les) za sedem družb, ki upravljajo skupne sisteme ravnanja z odpadno embalažo. Podatki temeljijo na uradnih evidencah in poročilih proizvajalcev, ki dajejo embalažo v promet.</w:t>
      </w:r>
    </w:p>
    <w:p w14:paraId="3575BD05" w14:textId="77777777" w:rsidR="00265619" w:rsidRDefault="00265619" w:rsidP="00265619">
      <w:pPr>
        <w:rPr>
          <w:lang w:eastAsia="sl-SI"/>
        </w:rPr>
      </w:pPr>
    </w:p>
    <w:p w14:paraId="00E14655" w14:textId="77777777" w:rsidR="00265619" w:rsidRPr="00C03114" w:rsidRDefault="00265619" w:rsidP="00265619">
      <w:pPr>
        <w:pStyle w:val="Neotevilenodstavek"/>
        <w:spacing w:line="260" w:lineRule="exact"/>
        <w:rPr>
          <w:iCs/>
          <w:sz w:val="20"/>
          <w:szCs w:val="20"/>
        </w:rPr>
      </w:pPr>
      <w:r w:rsidRPr="00C03114">
        <w:rPr>
          <w:iCs/>
          <w:sz w:val="20"/>
          <w:szCs w:val="20"/>
        </w:rPr>
        <w:t xml:space="preserve">Deleži odpadne embalaže za </w:t>
      </w:r>
      <w:r>
        <w:rPr>
          <w:iCs/>
          <w:sz w:val="20"/>
          <w:szCs w:val="20"/>
        </w:rPr>
        <w:t>januar, februar in marec 2026</w:t>
      </w:r>
      <w:r w:rsidRPr="00C03114">
        <w:rPr>
          <w:iCs/>
          <w:sz w:val="20"/>
          <w:szCs w:val="20"/>
        </w:rPr>
        <w:t xml:space="preserve"> so:</w:t>
      </w:r>
    </w:p>
    <w:p w14:paraId="5D53D25D" w14:textId="77777777" w:rsidR="00265619" w:rsidRPr="00C03114" w:rsidRDefault="00265619" w:rsidP="00265619">
      <w:pPr>
        <w:pStyle w:val="Neotevilenodstavek"/>
        <w:numPr>
          <w:ilvl w:val="0"/>
          <w:numId w:val="15"/>
        </w:numPr>
        <w:spacing w:before="240" w:line="260" w:lineRule="exact"/>
        <w:ind w:left="425" w:hanging="425"/>
        <w:rPr>
          <w:iCs/>
          <w:sz w:val="20"/>
          <w:szCs w:val="20"/>
        </w:rPr>
      </w:pPr>
      <w:r w:rsidRPr="00C03114">
        <w:rPr>
          <w:iCs/>
          <w:sz w:val="20"/>
          <w:szCs w:val="20"/>
        </w:rPr>
        <w:t>za odpadno embalažo iz embalažnega materiala PAPIR:</w:t>
      </w:r>
    </w:p>
    <w:p w14:paraId="73BA2F6C" w14:textId="77777777" w:rsidR="00265619" w:rsidRPr="00A84BF8"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Dinos, d. o. o.</w:t>
      </w:r>
      <w:r w:rsidRPr="00C03114">
        <w:rPr>
          <w:iCs/>
          <w:sz w:val="20"/>
          <w:szCs w:val="20"/>
        </w:rPr>
        <w:tab/>
      </w:r>
      <w:r>
        <w:rPr>
          <w:iCs/>
          <w:sz w:val="20"/>
          <w:szCs w:val="20"/>
        </w:rPr>
        <w:t>19,55</w:t>
      </w:r>
      <w:r w:rsidRPr="00A84BF8">
        <w:rPr>
          <w:iCs/>
          <w:sz w:val="20"/>
          <w:szCs w:val="20"/>
        </w:rPr>
        <w:t> %,</w:t>
      </w:r>
    </w:p>
    <w:p w14:paraId="48BA2E48"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Embakom, d. o. o.</w:t>
      </w:r>
      <w:r w:rsidRPr="00C03114">
        <w:rPr>
          <w:iCs/>
          <w:sz w:val="20"/>
          <w:szCs w:val="20"/>
        </w:rPr>
        <w:tab/>
      </w:r>
      <w:r>
        <w:rPr>
          <w:iCs/>
          <w:sz w:val="20"/>
          <w:szCs w:val="20"/>
        </w:rPr>
        <w:t>7,09</w:t>
      </w:r>
      <w:r w:rsidRPr="00C03114">
        <w:rPr>
          <w:iCs/>
          <w:sz w:val="20"/>
          <w:szCs w:val="20"/>
        </w:rPr>
        <w:t> %,</w:t>
      </w:r>
    </w:p>
    <w:p w14:paraId="298E574D"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Surovina, d. o. o.</w:t>
      </w:r>
      <w:r w:rsidRPr="00C03114">
        <w:rPr>
          <w:iCs/>
          <w:sz w:val="20"/>
          <w:szCs w:val="20"/>
        </w:rPr>
        <w:tab/>
      </w:r>
      <w:r>
        <w:rPr>
          <w:iCs/>
          <w:sz w:val="20"/>
          <w:szCs w:val="20"/>
        </w:rPr>
        <w:t>22,25</w:t>
      </w:r>
      <w:r w:rsidRPr="00C03114">
        <w:rPr>
          <w:sz w:val="20"/>
          <w:szCs w:val="20"/>
        </w:rPr>
        <w:t> </w:t>
      </w:r>
      <w:r w:rsidRPr="00C03114">
        <w:rPr>
          <w:iCs/>
          <w:sz w:val="20"/>
          <w:szCs w:val="20"/>
        </w:rPr>
        <w:t>%,</w:t>
      </w:r>
    </w:p>
    <w:p w14:paraId="54B7E1F7"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Interzero, d. o. o.</w:t>
      </w:r>
      <w:r w:rsidRPr="00C03114">
        <w:rPr>
          <w:iCs/>
          <w:sz w:val="20"/>
          <w:szCs w:val="20"/>
        </w:rPr>
        <w:tab/>
      </w:r>
      <w:r>
        <w:rPr>
          <w:iCs/>
          <w:sz w:val="20"/>
          <w:szCs w:val="20"/>
        </w:rPr>
        <w:t>11,39</w:t>
      </w:r>
      <w:r w:rsidRPr="00C03114">
        <w:rPr>
          <w:sz w:val="20"/>
          <w:szCs w:val="20"/>
        </w:rPr>
        <w:t> </w:t>
      </w:r>
      <w:r w:rsidRPr="00C03114">
        <w:rPr>
          <w:iCs/>
          <w:sz w:val="20"/>
          <w:szCs w:val="20"/>
        </w:rPr>
        <w:t>%,</w:t>
      </w:r>
    </w:p>
    <w:p w14:paraId="2D649507"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Recikel, d. o. o.</w:t>
      </w:r>
      <w:r w:rsidRPr="00C03114">
        <w:rPr>
          <w:iCs/>
          <w:sz w:val="20"/>
          <w:szCs w:val="20"/>
        </w:rPr>
        <w:tab/>
      </w:r>
      <w:r>
        <w:rPr>
          <w:iCs/>
          <w:sz w:val="20"/>
          <w:szCs w:val="20"/>
        </w:rPr>
        <w:t>24,92</w:t>
      </w:r>
      <w:r w:rsidRPr="00C03114">
        <w:rPr>
          <w:iCs/>
          <w:sz w:val="20"/>
          <w:szCs w:val="20"/>
        </w:rPr>
        <w:t> %,</w:t>
      </w:r>
    </w:p>
    <w:p w14:paraId="06B5EE49"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Slopak, d. o. o.</w:t>
      </w:r>
      <w:r w:rsidRPr="00C03114">
        <w:rPr>
          <w:iCs/>
          <w:sz w:val="20"/>
          <w:szCs w:val="20"/>
        </w:rPr>
        <w:tab/>
      </w:r>
      <w:r>
        <w:rPr>
          <w:iCs/>
          <w:sz w:val="20"/>
          <w:szCs w:val="20"/>
        </w:rPr>
        <w:t>14,80</w:t>
      </w:r>
      <w:r w:rsidRPr="00C03114">
        <w:rPr>
          <w:szCs w:val="24"/>
        </w:rPr>
        <w:t> </w:t>
      </w:r>
      <w:r w:rsidRPr="00C03114">
        <w:rPr>
          <w:iCs/>
          <w:sz w:val="20"/>
          <w:szCs w:val="20"/>
        </w:rPr>
        <w:t>%,</w:t>
      </w:r>
    </w:p>
    <w:p w14:paraId="0C83179A"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Tisa, d. o. o.</w:t>
      </w:r>
      <w:r w:rsidRPr="00C03114">
        <w:rPr>
          <w:iCs/>
          <w:sz w:val="20"/>
          <w:szCs w:val="20"/>
        </w:rPr>
        <w:tab/>
        <w:t>0,00</w:t>
      </w:r>
      <w:r w:rsidRPr="00C03114">
        <w:rPr>
          <w:szCs w:val="24"/>
        </w:rPr>
        <w:t> </w:t>
      </w:r>
      <w:r w:rsidRPr="00C03114">
        <w:rPr>
          <w:iCs/>
          <w:sz w:val="20"/>
          <w:szCs w:val="20"/>
        </w:rPr>
        <w:t>%;</w:t>
      </w:r>
    </w:p>
    <w:p w14:paraId="1C2D2173" w14:textId="77777777" w:rsidR="00265619" w:rsidRPr="00C03114" w:rsidRDefault="00265619" w:rsidP="00265619">
      <w:pPr>
        <w:pStyle w:val="Neotevilenodstavek"/>
        <w:numPr>
          <w:ilvl w:val="0"/>
          <w:numId w:val="15"/>
        </w:numPr>
        <w:spacing w:before="240" w:line="260" w:lineRule="exact"/>
        <w:ind w:left="425" w:hanging="425"/>
        <w:rPr>
          <w:iCs/>
          <w:sz w:val="20"/>
          <w:szCs w:val="20"/>
        </w:rPr>
      </w:pPr>
      <w:r w:rsidRPr="00C03114">
        <w:rPr>
          <w:iCs/>
          <w:sz w:val="20"/>
          <w:szCs w:val="20"/>
        </w:rPr>
        <w:t>za odpadno embalažo iz embalažnega materiala STEKLO:</w:t>
      </w:r>
    </w:p>
    <w:p w14:paraId="0A68FC97"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Dinos, d. o. o.</w:t>
      </w:r>
      <w:r w:rsidRPr="00C03114">
        <w:rPr>
          <w:iCs/>
          <w:sz w:val="20"/>
          <w:szCs w:val="20"/>
        </w:rPr>
        <w:tab/>
      </w:r>
      <w:r>
        <w:rPr>
          <w:iCs/>
          <w:sz w:val="20"/>
          <w:szCs w:val="20"/>
        </w:rPr>
        <w:t>6,58</w:t>
      </w:r>
      <w:r w:rsidRPr="00C03114">
        <w:rPr>
          <w:sz w:val="20"/>
          <w:szCs w:val="20"/>
        </w:rPr>
        <w:t> </w:t>
      </w:r>
      <w:r w:rsidRPr="00C03114">
        <w:rPr>
          <w:iCs/>
          <w:sz w:val="20"/>
          <w:szCs w:val="20"/>
        </w:rPr>
        <w:t>%,</w:t>
      </w:r>
    </w:p>
    <w:p w14:paraId="78AEEF17"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Embakom, d. o. o.</w:t>
      </w:r>
      <w:r w:rsidRPr="00C03114">
        <w:rPr>
          <w:iCs/>
          <w:sz w:val="20"/>
          <w:szCs w:val="20"/>
        </w:rPr>
        <w:tab/>
      </w:r>
      <w:r>
        <w:rPr>
          <w:iCs/>
          <w:sz w:val="20"/>
          <w:szCs w:val="20"/>
        </w:rPr>
        <w:t>5,55</w:t>
      </w:r>
      <w:r w:rsidRPr="00C03114">
        <w:rPr>
          <w:sz w:val="20"/>
          <w:szCs w:val="20"/>
        </w:rPr>
        <w:t> </w:t>
      </w:r>
      <w:r w:rsidRPr="00C03114">
        <w:rPr>
          <w:iCs/>
          <w:sz w:val="20"/>
          <w:szCs w:val="20"/>
        </w:rPr>
        <w:t>%,</w:t>
      </w:r>
    </w:p>
    <w:p w14:paraId="6A173512"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Surovina, d. o. o.</w:t>
      </w:r>
      <w:r w:rsidRPr="00C03114">
        <w:rPr>
          <w:iCs/>
          <w:sz w:val="20"/>
          <w:szCs w:val="20"/>
        </w:rPr>
        <w:tab/>
      </w:r>
      <w:r>
        <w:rPr>
          <w:iCs/>
          <w:sz w:val="20"/>
          <w:szCs w:val="20"/>
        </w:rPr>
        <w:t>10,83</w:t>
      </w:r>
      <w:r w:rsidRPr="00C03114">
        <w:rPr>
          <w:sz w:val="20"/>
          <w:szCs w:val="20"/>
        </w:rPr>
        <w:t> </w:t>
      </w:r>
      <w:r w:rsidRPr="00C03114">
        <w:rPr>
          <w:iCs/>
          <w:sz w:val="20"/>
          <w:szCs w:val="20"/>
        </w:rPr>
        <w:t>%,</w:t>
      </w:r>
    </w:p>
    <w:p w14:paraId="175BED27"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Interzero, d. o. o.</w:t>
      </w:r>
      <w:r w:rsidRPr="00C03114">
        <w:rPr>
          <w:iCs/>
          <w:sz w:val="20"/>
          <w:szCs w:val="20"/>
        </w:rPr>
        <w:tab/>
      </w:r>
      <w:r>
        <w:rPr>
          <w:iCs/>
          <w:sz w:val="20"/>
          <w:szCs w:val="20"/>
        </w:rPr>
        <w:t>5,52</w:t>
      </w:r>
      <w:r w:rsidRPr="00C03114">
        <w:rPr>
          <w:sz w:val="20"/>
          <w:szCs w:val="20"/>
        </w:rPr>
        <w:t> </w:t>
      </w:r>
      <w:r w:rsidRPr="00C03114">
        <w:rPr>
          <w:iCs/>
          <w:sz w:val="20"/>
          <w:szCs w:val="20"/>
        </w:rPr>
        <w:t>%,</w:t>
      </w:r>
    </w:p>
    <w:p w14:paraId="3CA59D14"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lastRenderedPageBreak/>
        <w:t>za družbo Recikel, d. o. o.</w:t>
      </w:r>
      <w:r w:rsidRPr="00C03114">
        <w:rPr>
          <w:iCs/>
          <w:sz w:val="20"/>
          <w:szCs w:val="20"/>
        </w:rPr>
        <w:tab/>
      </w:r>
      <w:r>
        <w:rPr>
          <w:iCs/>
          <w:sz w:val="20"/>
          <w:szCs w:val="20"/>
        </w:rPr>
        <w:t>38,93</w:t>
      </w:r>
      <w:r w:rsidRPr="00C03114">
        <w:rPr>
          <w:sz w:val="20"/>
          <w:szCs w:val="20"/>
        </w:rPr>
        <w:t> </w:t>
      </w:r>
      <w:r w:rsidRPr="00C03114">
        <w:rPr>
          <w:iCs/>
          <w:sz w:val="20"/>
          <w:szCs w:val="20"/>
        </w:rPr>
        <w:t>%,</w:t>
      </w:r>
    </w:p>
    <w:p w14:paraId="3887CCAD"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Slopak, d. o. o.</w:t>
      </w:r>
      <w:r w:rsidRPr="00C03114">
        <w:rPr>
          <w:iCs/>
          <w:sz w:val="20"/>
          <w:szCs w:val="20"/>
        </w:rPr>
        <w:tab/>
      </w:r>
      <w:r>
        <w:rPr>
          <w:iCs/>
          <w:sz w:val="20"/>
          <w:szCs w:val="20"/>
        </w:rPr>
        <w:t>32,59</w:t>
      </w:r>
      <w:r w:rsidRPr="00C03114">
        <w:rPr>
          <w:sz w:val="20"/>
          <w:szCs w:val="20"/>
        </w:rPr>
        <w:t> </w:t>
      </w:r>
      <w:r w:rsidRPr="00C03114">
        <w:rPr>
          <w:iCs/>
          <w:sz w:val="20"/>
          <w:szCs w:val="20"/>
        </w:rPr>
        <w:t>%,</w:t>
      </w:r>
    </w:p>
    <w:p w14:paraId="4CC3DC78"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Tisa, d. o. o.</w:t>
      </w:r>
      <w:r w:rsidRPr="00C03114">
        <w:rPr>
          <w:iCs/>
          <w:sz w:val="20"/>
          <w:szCs w:val="20"/>
        </w:rPr>
        <w:tab/>
        <w:t>0,00</w:t>
      </w:r>
      <w:r w:rsidRPr="00C03114">
        <w:rPr>
          <w:szCs w:val="24"/>
        </w:rPr>
        <w:t> </w:t>
      </w:r>
      <w:r w:rsidRPr="00C03114">
        <w:rPr>
          <w:iCs/>
          <w:sz w:val="20"/>
          <w:szCs w:val="20"/>
        </w:rPr>
        <w:t>%;</w:t>
      </w:r>
    </w:p>
    <w:p w14:paraId="10EDB659" w14:textId="77777777" w:rsidR="00265619" w:rsidRPr="00C03114" w:rsidRDefault="00265619" w:rsidP="00265619">
      <w:pPr>
        <w:pStyle w:val="Neotevilenodstavek"/>
        <w:numPr>
          <w:ilvl w:val="0"/>
          <w:numId w:val="15"/>
        </w:numPr>
        <w:spacing w:before="240" w:line="260" w:lineRule="exact"/>
        <w:ind w:left="425" w:hanging="425"/>
        <w:jc w:val="left"/>
        <w:rPr>
          <w:iCs/>
          <w:sz w:val="20"/>
          <w:szCs w:val="20"/>
        </w:rPr>
      </w:pPr>
      <w:r w:rsidRPr="00C03114">
        <w:rPr>
          <w:iCs/>
          <w:sz w:val="20"/>
          <w:szCs w:val="20"/>
        </w:rPr>
        <w:t>za odpadno embalažo iz embalažnih materialov PLASTIKA IN KOVINE</w:t>
      </w:r>
      <w:r w:rsidRPr="00C03114">
        <w:rPr>
          <w:iCs/>
          <w:sz w:val="20"/>
          <w:szCs w:val="20"/>
        </w:rPr>
        <w:br/>
        <w:t>(mešana embalaža):</w:t>
      </w:r>
    </w:p>
    <w:p w14:paraId="0A792424"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Dinos, d. o. o.</w:t>
      </w:r>
      <w:r w:rsidRPr="00C03114">
        <w:rPr>
          <w:iCs/>
          <w:sz w:val="20"/>
          <w:szCs w:val="20"/>
        </w:rPr>
        <w:tab/>
      </w:r>
      <w:r>
        <w:rPr>
          <w:iCs/>
          <w:sz w:val="20"/>
          <w:szCs w:val="20"/>
        </w:rPr>
        <w:t>14,68</w:t>
      </w:r>
      <w:r w:rsidRPr="00C03114">
        <w:rPr>
          <w:sz w:val="20"/>
          <w:szCs w:val="20"/>
        </w:rPr>
        <w:t> </w:t>
      </w:r>
      <w:r w:rsidRPr="00C03114">
        <w:rPr>
          <w:iCs/>
          <w:sz w:val="20"/>
          <w:szCs w:val="20"/>
        </w:rPr>
        <w:t>%,</w:t>
      </w:r>
    </w:p>
    <w:p w14:paraId="646C2835"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Embakom, d. o. o.</w:t>
      </w:r>
      <w:r w:rsidRPr="00C03114">
        <w:rPr>
          <w:iCs/>
          <w:sz w:val="20"/>
          <w:szCs w:val="20"/>
        </w:rPr>
        <w:tab/>
      </w:r>
      <w:r>
        <w:rPr>
          <w:iCs/>
          <w:sz w:val="20"/>
          <w:szCs w:val="20"/>
        </w:rPr>
        <w:t>2,74</w:t>
      </w:r>
      <w:r w:rsidRPr="00C03114">
        <w:rPr>
          <w:sz w:val="20"/>
          <w:szCs w:val="20"/>
        </w:rPr>
        <w:t> </w:t>
      </w:r>
      <w:r w:rsidRPr="00C03114">
        <w:rPr>
          <w:iCs/>
          <w:sz w:val="20"/>
          <w:szCs w:val="20"/>
        </w:rPr>
        <w:t>%,</w:t>
      </w:r>
    </w:p>
    <w:p w14:paraId="244F5CC3"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Surovina, d. o. o.</w:t>
      </w:r>
      <w:r w:rsidRPr="00C03114">
        <w:rPr>
          <w:iCs/>
          <w:sz w:val="20"/>
          <w:szCs w:val="20"/>
        </w:rPr>
        <w:tab/>
      </w:r>
      <w:r>
        <w:rPr>
          <w:iCs/>
          <w:sz w:val="20"/>
          <w:szCs w:val="20"/>
        </w:rPr>
        <w:t>20,88</w:t>
      </w:r>
      <w:r w:rsidRPr="00C03114">
        <w:rPr>
          <w:sz w:val="20"/>
          <w:szCs w:val="20"/>
        </w:rPr>
        <w:t> </w:t>
      </w:r>
      <w:r w:rsidRPr="00C03114">
        <w:rPr>
          <w:iCs/>
          <w:sz w:val="20"/>
          <w:szCs w:val="20"/>
        </w:rPr>
        <w:t>%,</w:t>
      </w:r>
    </w:p>
    <w:p w14:paraId="13A660B6"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Interzero, d. o. o.</w:t>
      </w:r>
      <w:r w:rsidRPr="00C03114">
        <w:rPr>
          <w:iCs/>
          <w:sz w:val="20"/>
          <w:szCs w:val="20"/>
        </w:rPr>
        <w:tab/>
      </w:r>
      <w:r>
        <w:rPr>
          <w:iCs/>
          <w:sz w:val="20"/>
          <w:szCs w:val="20"/>
        </w:rPr>
        <w:t>8,30</w:t>
      </w:r>
      <w:r w:rsidRPr="00C03114">
        <w:rPr>
          <w:sz w:val="20"/>
          <w:szCs w:val="20"/>
        </w:rPr>
        <w:t> </w:t>
      </w:r>
      <w:r w:rsidRPr="00C03114">
        <w:rPr>
          <w:iCs/>
          <w:sz w:val="20"/>
          <w:szCs w:val="20"/>
        </w:rPr>
        <w:t>%,</w:t>
      </w:r>
    </w:p>
    <w:p w14:paraId="70D8DE9C"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Recikel, d. o. o.</w:t>
      </w:r>
      <w:r w:rsidRPr="00C03114">
        <w:rPr>
          <w:iCs/>
          <w:sz w:val="20"/>
          <w:szCs w:val="20"/>
        </w:rPr>
        <w:tab/>
      </w:r>
      <w:r>
        <w:rPr>
          <w:iCs/>
          <w:sz w:val="20"/>
          <w:szCs w:val="20"/>
        </w:rPr>
        <w:t>28,93</w:t>
      </w:r>
      <w:r w:rsidRPr="00C03114">
        <w:rPr>
          <w:sz w:val="20"/>
          <w:szCs w:val="20"/>
        </w:rPr>
        <w:t> </w:t>
      </w:r>
      <w:r w:rsidRPr="00C03114">
        <w:rPr>
          <w:iCs/>
          <w:sz w:val="20"/>
          <w:szCs w:val="20"/>
        </w:rPr>
        <w:t>%,</w:t>
      </w:r>
    </w:p>
    <w:p w14:paraId="4AE1053A"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Slopak, d. o. o.</w:t>
      </w:r>
      <w:r w:rsidRPr="00C03114">
        <w:rPr>
          <w:iCs/>
          <w:sz w:val="20"/>
          <w:szCs w:val="20"/>
        </w:rPr>
        <w:tab/>
      </w:r>
      <w:r>
        <w:rPr>
          <w:iCs/>
          <w:sz w:val="20"/>
          <w:szCs w:val="20"/>
        </w:rPr>
        <w:t>24,47</w:t>
      </w:r>
      <w:r w:rsidRPr="00C03114">
        <w:rPr>
          <w:sz w:val="20"/>
          <w:szCs w:val="20"/>
        </w:rPr>
        <w:t> </w:t>
      </w:r>
      <w:r w:rsidRPr="00C03114">
        <w:rPr>
          <w:iCs/>
          <w:sz w:val="20"/>
          <w:szCs w:val="20"/>
        </w:rPr>
        <w:t>%,</w:t>
      </w:r>
    </w:p>
    <w:p w14:paraId="359253F8"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Tisa, d. o. o.</w:t>
      </w:r>
      <w:r w:rsidRPr="00C03114">
        <w:rPr>
          <w:iCs/>
          <w:sz w:val="20"/>
          <w:szCs w:val="20"/>
        </w:rPr>
        <w:tab/>
        <w:t>0,00</w:t>
      </w:r>
      <w:r w:rsidRPr="00C03114">
        <w:rPr>
          <w:szCs w:val="24"/>
        </w:rPr>
        <w:t> </w:t>
      </w:r>
      <w:r w:rsidRPr="00C03114">
        <w:rPr>
          <w:iCs/>
          <w:sz w:val="20"/>
          <w:szCs w:val="20"/>
        </w:rPr>
        <w:t>%;</w:t>
      </w:r>
    </w:p>
    <w:p w14:paraId="49AC1906" w14:textId="77777777" w:rsidR="00265619" w:rsidRPr="00C03114" w:rsidRDefault="00265619" w:rsidP="00265619">
      <w:pPr>
        <w:pStyle w:val="Neotevilenodstavek"/>
        <w:numPr>
          <w:ilvl w:val="0"/>
          <w:numId w:val="15"/>
        </w:numPr>
        <w:spacing w:before="240" w:line="260" w:lineRule="exact"/>
        <w:ind w:left="425" w:hanging="425"/>
        <w:rPr>
          <w:iCs/>
          <w:sz w:val="20"/>
          <w:szCs w:val="20"/>
        </w:rPr>
      </w:pPr>
      <w:bookmarkStart w:id="2" w:name="_Hlk90534321"/>
      <w:r w:rsidRPr="00C03114">
        <w:rPr>
          <w:iCs/>
          <w:sz w:val="20"/>
          <w:szCs w:val="20"/>
        </w:rPr>
        <w:t>za odpadno embalažo iz embalažnega materiala LES:</w:t>
      </w:r>
    </w:p>
    <w:p w14:paraId="6A48E367"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Dinos, d. o. o.</w:t>
      </w:r>
      <w:r w:rsidRPr="00C03114">
        <w:rPr>
          <w:iCs/>
          <w:sz w:val="20"/>
          <w:szCs w:val="20"/>
        </w:rPr>
        <w:tab/>
      </w:r>
      <w:r>
        <w:rPr>
          <w:iCs/>
          <w:sz w:val="20"/>
          <w:szCs w:val="20"/>
        </w:rPr>
        <w:t>32,54</w:t>
      </w:r>
      <w:r w:rsidRPr="00C03114">
        <w:rPr>
          <w:sz w:val="20"/>
          <w:szCs w:val="20"/>
        </w:rPr>
        <w:t> </w:t>
      </w:r>
      <w:r w:rsidRPr="00C03114">
        <w:rPr>
          <w:iCs/>
          <w:sz w:val="20"/>
          <w:szCs w:val="20"/>
        </w:rPr>
        <w:t>%,</w:t>
      </w:r>
    </w:p>
    <w:p w14:paraId="0948D9A9"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Embakom, d. o. o.</w:t>
      </w:r>
      <w:r w:rsidRPr="00C03114">
        <w:rPr>
          <w:iCs/>
          <w:sz w:val="20"/>
          <w:szCs w:val="20"/>
        </w:rPr>
        <w:tab/>
      </w:r>
      <w:r>
        <w:rPr>
          <w:iCs/>
          <w:sz w:val="20"/>
          <w:szCs w:val="20"/>
        </w:rPr>
        <w:t>7,90</w:t>
      </w:r>
      <w:r w:rsidRPr="00C03114">
        <w:rPr>
          <w:sz w:val="20"/>
          <w:szCs w:val="20"/>
        </w:rPr>
        <w:t> </w:t>
      </w:r>
      <w:r w:rsidRPr="00C03114">
        <w:rPr>
          <w:iCs/>
          <w:sz w:val="20"/>
          <w:szCs w:val="20"/>
        </w:rPr>
        <w:t>%,</w:t>
      </w:r>
    </w:p>
    <w:p w14:paraId="4AD2E9CE"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Surovina, d. o. o.</w:t>
      </w:r>
      <w:r w:rsidRPr="00C03114">
        <w:rPr>
          <w:iCs/>
          <w:sz w:val="20"/>
          <w:szCs w:val="20"/>
        </w:rPr>
        <w:tab/>
      </w:r>
      <w:r>
        <w:rPr>
          <w:iCs/>
          <w:sz w:val="20"/>
          <w:szCs w:val="20"/>
        </w:rPr>
        <w:t>18,13</w:t>
      </w:r>
      <w:r w:rsidRPr="00C03114">
        <w:rPr>
          <w:sz w:val="20"/>
          <w:szCs w:val="20"/>
        </w:rPr>
        <w:t> </w:t>
      </w:r>
      <w:r w:rsidRPr="00C03114">
        <w:rPr>
          <w:iCs/>
          <w:sz w:val="20"/>
          <w:szCs w:val="20"/>
        </w:rPr>
        <w:t>%,</w:t>
      </w:r>
    </w:p>
    <w:p w14:paraId="186073A2"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Interzero, d. o. o.</w:t>
      </w:r>
      <w:r w:rsidRPr="00C03114">
        <w:rPr>
          <w:iCs/>
          <w:sz w:val="20"/>
          <w:szCs w:val="20"/>
        </w:rPr>
        <w:tab/>
      </w:r>
      <w:r>
        <w:rPr>
          <w:iCs/>
          <w:sz w:val="20"/>
          <w:szCs w:val="20"/>
        </w:rPr>
        <w:t>9,34</w:t>
      </w:r>
      <w:r w:rsidRPr="00C03114">
        <w:rPr>
          <w:sz w:val="20"/>
          <w:szCs w:val="20"/>
        </w:rPr>
        <w:t> </w:t>
      </w:r>
      <w:r w:rsidRPr="00C03114">
        <w:rPr>
          <w:iCs/>
          <w:sz w:val="20"/>
          <w:szCs w:val="20"/>
        </w:rPr>
        <w:t>%,</w:t>
      </w:r>
    </w:p>
    <w:p w14:paraId="4740C1A0"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Recikel, d. o. o.</w:t>
      </w:r>
      <w:r w:rsidRPr="00C03114">
        <w:rPr>
          <w:iCs/>
          <w:sz w:val="20"/>
          <w:szCs w:val="20"/>
        </w:rPr>
        <w:tab/>
      </w:r>
      <w:r>
        <w:rPr>
          <w:iCs/>
          <w:sz w:val="20"/>
          <w:szCs w:val="20"/>
        </w:rPr>
        <w:t>15,95</w:t>
      </w:r>
      <w:r w:rsidRPr="00C03114">
        <w:rPr>
          <w:sz w:val="20"/>
          <w:szCs w:val="20"/>
        </w:rPr>
        <w:t> </w:t>
      </w:r>
      <w:r w:rsidRPr="00C03114">
        <w:rPr>
          <w:iCs/>
          <w:sz w:val="20"/>
          <w:szCs w:val="20"/>
        </w:rPr>
        <w:t>%,</w:t>
      </w:r>
    </w:p>
    <w:p w14:paraId="1A5104AC" w14:textId="77777777" w:rsidR="00265619" w:rsidRPr="00C03114" w:rsidRDefault="00265619" w:rsidP="00265619">
      <w:pPr>
        <w:pStyle w:val="Neotevilenodstavek"/>
        <w:numPr>
          <w:ilvl w:val="0"/>
          <w:numId w:val="16"/>
        </w:numPr>
        <w:tabs>
          <w:tab w:val="right" w:pos="4536"/>
          <w:tab w:val="left" w:pos="4678"/>
        </w:tabs>
        <w:spacing w:line="240" w:lineRule="auto"/>
        <w:rPr>
          <w:rFonts w:cs="Arial"/>
          <w:b/>
          <w:bCs/>
          <w:szCs w:val="20"/>
        </w:rPr>
      </w:pPr>
      <w:r w:rsidRPr="00C03114">
        <w:rPr>
          <w:iCs/>
          <w:sz w:val="20"/>
          <w:szCs w:val="20"/>
        </w:rPr>
        <w:t>za družbo Slopak, d. o. o.</w:t>
      </w:r>
      <w:r w:rsidRPr="00C03114">
        <w:rPr>
          <w:iCs/>
          <w:sz w:val="20"/>
          <w:szCs w:val="20"/>
        </w:rPr>
        <w:tab/>
      </w:r>
      <w:r>
        <w:rPr>
          <w:iCs/>
          <w:sz w:val="20"/>
          <w:szCs w:val="20"/>
        </w:rPr>
        <w:t>16,14</w:t>
      </w:r>
      <w:r w:rsidRPr="00C03114">
        <w:rPr>
          <w:sz w:val="20"/>
          <w:szCs w:val="20"/>
        </w:rPr>
        <w:t> </w:t>
      </w:r>
      <w:r w:rsidRPr="00C03114">
        <w:rPr>
          <w:iCs/>
          <w:sz w:val="20"/>
          <w:szCs w:val="20"/>
        </w:rPr>
        <w:t>%,</w:t>
      </w:r>
      <w:bookmarkEnd w:id="2"/>
    </w:p>
    <w:p w14:paraId="312D0364" w14:textId="77777777" w:rsidR="00265619" w:rsidRPr="00C03114" w:rsidRDefault="00265619" w:rsidP="00265619">
      <w:pPr>
        <w:pStyle w:val="Neotevilenodstavek"/>
        <w:numPr>
          <w:ilvl w:val="0"/>
          <w:numId w:val="16"/>
        </w:numPr>
        <w:tabs>
          <w:tab w:val="right" w:pos="4536"/>
          <w:tab w:val="left" w:pos="4678"/>
        </w:tabs>
        <w:spacing w:line="260" w:lineRule="exact"/>
        <w:rPr>
          <w:iCs/>
          <w:sz w:val="20"/>
          <w:szCs w:val="20"/>
        </w:rPr>
      </w:pPr>
      <w:r w:rsidRPr="00C03114">
        <w:rPr>
          <w:iCs/>
          <w:sz w:val="20"/>
          <w:szCs w:val="20"/>
        </w:rPr>
        <w:t>za družbo Tisa, d. o. o.</w:t>
      </w:r>
      <w:r w:rsidRPr="00C03114">
        <w:rPr>
          <w:iCs/>
          <w:sz w:val="20"/>
          <w:szCs w:val="20"/>
        </w:rPr>
        <w:tab/>
        <w:t>0,00</w:t>
      </w:r>
      <w:r w:rsidRPr="00C03114">
        <w:rPr>
          <w:szCs w:val="24"/>
        </w:rPr>
        <w:t> </w:t>
      </w:r>
      <w:r w:rsidRPr="00C03114">
        <w:rPr>
          <w:iCs/>
          <w:sz w:val="20"/>
          <w:szCs w:val="20"/>
        </w:rPr>
        <w:t>%.</w:t>
      </w:r>
    </w:p>
    <w:p w14:paraId="26E7E30E" w14:textId="77777777" w:rsidR="00265619" w:rsidRPr="009907AE" w:rsidRDefault="00265619" w:rsidP="00265619"/>
    <w:p w14:paraId="28FE4DC1" w14:textId="77777777" w:rsidR="00265619" w:rsidRDefault="00265619" w:rsidP="00265619">
      <w:pPr>
        <w:pStyle w:val="Vir"/>
      </w:pPr>
      <w:r>
        <w:t>Vir: Ministrstvo za okolje, podnebje in energijo</w:t>
      </w:r>
    </w:p>
    <w:p w14:paraId="59146634" w14:textId="79B8CE08" w:rsidR="00BC6385" w:rsidRDefault="00BC6385" w:rsidP="00BC6385">
      <w:pPr>
        <w:pStyle w:val="Naslov2"/>
      </w:pPr>
      <w:r>
        <w:t>Pripojitev javnega raziskovalnega zavoda Znanstveno in inovacijsko središče Pomurje k javnemu raziskovalnemu zavodu Institut »Jožef Stefan«</w:t>
      </w:r>
    </w:p>
    <w:p w14:paraId="7EA1B5F3" w14:textId="65E792CC" w:rsidR="00BC6385" w:rsidRDefault="00BC6385" w:rsidP="00BC6385">
      <w:r>
        <w:t>Vlada Republike Slovenije je sprejela sklep o pripojitvi javnega raziskovalnega zavoda Znanstveno in inovacijsko središče Pomurje k javnemu raziskovalnemu zavodu Institut »Jožef Stefan«. Prav tako je sprejela Sklep o ustanovitvi javnega raziskovalnega zavoda Institut »Jožef Stefan« in ga bo objavila v Uradnem listu Republike Slovenije.</w:t>
      </w:r>
    </w:p>
    <w:p w14:paraId="1CCE1C0C" w14:textId="77777777" w:rsidR="00BC6385" w:rsidRDefault="00BC6385" w:rsidP="00BC6385"/>
    <w:p w14:paraId="2A16BA13" w14:textId="77777777" w:rsidR="00BC6385" w:rsidRDefault="00BC6385" w:rsidP="00BC6385">
      <w:r>
        <w:t>S sklepom o pripojitvi je Vlada Republike Slovenije določila način pripojitve in naloge direktorja Instituta »Jožef Stefan« v postopku pripojitve. S pripojitvijo Institut »Jožef Stefan« postane univerzalni pravni naslednik javnega raziskovalnega zavoda Znanstveno in inovacijsko središče Pomurje. Zaradi pripojitve bo prenehal mandat direktorju javnega raziskovalnega zavoda Znanstveno in inovacijsko središče Pomurje, o čemer bo vlada odločila s posebnim ugotovitvenim sklepom. Pripojitev se izvede z 31. decembrom 2025. V sklepu o pripojitvi se določi tudi financiranje stroškov pripojitve.</w:t>
      </w:r>
    </w:p>
    <w:p w14:paraId="44ED29D8" w14:textId="77777777" w:rsidR="00BC6385" w:rsidRDefault="00BC6385" w:rsidP="00BC6385"/>
    <w:p w14:paraId="596B0D1F" w14:textId="69C88542" w:rsidR="00BC6385" w:rsidRDefault="00BC6385" w:rsidP="00BC6385">
      <w:r>
        <w:t xml:space="preserve">S sklepom o ustanovitvi javnega raziskovalnega zavoda Institut »Jožef Stefan« se uredi pripojitev Znanstvenega in inovacijskega središča Pomurje k Institutu »Jožef Stefan«, določi dodatna sredstva za stabilno financiranje znanstvenoraziskovalne dejavnosti Instituta »Jožef Stefan« zaradi pripojitve in financiranje drugih stroškov pripojitve. Hkrati se sklep o ustanovitvi uskladi s spremembami Zakona o znanstvenoraziskovalni in inovacijski in drugimi predpisi. Institut »Jožef Stefan« na podlagi tega sklepa nadaljuje </w:t>
      </w:r>
      <w:proofErr w:type="gramStart"/>
      <w:r>
        <w:t>s svojim delom</w:t>
      </w:r>
      <w:proofErr w:type="gramEnd"/>
      <w:r>
        <w:t>.</w:t>
      </w:r>
    </w:p>
    <w:p w14:paraId="7AE34D4D" w14:textId="77777777" w:rsidR="00BC6385" w:rsidRDefault="00BC6385" w:rsidP="00BC6385"/>
    <w:p w14:paraId="7D198A84" w14:textId="77777777" w:rsidR="00BC6385" w:rsidRDefault="00BC6385" w:rsidP="00BC6385"/>
    <w:p w14:paraId="477BC917" w14:textId="57E3DA6B" w:rsidR="00F17053" w:rsidRDefault="00BC6385" w:rsidP="00BC6385">
      <w:pPr>
        <w:pStyle w:val="Vir"/>
      </w:pPr>
      <w:r>
        <w:lastRenderedPageBreak/>
        <w:t>Vir: Ministrstvo za visoko šolstvo, znanost in inovacije</w:t>
      </w:r>
    </w:p>
    <w:p w14:paraId="6DE86A07" w14:textId="2812234F" w:rsidR="00264944" w:rsidRDefault="00264944" w:rsidP="00264944">
      <w:pPr>
        <w:pStyle w:val="Naslov2"/>
      </w:pPr>
      <w:r>
        <w:t>Odločba vlade o koncesiji za prirejanje iger na srečo</w:t>
      </w:r>
    </w:p>
    <w:p w14:paraId="77DDFFC6" w14:textId="77777777" w:rsidR="00264944" w:rsidRDefault="00264944" w:rsidP="00264944">
      <w:r>
        <w:t>Vlada je izdala odločbo o podaljšanju koncesije za prirejanje iger na srečo gospodarski družbi Admiral Nova Gorica.</w:t>
      </w:r>
    </w:p>
    <w:p w14:paraId="1AAA579A" w14:textId="77777777" w:rsidR="00264944" w:rsidRDefault="00264944" w:rsidP="00264944"/>
    <w:p w14:paraId="13EF6E6A" w14:textId="77777777" w:rsidR="00264944" w:rsidRDefault="00264944" w:rsidP="00264944">
      <w:r>
        <w:t xml:space="preserve">Gospodarski družbi Admiral Nova Gorica se koncesija za prirejanje posebnih iger na srečo v igralnem salonu </w:t>
      </w:r>
      <w:proofErr w:type="gramStart"/>
      <w:r>
        <w:t>Casino</w:t>
      </w:r>
      <w:proofErr w:type="gramEnd"/>
      <w:r>
        <w:t xml:space="preserve"> Admiral, Nova Gorica podaljša do 20. marca 2031. </w:t>
      </w:r>
    </w:p>
    <w:p w14:paraId="55C3DE00" w14:textId="636B8636" w:rsidR="00F17053" w:rsidRDefault="00264944" w:rsidP="00264944">
      <w:pPr>
        <w:pStyle w:val="Vir"/>
      </w:pPr>
      <w:r>
        <w:t>Vir: Ministrstvo za finance</w:t>
      </w:r>
    </w:p>
    <w:p w14:paraId="0B4ADFC4" w14:textId="1C22E314" w:rsidR="00A65B48" w:rsidRDefault="00A65B48" w:rsidP="00A65B48">
      <w:pPr>
        <w:pStyle w:val="Naslov2"/>
      </w:pPr>
      <w:r>
        <w:t>Vlada potrdila Strategijo in akcijski načrt za zagotavljanje največje otrokove koristi v civilnih sodnih postopkih</w:t>
      </w:r>
    </w:p>
    <w:p w14:paraId="3E539CB3" w14:textId="77777777" w:rsidR="00A65B48" w:rsidRDefault="00A65B48" w:rsidP="00A65B48">
      <w:r>
        <w:t xml:space="preserve">Vlada Republike Slovenije je na današnji se </w:t>
      </w:r>
      <w:proofErr w:type="gramStart"/>
      <w:r>
        <w:t>je</w:t>
      </w:r>
      <w:proofErr w:type="gramEnd"/>
      <w:r>
        <w:t xml:space="preserve"> na današnji seji seznanila s Strategijo in akcijskim načrtom za zagotavljanje največje otrokove koristi v civilnih sodnih postopkih. Izvajanje strategije in akcijskega načrta spremlja in usklajuje Ministrstvo za pravosodje.</w:t>
      </w:r>
    </w:p>
    <w:p w14:paraId="28AF66BB" w14:textId="77777777" w:rsidR="00A65B48" w:rsidRDefault="00A65B48" w:rsidP="00A65B48"/>
    <w:p w14:paraId="6C04D665" w14:textId="77777777" w:rsidR="00A65B48" w:rsidRDefault="00A65B48" w:rsidP="00A65B48">
      <w:r>
        <w:t xml:space="preserve">Z namenom nadaljnjega razvoja področja in vzdrževanja vloge ene od vodilnih držav v Evropi Ministrstvo za pravosodje sodeluje v projektu "Zagotavljanje največje koristi otrok v civilnih sodnih postopkih", ki ga izvaja Oddelek za otrokove pravice Sveta Evrope v sodelovanju z Generalnim direktoratom Evropske komisije za podporo strukturnim reformam (EC/DG REFORM) od 1. septembra 2023 do 30. </w:t>
      </w:r>
      <w:proofErr w:type="gramStart"/>
      <w:r>
        <w:t xml:space="preserve">junija  </w:t>
      </w:r>
      <w:proofErr w:type="gramEnd"/>
      <w:r>
        <w:t>2026. Namen skupnega projekta je izboljšati varstvo otrokovih pravic v civilnih sodnih postopkih v Sloveniji, z upoštevanjem največje koristi otroka. Izvajanje projekta prispeva k reformi, ki poteka v Sloveniji na področju spoštovanja otrokovih pravic, in k temu, da Slovenija postane ena prvih držav, ki bo širila odličnost sistemov otrokom prijaznega pravosodja v vseh državah članicah Evropske unije.</w:t>
      </w:r>
    </w:p>
    <w:p w14:paraId="10A1BEF4" w14:textId="77777777" w:rsidR="00A65B48" w:rsidRDefault="00A65B48" w:rsidP="00A65B48"/>
    <w:p w14:paraId="28275D99" w14:textId="77777777" w:rsidR="00A65B48" w:rsidRDefault="00A65B48" w:rsidP="00A65B48">
      <w:r>
        <w:t>Strategija predstavlja temeljni dokument, ki povzema ključne ugotovitve projekta in potrebne korake za odpravo ugotovljenih vrzeli in potreb na posameznih tematskih področjih. Vsebuje ključna priporočila, oblikovana v okviru projekta, kot so nujnost vlaganja v sistemske metode in postopke za ugotavljanje največje koristi otroka, spodbujanje specializacije strokovnjakov, institucionalizacija multidisciplinarnega pristopa in krepitev strokovnih mrež, opolnomočenje otrok (tudi prek ureditve njihovega zastopanja) in staršev, uporaba digitalnih platform za izboljšanje dostopa do informacij ter ozaveščanje udeležencev postopkov.</w:t>
      </w:r>
    </w:p>
    <w:p w14:paraId="093E90F3" w14:textId="77777777" w:rsidR="00A65B48" w:rsidRDefault="00A65B48" w:rsidP="00A65B48"/>
    <w:p w14:paraId="404B7000" w14:textId="77777777" w:rsidR="00A65B48" w:rsidRDefault="00A65B48" w:rsidP="00A65B48">
      <w:r>
        <w:t xml:space="preserve">Temu sledi akcijski načrt, ki tudi jasno opredeljuje odgovorne organe za njihovo izvedbo, časovni okvir izvedbe posameznega ukrepa ter kazalnike za spremljanje in vrednotenje posameznega ukrepa in njegove izvedbe. Izvajanje akcijskega načrta bo spremljala medresorska delovna skupina. </w:t>
      </w:r>
    </w:p>
    <w:p w14:paraId="291492E8" w14:textId="77777777" w:rsidR="00A65B48" w:rsidRDefault="00A65B48" w:rsidP="00A65B48"/>
    <w:p w14:paraId="15549F22" w14:textId="77777777" w:rsidR="00A65B48" w:rsidRDefault="00A65B48" w:rsidP="00A65B48">
      <w:r>
        <w:t>Ministrstvo za pravosodje bo o delu medresorske delovne skupine, ki usklajuje in spremlja izvajanje ukrepov akcijskega načrta, enkrat letno poročalo vladi.</w:t>
      </w:r>
    </w:p>
    <w:p w14:paraId="6A7DEF9F" w14:textId="6A698E73" w:rsidR="00F17053" w:rsidRDefault="00A65B48" w:rsidP="00A65B48">
      <w:pPr>
        <w:pStyle w:val="Vir"/>
      </w:pPr>
      <w:r>
        <w:t>Vir: Ministrstvo za pravosodje</w:t>
      </w:r>
    </w:p>
    <w:p w14:paraId="06B442ED" w14:textId="00CE90B9" w:rsidR="00461943" w:rsidRDefault="00461943" w:rsidP="00461943">
      <w:pPr>
        <w:pStyle w:val="Naslov2"/>
      </w:pPr>
      <w:r>
        <w:t>Določitev predmetov skupnih javnih naročil za leto 2026</w:t>
      </w:r>
    </w:p>
    <w:p w14:paraId="5342BDBE" w14:textId="77777777" w:rsidR="00D1494B" w:rsidRDefault="00D1494B" w:rsidP="00D1494B">
      <w:r>
        <w:t>Vlada Republike Slovenije je določila predmete skupnih javnih naročil za leto 2026, in sicer:</w:t>
      </w:r>
    </w:p>
    <w:p w14:paraId="4276041B" w14:textId="77777777" w:rsidR="00D1494B" w:rsidRDefault="00D1494B" w:rsidP="00D1494B"/>
    <w:p w14:paraId="448850BB" w14:textId="4E264EF9" w:rsidR="00D1494B" w:rsidRDefault="00D1494B" w:rsidP="00D1494B">
      <w:pPr>
        <w:pStyle w:val="Odstavekseznama"/>
        <w:numPr>
          <w:ilvl w:val="0"/>
          <w:numId w:val="14"/>
        </w:numPr>
      </w:pPr>
      <w:r>
        <w:t xml:space="preserve">Nakup </w:t>
      </w:r>
      <w:proofErr w:type="gramStart"/>
      <w:r>
        <w:t>okoljsko</w:t>
      </w:r>
      <w:proofErr w:type="gramEnd"/>
      <w:r>
        <w:t xml:space="preserve"> manj obremenjujočih novih motornih in električnih vozil, razen vozil za posebne namene</w:t>
      </w:r>
    </w:p>
    <w:p w14:paraId="3C8DF65E" w14:textId="082B58B5" w:rsidR="00D1494B" w:rsidRDefault="00D1494B" w:rsidP="00D1494B">
      <w:pPr>
        <w:pStyle w:val="Odstavekseznama"/>
        <w:numPr>
          <w:ilvl w:val="0"/>
          <w:numId w:val="14"/>
        </w:numPr>
      </w:pPr>
      <w:r>
        <w:lastRenderedPageBreak/>
        <w:t>Nakup goriva ter določenih izdelkov za nego in vzdrževanje vozil in osnovnih nadomestnih delov na bencinskih servisih dobaviteljev</w:t>
      </w:r>
    </w:p>
    <w:p w14:paraId="2D314539" w14:textId="23D1CCBD" w:rsidR="00D1494B" w:rsidRDefault="00D1494B" w:rsidP="00D1494B">
      <w:pPr>
        <w:pStyle w:val="Odstavekseznama"/>
        <w:numPr>
          <w:ilvl w:val="0"/>
          <w:numId w:val="14"/>
        </w:numPr>
      </w:pPr>
      <w:r>
        <w:t xml:space="preserve">Dobava </w:t>
      </w:r>
      <w:proofErr w:type="gramStart"/>
      <w:r>
        <w:t>ekstra</w:t>
      </w:r>
      <w:proofErr w:type="gramEnd"/>
      <w:r>
        <w:t xml:space="preserve"> lahkega kurilnega olja</w:t>
      </w:r>
    </w:p>
    <w:p w14:paraId="563963B6" w14:textId="243E5A6E" w:rsidR="00D1494B" w:rsidRDefault="00D1494B" w:rsidP="00D1494B">
      <w:pPr>
        <w:pStyle w:val="Odstavekseznama"/>
        <w:numPr>
          <w:ilvl w:val="0"/>
          <w:numId w:val="14"/>
        </w:numPr>
      </w:pPr>
      <w:r>
        <w:t xml:space="preserve">Izvajanje </w:t>
      </w:r>
      <w:proofErr w:type="gramStart"/>
      <w:r>
        <w:t>okoljsko</w:t>
      </w:r>
      <w:proofErr w:type="gramEnd"/>
      <w:r>
        <w:t xml:space="preserve"> manj obremenjujočih poštnih storitev </w:t>
      </w:r>
    </w:p>
    <w:p w14:paraId="72B32C4F" w14:textId="65A9C040" w:rsidR="00D1494B" w:rsidRDefault="00D1494B" w:rsidP="00D1494B">
      <w:pPr>
        <w:pStyle w:val="Odstavekseznama"/>
        <w:numPr>
          <w:ilvl w:val="0"/>
          <w:numId w:val="14"/>
        </w:numPr>
      </w:pPr>
      <w:r>
        <w:t>Nakup in dobava energetsko učinkovitih tiskalnikov, večnamenskih naprav in optičnih čitalnikov</w:t>
      </w:r>
    </w:p>
    <w:p w14:paraId="5EB7C1D1" w14:textId="51BB1847" w:rsidR="00D1494B" w:rsidRDefault="00D1494B" w:rsidP="00D1494B">
      <w:pPr>
        <w:pStyle w:val="Odstavekseznama"/>
        <w:numPr>
          <w:ilvl w:val="0"/>
          <w:numId w:val="14"/>
        </w:numPr>
      </w:pPr>
      <w:r>
        <w:t xml:space="preserve">Nakup in dobava okoljsko manj obremenjujočega papirja za tiskanje in </w:t>
      </w:r>
      <w:proofErr w:type="gramStart"/>
      <w:r>
        <w:t>kopiranje</w:t>
      </w:r>
      <w:proofErr w:type="gramEnd"/>
      <w:r>
        <w:t xml:space="preserve"> formata A4/A3</w:t>
      </w:r>
    </w:p>
    <w:p w14:paraId="4A935727" w14:textId="146B1B99" w:rsidR="00D1494B" w:rsidRDefault="00D1494B" w:rsidP="00D1494B">
      <w:pPr>
        <w:pStyle w:val="Odstavekseznama"/>
        <w:numPr>
          <w:ilvl w:val="0"/>
          <w:numId w:val="14"/>
        </w:numPr>
      </w:pPr>
      <w:r>
        <w:t>Izvajanje protokolarnih fotografskih storitev v Republiki Sloveniji in tujini</w:t>
      </w:r>
    </w:p>
    <w:p w14:paraId="1183400C" w14:textId="77777777" w:rsidR="00D1494B" w:rsidRDefault="00D1494B" w:rsidP="00D1494B"/>
    <w:p w14:paraId="733CCDC5" w14:textId="77777777" w:rsidR="00D1494B" w:rsidRDefault="00D1494B" w:rsidP="00D1494B">
      <w:r>
        <w:t xml:space="preserve">Gre za javna naročila, ki so se vsa že izvajala kot skupna javna naročila po sklepu Vlade Republike Slovenije oziroma kot skupno javno naročilo po pooblastilu. Veljavne krovne pogodbe oziroma krovni okvirni sporazumi ter vzpostavljeni dinamični nabavni sistemi prenehajo veljati v letu 2026 ali v začetku leta 2027, zato je za ta naročila treba izvesti nove postopke oddaje javnih naročil. </w:t>
      </w:r>
    </w:p>
    <w:p w14:paraId="7EAEEE5B" w14:textId="77777777" w:rsidR="00D1494B" w:rsidRDefault="00D1494B" w:rsidP="00D1494B"/>
    <w:p w14:paraId="17FB1990" w14:textId="77777777" w:rsidR="00D1494B" w:rsidRDefault="00D1494B" w:rsidP="00D1494B">
      <w:r>
        <w:t xml:space="preserve">Določeni so predmeti javnega naročila, obdobje skupnega javnega naročila, okvirni časovni načrt in vrsta postopka oddaje javnega naročila. Zavezanci za našteta skupna javna naročila so ministrstva, organi v njihovi sestavi, vladne službe in upravne enote. Vsako leto pa se izkazuje tudi vedno večji interes za pristop k skupnim javnim naročilom tistih naročnikov, ki k skupnemu javnemu naročanju niso zavezani. Finančna sredstva za izvedbo navedenih skupnih javnih naročil se zagotovijo v finančnih načrtih posameznih proračunskih uporabnikov. </w:t>
      </w:r>
    </w:p>
    <w:p w14:paraId="17107092" w14:textId="77777777" w:rsidR="00D1494B" w:rsidRDefault="00D1494B" w:rsidP="00D1494B"/>
    <w:p w14:paraId="76FC0CA1" w14:textId="6CBB60E9" w:rsidR="00D1494B" w:rsidRDefault="00D1494B" w:rsidP="00D1494B">
      <w:r>
        <w:t>Izkušnje kažejo, da je oddaja navedenih naročil kot skupnih javnih naročil smiselna tudi v prihodnje, saj to pomeni posredne in neposredne prihranke oziroma bolj smotrno porabo proračunskih sredstev. Višina prihrankov je odvisna od obsega naročil (ki se ne izvajajo le za zavezance), predmetov naročil in tudi tržnih razmer v posameznem letu. Pri tem gre za neposredne prihranke, posredni prihranki pa se kažejo v tem, da postopek oddaje javnega naročila izvaja en naročnik, ki ima v primerjavi z manjšimi naročniki več izkušenj z izvajanjem postopkov oddaje javnih naročil. Postopki oddaje skupnih javnih naročil se izvajajo tudi tako, da se razdelijo na posamezna območja, področja ali sklope, s čimer se ohranja in spodbuja konkurenca na trgu, kjer je to smiselno glede na dejanske okoliščine na trgu. Pri nekaterih predmetih skupnih javnih naročil je pomemben del izvajanja skupnega javnega naročanja tudi poenotenje opreme ali izvajanja storitev v državni upravi.</w:t>
      </w:r>
    </w:p>
    <w:p w14:paraId="527DCE56" w14:textId="7CD26578" w:rsidR="00F17053" w:rsidRDefault="00461943" w:rsidP="00461943">
      <w:pPr>
        <w:pStyle w:val="Vir"/>
      </w:pPr>
      <w:r>
        <w:t>Vir: Ministrstvo za javno upravo</w:t>
      </w:r>
    </w:p>
    <w:p w14:paraId="34D69ED9" w14:textId="2E2193D8" w:rsidR="00556500" w:rsidRDefault="00556500" w:rsidP="00556500">
      <w:pPr>
        <w:pStyle w:val="Naslov2"/>
      </w:pPr>
      <w:r>
        <w:t xml:space="preserve">Vlada odgovorila na priporočila Varuha človekovih pravic Republike Slovenije na področju boja proti osamljenosti med starejšimi </w:t>
      </w:r>
    </w:p>
    <w:p w14:paraId="0608DFD1" w14:textId="77777777" w:rsidR="00556500" w:rsidRDefault="00556500" w:rsidP="00556500">
      <w:r>
        <w:t>Vlada Republike Slovenije je na današnji seji obravnavala priporočila Varuha človekovih pravic na področju boja proti osamljenosti med starejšimi in ponovno poudarila, da je preprečevanje osamljenosti starejših pomemben del javnozdravstvenih in socialnih politik. Na tem področju se že izvajajo številni ukrepi v okviru obstoječih nacionalnih strategij in programov.</w:t>
      </w:r>
    </w:p>
    <w:p w14:paraId="1D7F148B" w14:textId="77777777" w:rsidR="00556500" w:rsidRDefault="00556500" w:rsidP="00556500"/>
    <w:p w14:paraId="2F43D424" w14:textId="77777777" w:rsidR="00556500" w:rsidRDefault="00556500" w:rsidP="00556500">
      <w:r>
        <w:t xml:space="preserve">Ministrstvo za zdravje skupaj z drugimi resorji v različnih strateških dokumentih že naslavlja preprečevanje osamljenosti prek </w:t>
      </w:r>
      <w:proofErr w:type="gramStart"/>
      <w:r>
        <w:t>aktivnosti</w:t>
      </w:r>
      <w:proofErr w:type="gramEnd"/>
      <w:r>
        <w:t xml:space="preserve"> za krepitev duševnega zdravja, spodbujanja vključevanja v skupnost, izobraževanja, kulture, digitalne pismenosti in dolgotrajne oskrbe (npr.: Akcijski načrt za obdobje 2025-2028 za izvajanje Resolucije o nacionalnem programu duševnega zdravja 2018-2028, Resolucija o nacionalnem programu socialnega varstva za obdobje 2022–2030). </w:t>
      </w:r>
    </w:p>
    <w:p w14:paraId="582E3308" w14:textId="77777777" w:rsidR="00556500" w:rsidRDefault="00556500" w:rsidP="00556500"/>
    <w:p w14:paraId="7F689E75" w14:textId="77777777" w:rsidR="00556500" w:rsidRDefault="00556500" w:rsidP="00556500">
      <w:r>
        <w:t xml:space="preserve">Podatki mednarodne raziskave o zdravju, procesu staranja in upokojevanju v Evropi (SHARE), ki se izvaja od leta 2004, kažejo, da se Slovenija pri obvladovanju osamljenosti starejših uvršča med države, ki imajo na tem področju manj izzivov kot večina držav članic. </w:t>
      </w:r>
    </w:p>
    <w:p w14:paraId="6B93E590" w14:textId="77777777" w:rsidR="00556500" w:rsidRDefault="00556500" w:rsidP="00556500"/>
    <w:p w14:paraId="23DAB748" w14:textId="77777777" w:rsidR="00556500" w:rsidRDefault="00556500" w:rsidP="00556500">
      <w:r>
        <w:lastRenderedPageBreak/>
        <w:t>Redno se spremljajo podatki o življenju starejših, država pa podpira tudi inovativne pristope, kot so socialno predpisovanje in pilotni projekti povezovanja zdravstva in kulture. Pomemben del ukrepov predstavlja tudi okrepljeno terensko delo ter razvoj novih pristopov v okviru socialnega varstva.</w:t>
      </w:r>
    </w:p>
    <w:p w14:paraId="18B60346" w14:textId="77777777" w:rsidR="00556500" w:rsidRDefault="00556500" w:rsidP="00556500"/>
    <w:p w14:paraId="19A85E29" w14:textId="77777777" w:rsidR="00556500" w:rsidRDefault="00556500" w:rsidP="00556500">
      <w:r>
        <w:t xml:space="preserve">Vlada Republike Slovenije financira programe nevladnih organizacij, ki izvajajo družabništvo, prostovoljstvo, pomoč na domu ter različne oblike medgeneracijskega povezovanja. Večgeneracijski centri po vsej državi pomembno prispevajo k preprečevanju osamljenosti z delavnicami, skupinami za samopomoč, digitalnim opismenjevanjem in prostori za </w:t>
      </w:r>
      <w:proofErr w:type="gramStart"/>
      <w:r>
        <w:t>neformalno</w:t>
      </w:r>
      <w:proofErr w:type="gramEnd"/>
      <w:r>
        <w:t xml:space="preserve"> druženje.</w:t>
      </w:r>
    </w:p>
    <w:p w14:paraId="6B311A8A" w14:textId="77777777" w:rsidR="00556500" w:rsidRDefault="00556500" w:rsidP="00556500"/>
    <w:p w14:paraId="55D4238E" w14:textId="77777777" w:rsidR="00556500" w:rsidRDefault="00556500" w:rsidP="00556500">
      <w:r>
        <w:t>Vlada Republike Slovenije podpira tudi izobraževanja za strokovne delavce, ki prihajajo v stik s starejšimi, ter si prizadeva za ureditev vprašanj varstva osebnih podatkov na način, ki bo ob spoštovanju zasebnosti omogočal boljši dostop prostovoljcev do starejših, ki potrebujejo pomoč. Slovenija se bo še naprej dejavno zavzemala za sprejetje Konvencije OZN o pravicah starejših oseb in za krepitev mednarodnega sodelovanja na področju človekovih pravic starejših.</w:t>
      </w:r>
    </w:p>
    <w:p w14:paraId="211A32D9" w14:textId="4664EF81" w:rsidR="00F17053" w:rsidRDefault="00556500" w:rsidP="00556500">
      <w:pPr>
        <w:pStyle w:val="Vir"/>
      </w:pPr>
      <w:r>
        <w:t>Vir: Ministrstvo za zdravje</w:t>
      </w:r>
    </w:p>
    <w:p w14:paraId="26BF668B" w14:textId="693203BB" w:rsidR="00F32FE8" w:rsidRDefault="00F32FE8" w:rsidP="00F32FE8">
      <w:pPr>
        <w:pStyle w:val="Naslov2"/>
      </w:pPr>
      <w:r>
        <w:t>Vlada potrdila projekta sofinanciranja obnove cest v Občini Brežice</w:t>
      </w:r>
    </w:p>
    <w:p w14:paraId="4A858380" w14:textId="77777777" w:rsidR="00F32FE8" w:rsidRDefault="00F32FE8" w:rsidP="00F32FE8">
      <w:r>
        <w:t xml:space="preserve">Vlada je na današnji seji potrdila uvrstitev dveh novih projektov Ministrstva za obrambo v veljavni Načrt razvojnih programov 2025–2028, in sicer projekt obnove cest </w:t>
      </w:r>
      <w:proofErr w:type="gramStart"/>
      <w:r>
        <w:t>čez</w:t>
      </w:r>
      <w:proofErr w:type="gramEnd"/>
      <w:r>
        <w:t xml:space="preserve"> naselje Velike Malence in projekt modernizacije lokalne ceste Črešnjice-Hrastje.</w:t>
      </w:r>
    </w:p>
    <w:p w14:paraId="7F12A495" w14:textId="77777777" w:rsidR="00F32FE8" w:rsidRDefault="00F32FE8" w:rsidP="00F32FE8"/>
    <w:p w14:paraId="0940D53A" w14:textId="2BC37CD4" w:rsidR="00F32FE8" w:rsidRDefault="00F32FE8" w:rsidP="00F32FE8">
      <w:r>
        <w:t xml:space="preserve">Namen projekta obnove cest </w:t>
      </w:r>
      <w:proofErr w:type="gramStart"/>
      <w:r>
        <w:t>čez</w:t>
      </w:r>
      <w:proofErr w:type="gramEnd"/>
      <w:r>
        <w:t xml:space="preserve"> naselje Velike Malence je obnova cestišča cest Velike Malence-Boršt, Boršt-Gornja Pirošica in Gornja Pirošica-Dolnja Pirošica. Ureditev prometne infrastrukture z rekonstrukcijo cestišča je eden od pomembnih pogojev za povečevanje prometne varnosti, ohranjanje poseljenosti območij in ohranjanje nadaljnjega razvoja v Brežicah. Hkrati bo projekt pripomogel k boljši logistični povezavi za potrebe vojaškega letališča v Cerkljah ob Krki. Ocenjena izhodiščna vrednost projekta znaša 660.000 </w:t>
      </w:r>
      <w:r w:rsidR="00411DC9">
        <w:t>evrov</w:t>
      </w:r>
      <w:r>
        <w:t xml:space="preserve"> z davkom na dodano vrednost (DDV), pri čemer si financiranje v enakih deležih delita ministrstvo in Občina Brežice. Ministrstvo je v letu 2024 že izvedlo plačilo v višini 90.000 </w:t>
      </w:r>
      <w:r w:rsidR="00411DC9">
        <w:t>evrov.</w:t>
      </w:r>
    </w:p>
    <w:p w14:paraId="35083CB9" w14:textId="77777777" w:rsidR="00411DC9" w:rsidRDefault="00411DC9" w:rsidP="00F32FE8"/>
    <w:p w14:paraId="1740D788" w14:textId="4AAFDF9A" w:rsidR="00F32FE8" w:rsidRDefault="00F32FE8" w:rsidP="00F32FE8">
      <w:r>
        <w:t xml:space="preserve">Namen projekta lokalne ceste Črešnjice-Hrastje je </w:t>
      </w:r>
      <w:proofErr w:type="gramStart"/>
      <w:r>
        <w:t>modernizacija</w:t>
      </w:r>
      <w:proofErr w:type="gramEnd"/>
      <w:r>
        <w:t xml:space="preserve"> oziroma rekonstrukcija dela lokalne ceste Veliki Podlog-Hrastje-Črešnjice-Cerklje. Poleg rekonstrukcije ceste je načrtovana izgradnja novih pločnika in cestne razsvetljave ter ureditev </w:t>
      </w:r>
      <w:proofErr w:type="gramStart"/>
      <w:r>
        <w:t>odvodnjavanja</w:t>
      </w:r>
      <w:proofErr w:type="gramEnd"/>
      <w:r>
        <w:t xml:space="preserve">, tangirane infrastrukturne vode in dostopov do obstoječih objektov. S tem bo zagotovljena večja prometna varnost udeležencev v prometu, hkrati pa omogočen dostop in s tem razvoj gospodarskih in družbenih dejavnosti na širšem območju ob cesti, kot tudi boljša logistična povezava za vojaško letališče v Cerkljah ob Krki. Projekt vključuje izdelavo projektne dokumentacije, rekonstrukcijo cestišča in pločnika ter odkupe zemljišč. Ocenjena izhodiščna vrednost projekta znaša milijon </w:t>
      </w:r>
      <w:r w:rsidR="00411DC9">
        <w:t>evrov</w:t>
      </w:r>
      <w:r>
        <w:t xml:space="preserve"> z DDV, pri čemer bo razmerje financiranja med ministrstvom in Občino Brežice 40:60. </w:t>
      </w:r>
    </w:p>
    <w:p w14:paraId="5875C723" w14:textId="2D993E7F" w:rsidR="00F17053" w:rsidRDefault="00F32FE8" w:rsidP="00F32FE8">
      <w:pPr>
        <w:pStyle w:val="Vir"/>
      </w:pPr>
      <w:r>
        <w:t>Vir: Ministrstvo za obrambo</w:t>
      </w:r>
    </w:p>
    <w:p w14:paraId="06325C04" w14:textId="55226348" w:rsidR="00F17053" w:rsidRDefault="00BC4304" w:rsidP="00BC4304">
      <w:pPr>
        <w:pStyle w:val="Naslov2"/>
      </w:pPr>
      <w:r>
        <w:t>U</w:t>
      </w:r>
      <w:r w:rsidR="00F17053">
        <w:t>vrstit</w:t>
      </w:r>
      <w:r>
        <w:t>ev</w:t>
      </w:r>
      <w:r w:rsidR="00F17053">
        <w:t xml:space="preserve"> projektov Turist. in kulturne dejavnosti-ital. nar. skup. in Delna prenova palače </w:t>
      </w:r>
      <w:proofErr w:type="spellStart"/>
      <w:proofErr w:type="gramStart"/>
      <w:r w:rsidR="00F17053">
        <w:t>Tarsia</w:t>
      </w:r>
      <w:proofErr w:type="spellEnd"/>
      <w:proofErr w:type="gramEnd"/>
      <w:r w:rsidR="00F17053">
        <w:t xml:space="preserve"> v Kopru veljavni Načrt razvojnih programov 2025–2028</w:t>
      </w:r>
    </w:p>
    <w:p w14:paraId="202D4FC9" w14:textId="77777777" w:rsidR="00BC4304" w:rsidRDefault="00BC4304" w:rsidP="00BC4304">
      <w:r>
        <w:t xml:space="preserve">Vlada RS je v veljavni Načrt razvojnih programov 2025–2028 uvrstila nov programski projekt in nov projekt v skupini projektov regionalnega razvoja, in sicer: Turistične in kulturne dejavnosti-italijanske narodne skupnosti in Delna prenova palače </w:t>
      </w:r>
      <w:proofErr w:type="spellStart"/>
      <w:proofErr w:type="gramStart"/>
      <w:r>
        <w:t>Tarsia</w:t>
      </w:r>
      <w:proofErr w:type="spellEnd"/>
      <w:proofErr w:type="gramEnd"/>
      <w:r>
        <w:t xml:space="preserve"> v Kopru.</w:t>
      </w:r>
    </w:p>
    <w:p w14:paraId="055A9ADB" w14:textId="77777777" w:rsidR="00BC4304" w:rsidRDefault="00BC4304" w:rsidP="00BC4304"/>
    <w:p w14:paraId="7FF365F2" w14:textId="77777777" w:rsidR="00BC4304" w:rsidRDefault="00BC4304" w:rsidP="00BC4304">
      <w:r>
        <w:t xml:space="preserve">S tem se bodo začele izvajati </w:t>
      </w:r>
      <w:proofErr w:type="gramStart"/>
      <w:r>
        <w:t>aktivnosti</w:t>
      </w:r>
      <w:proofErr w:type="gramEnd"/>
      <w:r>
        <w:t xml:space="preserve"> Programa spodbujanja gospodarske osnove italijanske narodne skupnosti za obdobje 2025-2028, ki je namenjen krepitvi gospodarskega razvoja območja, na </w:t>
      </w:r>
      <w:r>
        <w:lastRenderedPageBreak/>
        <w:t>katerem živijo pripadniki italijanske avtohtone narodne skupnosti, in ki ga je Vlada sprejela 27. 2. 2025.</w:t>
      </w:r>
    </w:p>
    <w:p w14:paraId="379B036E" w14:textId="77777777" w:rsidR="00BC4304" w:rsidRDefault="00BC4304" w:rsidP="00BC4304"/>
    <w:p w14:paraId="50DF5905" w14:textId="2BE461EC" w:rsidR="00BC4304" w:rsidRDefault="00BC4304" w:rsidP="00BC4304">
      <w:r>
        <w:t xml:space="preserve">Namen programskega projekta Turistične in kulturne dejavnosti-italijanske narodne skupnosti je prispevati k ohranjanju jezikovne in kulturne identitete ter dediščine italijanske narodne skupnosti, spodbujati njeno večjo </w:t>
      </w:r>
      <w:proofErr w:type="gramStart"/>
      <w:r>
        <w:t xml:space="preserve">prepoznavnost  </w:t>
      </w:r>
      <w:proofErr w:type="gramEnd"/>
      <w:r>
        <w:t xml:space="preserve">in  aktivno vključevanje v razvoj programskega območja s spodbudami na gospodarskem, turističnem in kulturnem področju v programskem območju. Obenem je cilj ukrepa spodbuditi in omogočiti podjetniški razvoj italijanske narodne skupnosti v širšem smislu (društva, organizacije, ustanove in podjetja italijanske narodne skupnosti) tako, da si subjekti oziroma upravičenci na podlagi konkretnih projektov in vsebin, povezanih z namenom in cilji ukrepa, zagotovijo ekonomski učinek in dolgoročno tudi finančno neodvisnost. Predvideno število upravičencev je 20. Vrednost celotnega programskega projekta je 675.500,00 </w:t>
      </w:r>
      <w:proofErr w:type="gramStart"/>
      <w:r>
        <w:t>evrov</w:t>
      </w:r>
      <w:proofErr w:type="gramEnd"/>
      <w:r>
        <w:t xml:space="preserve">. </w:t>
      </w:r>
    </w:p>
    <w:p w14:paraId="2366E84A" w14:textId="77777777" w:rsidR="00BC4304" w:rsidRDefault="00BC4304" w:rsidP="00BC4304"/>
    <w:p w14:paraId="3DEA1FB2" w14:textId="69F5B683" w:rsidR="00BC4304" w:rsidRDefault="00BC4304" w:rsidP="00BC4304">
      <w:r>
        <w:t xml:space="preserve">Namen projekta Delna prenova palače </w:t>
      </w:r>
      <w:proofErr w:type="spellStart"/>
      <w:proofErr w:type="gramStart"/>
      <w:r>
        <w:t>Tarsia</w:t>
      </w:r>
      <w:proofErr w:type="spellEnd"/>
      <w:proofErr w:type="gramEnd"/>
      <w:r>
        <w:t xml:space="preserve"> v Kopru je ohranjanje zgodovinske, kulturne in arhitekturne dediščine območja, na katerem bivajo pripadniki italijanske narodne skupnosti. Obenem bi s prenovo zagotovili ustrezne delovne prostore za Obalno samoupravno skupnost italijanske narodnosti in društva italijanske narodne skupnosti in tako ustvarili ugodne pogoje za njihovo delovanje. Palača </w:t>
      </w:r>
      <w:proofErr w:type="spellStart"/>
      <w:proofErr w:type="gramStart"/>
      <w:r>
        <w:t>Tarsia</w:t>
      </w:r>
      <w:proofErr w:type="spellEnd"/>
      <w:proofErr w:type="gramEnd"/>
      <w:r>
        <w:t xml:space="preserve"> je kulturni spomenik lokalnega pomena, ki se nahaja v starem mestnem jedru Kopra. Projekt predvideva delno prenovo pritličja in prvega nadstropja palače </w:t>
      </w:r>
      <w:proofErr w:type="spellStart"/>
      <w:proofErr w:type="gramStart"/>
      <w:r>
        <w:t>Tarsia</w:t>
      </w:r>
      <w:proofErr w:type="spellEnd"/>
      <w:proofErr w:type="gramEnd"/>
      <w:r>
        <w:t xml:space="preserve"> ter prenovo osrednje dvorane. Površina celotne stavbe znaša skupno 776,60</w:t>
      </w:r>
      <w:proofErr w:type="gramStart"/>
      <w:r>
        <w:t xml:space="preserve"> m²</w:t>
      </w:r>
      <w:proofErr w:type="gramEnd"/>
      <w:r>
        <w:t xml:space="preserve">, objekt ima štiri etaže. Vrednost projekta je 758.799,00 </w:t>
      </w:r>
      <w:proofErr w:type="gramStart"/>
      <w:r>
        <w:t>evrov</w:t>
      </w:r>
      <w:proofErr w:type="gramEnd"/>
      <w:r>
        <w:t>, od tega bo MKRR prispevalo 622.000 evrov, Obalna samoupravna skupnost italijanske narodnosti pa 136.799,00 evrov.</w:t>
      </w:r>
    </w:p>
    <w:p w14:paraId="647DA0DB" w14:textId="77777777" w:rsidR="00BC4304" w:rsidRDefault="00BC4304" w:rsidP="00BC4304">
      <w:pPr>
        <w:pStyle w:val="Vir"/>
      </w:pPr>
      <w:r>
        <w:t>Vir: Ministrstvo za kohezijo in regionalni razvoj</w:t>
      </w:r>
    </w:p>
    <w:p w14:paraId="515EF68D" w14:textId="632D1FB5" w:rsidR="00361751" w:rsidRDefault="00361751" w:rsidP="00361751">
      <w:pPr>
        <w:pStyle w:val="Naslov2"/>
      </w:pPr>
      <w:r>
        <w:t xml:space="preserve">Vlada v Načrt razvojnih programov za obdobje 2025-2028 uvrstila projekt Prenova kuhinje OŠ </w:t>
      </w:r>
      <w:proofErr w:type="gramStart"/>
      <w:r>
        <w:t>A.</w:t>
      </w:r>
      <w:proofErr w:type="gramEnd"/>
      <w:r>
        <w:t>T. Linharta Radovljica</w:t>
      </w:r>
    </w:p>
    <w:p w14:paraId="00FB38EF" w14:textId="77777777" w:rsidR="00361751" w:rsidRDefault="00361751" w:rsidP="00361751">
      <w:r>
        <w:t xml:space="preserve">Vlada je v veljavni Načrt razvojnih programov za obdobje 2025-2028 uvrstila projekt Prenova kuhinje OŠ </w:t>
      </w:r>
      <w:proofErr w:type="gramStart"/>
      <w:r>
        <w:t>A.</w:t>
      </w:r>
      <w:proofErr w:type="gramEnd"/>
      <w:r>
        <w:t xml:space="preserve">T. Linharta Radovljica. </w:t>
      </w:r>
    </w:p>
    <w:p w14:paraId="40C3D482" w14:textId="77777777" w:rsidR="00361751" w:rsidRDefault="00361751" w:rsidP="00361751"/>
    <w:p w14:paraId="33BC5519" w14:textId="77777777" w:rsidR="00361751" w:rsidRDefault="00361751" w:rsidP="00361751">
      <w:r>
        <w:t xml:space="preserve">Na podlagi Javnega razpisa za sofinanciranje pilotnega projekta Osrednja šolska kuhinja, ki ga je Ministrstvo za vzgojo in izobraževanje v Uradnem listu RS objavilo 23. maja 2025, je bil za sofinanciranje izbran projekt občine Radovljica Prenova kuhinje OŠ </w:t>
      </w:r>
      <w:proofErr w:type="gramStart"/>
      <w:r>
        <w:t>A.</w:t>
      </w:r>
      <w:proofErr w:type="gramEnd"/>
      <w:r>
        <w:t>T. Linharta Radovljica.</w:t>
      </w:r>
    </w:p>
    <w:p w14:paraId="5B19652A" w14:textId="77777777" w:rsidR="00361751" w:rsidRDefault="00361751" w:rsidP="00361751"/>
    <w:p w14:paraId="784AE83A" w14:textId="77777777" w:rsidR="00361751" w:rsidRDefault="00361751" w:rsidP="00361751">
      <w:r>
        <w:t>Namen investicije je izboljšati obstoječo šolsko kuhinjo v obsegu 483,92</w:t>
      </w:r>
      <w:proofErr w:type="gramStart"/>
      <w:r>
        <w:t xml:space="preserve"> m2</w:t>
      </w:r>
      <w:proofErr w:type="gramEnd"/>
      <w:r>
        <w:t xml:space="preserve"> ter vzpostaviti osrednjo šolsko kuhinjo kot organizacijsko, prostorsko in tehnološko središče, ki bo z logistično podporo delilnih kuhinj v dislociranih enotah omogočala pripravo večjega števila kakovostnih in zdravih šolskih obrokov, tudi za otroke s posebnimi prehranskimi potrebami. Gre za pilotni projekt ureditve osrednje šolske kuhinje zaradi ugotavljanja možnosti uvedbe sodobnejšega načina priprave hrane za več javnih osnovnih šol. Občina bo izvajala evalvacijo</w:t>
      </w:r>
      <w:proofErr w:type="gramStart"/>
      <w:r>
        <w:t>,</w:t>
      </w:r>
      <w:proofErr w:type="gramEnd"/>
      <w:r>
        <w:t xml:space="preserve"> oziroma spremljala rezultate in učinke osrednje šolske kuhinje v obdobju 2026-2028. </w:t>
      </w:r>
    </w:p>
    <w:p w14:paraId="6CBBEF74" w14:textId="77777777" w:rsidR="00361751" w:rsidRDefault="00361751" w:rsidP="00361751"/>
    <w:p w14:paraId="00DE350C" w14:textId="77777777" w:rsidR="00361751" w:rsidRDefault="00361751" w:rsidP="00361751">
      <w:r>
        <w:t xml:space="preserve">Cilj </w:t>
      </w:r>
      <w:proofErr w:type="gramStart"/>
      <w:r>
        <w:t>investicije</w:t>
      </w:r>
      <w:proofErr w:type="gramEnd"/>
      <w:r>
        <w:t xml:space="preserve"> je rekonstrukcija kuhinje z namestitvijo tehnološko sodobne opreme, kar bo zagotovilo centralizacijo priprave hrane in oskrbo z obroki še za tri šole: POŠ Ljubno, POŠ Mošnje in OŠPP Antona Janše. Pričakovana je optimizacija kadrovskih procesov, logistična racionalizacija</w:t>
      </w:r>
      <w:proofErr w:type="gramStart"/>
      <w:r>
        <w:t xml:space="preserve">,  </w:t>
      </w:r>
      <w:proofErr w:type="gramEnd"/>
      <w:r>
        <w:t xml:space="preserve">vzpostavitev pogojev za pripravo dietnih obrokov, zmanjševanje količine odpadne hrane, izboljšanje kakovosti in varnosti prehrane, povezovanje lokalnega okolja, posodobitev tehnološke opreme, prostorov za skladiščenje in jedilnic. Prenovljena kuhinja bo omogočala pripravo približno 2.500 obrokov dnevno za štiri šole. Na letni ravni se pripravlja 362.338 obrokov. </w:t>
      </w:r>
    </w:p>
    <w:p w14:paraId="67A5C33B" w14:textId="77777777" w:rsidR="00361751" w:rsidRDefault="00361751" w:rsidP="00361751"/>
    <w:p w14:paraId="5D3F9F46" w14:textId="77777777" w:rsidR="00361751" w:rsidRDefault="00361751" w:rsidP="00361751">
      <w:r>
        <w:lastRenderedPageBreak/>
        <w:t xml:space="preserve">Projekt je trenutno v fazi izvajanja javnega naročila za izbor izvajalca GOI del in dobave opreme. Rekonstrukcija se </w:t>
      </w:r>
      <w:proofErr w:type="gramStart"/>
      <w:r>
        <w:t>prične</w:t>
      </w:r>
      <w:proofErr w:type="gramEnd"/>
      <w:r>
        <w:t xml:space="preserve"> v letu 2025 in zaključi do najkasneje 1. septembra 2026, ko mora biti kuhinja pripravljena za obratovanje v novem šolskem letu.</w:t>
      </w:r>
    </w:p>
    <w:p w14:paraId="6CCE3ADC" w14:textId="77777777" w:rsidR="00361751" w:rsidRDefault="00361751" w:rsidP="00361751"/>
    <w:p w14:paraId="3EB5027B" w14:textId="77777777" w:rsidR="00361751" w:rsidRDefault="00361751" w:rsidP="00361751">
      <w:r>
        <w:t xml:space="preserve">Vrednost celotne </w:t>
      </w:r>
      <w:proofErr w:type="gramStart"/>
      <w:r>
        <w:t>investicije</w:t>
      </w:r>
      <w:proofErr w:type="gramEnd"/>
      <w:r>
        <w:t xml:space="preserve"> znaša 1.342.823,51 evra. Ministrstvo bo zagotovilo sredstva v višini 700.000 evrov v letu 2026. Ostala sredstva v višini 642.823,51 evra bo zagotovila občina.</w:t>
      </w:r>
    </w:p>
    <w:p w14:paraId="412D0C90" w14:textId="77777777" w:rsidR="00361751" w:rsidRDefault="00361751" w:rsidP="00361751"/>
    <w:p w14:paraId="7847CF05" w14:textId="77777777" w:rsidR="00361751" w:rsidRDefault="00361751" w:rsidP="00361751">
      <w:r>
        <w:t>Uvrstitev novega projekta ne predvideva povečanja odhodkov iz državnega proračuna, saj gre za prerazporeditev sredstev v okviru Finančnih načrtov Ministrstva za vzgojo in izobraževanje.</w:t>
      </w:r>
    </w:p>
    <w:p w14:paraId="45BC98B4" w14:textId="75DDE36E" w:rsidR="00F17053" w:rsidRDefault="00361751" w:rsidP="00361751">
      <w:pPr>
        <w:pStyle w:val="Vir"/>
      </w:pPr>
      <w:r>
        <w:t>Vir: Ministrstvo za vzgojo in izobraževanje</w:t>
      </w:r>
    </w:p>
    <w:p w14:paraId="46EF1884" w14:textId="6EE82C70" w:rsidR="00B06E57" w:rsidRDefault="00B06E57" w:rsidP="00B06E57">
      <w:pPr>
        <w:pStyle w:val="Naslov2"/>
      </w:pPr>
      <w:r>
        <w:t xml:space="preserve">Vlada sprejela sklep, da se v veljavnem Načrtu razvojnih programov 2025–2028 </w:t>
      </w:r>
      <w:proofErr w:type="gramStart"/>
      <w:r>
        <w:t xml:space="preserve">zviša  </w:t>
      </w:r>
      <w:proofErr w:type="gramEnd"/>
      <w:r>
        <w:t>izhodiščna vrednost projekta »Javna gozdarska služba – program investicij ZGS«</w:t>
      </w:r>
    </w:p>
    <w:p w14:paraId="6A104CED" w14:textId="77777777" w:rsidR="00B06E57" w:rsidRDefault="00B06E57" w:rsidP="00B06E57">
      <w:r>
        <w:t xml:space="preserve">Vlada je sprejela sklep, da se v veljavnem Načrtu razvojnih programov 2025–2028 spremeni izhodiščna vrednost projekta »Javna gozdarska služba – program investicij ZGS«, in sicer </w:t>
      </w:r>
      <w:proofErr w:type="gramStart"/>
      <w:r>
        <w:t>s</w:t>
      </w:r>
      <w:proofErr w:type="gramEnd"/>
      <w:r>
        <w:t xml:space="preserve"> 1.582.200 evrov na 6.451.558 evrov za obdobje od leta 2023 do vključno leta 2027.</w:t>
      </w:r>
    </w:p>
    <w:p w14:paraId="0E6420AE" w14:textId="77777777" w:rsidR="00B06E57" w:rsidRDefault="00B06E57" w:rsidP="00B06E57"/>
    <w:p w14:paraId="32465B00" w14:textId="77777777" w:rsidR="00B06E57" w:rsidRDefault="00B06E57" w:rsidP="00B06E57">
      <w:r>
        <w:t xml:space="preserve">Zavod za gozdove Slovenije (ZGS) je javni zavod, ki izvaja naloge javne gozdarske službe na območju celotne Republike Slovenije. ZGS ima trenutno v upravljanju preko 250 nepremičnin oziroma objektov, ki jih je pridobil na podlagi sklepa Vlade Republike Slovenije in po predhodnih pogodbah o razdružitvi nekdanjih gozdnih gospodarstev, ki so bile sklenjene med gozdnogospodarskimi organizacijami in Vlado Republike Slovenije v letih 1994–1997. Iz sredstev od prodaje premoženja in sredstev javne gozdarske službe se </w:t>
      </w:r>
      <w:proofErr w:type="gramStart"/>
      <w:r>
        <w:t>načrtuje</w:t>
      </w:r>
      <w:proofErr w:type="gramEnd"/>
      <w:r>
        <w:t xml:space="preserve"> nakup objektov in zemljišča ter investicijsko vzdrževanje nepremičnin, nabava pisarniške in druge opreme, nabava računalniške opreme in nabava službenih vozil.</w:t>
      </w:r>
    </w:p>
    <w:p w14:paraId="501DD3C9" w14:textId="77777777" w:rsidR="00B06E57" w:rsidRDefault="00B06E57" w:rsidP="00B06E57"/>
    <w:p w14:paraId="2352961F" w14:textId="77777777" w:rsidR="00B06E57" w:rsidRDefault="00B06E57" w:rsidP="00B06E57">
      <w:r>
        <w:t>Namen projekta je izboljšati stanje sredstev v upravljanju ZGS, znižati tako obratovalne stroške kot stroške tekočega vzdrževanja objektov in opreme, znižati porabo energije, zagotoviti večjo varnost in zagotoviti pogoje, da ZGS opravi naloge, predpisane z zakonodajo – naloge javne gozdarske službe v predpisanih obsegih in kakovostni izvedbi v skladu z normativi. Z redno obnovo voznega parka se zmanjšujejo tekoči stroški vzdrževanja vozil in obseg službenih voženj, opravljenih z lastnimi vozili.</w:t>
      </w:r>
    </w:p>
    <w:p w14:paraId="45225F83" w14:textId="3255DD68" w:rsidR="00F17053" w:rsidRDefault="00B06E57" w:rsidP="00B06E57">
      <w:pPr>
        <w:pStyle w:val="Vir"/>
      </w:pPr>
      <w:r>
        <w:t>Vir: Ministrstvo za kmetijstvo, gozdarstvo in prehrano</w:t>
      </w:r>
    </w:p>
    <w:p w14:paraId="7C7B5AF7" w14:textId="0BEEF240" w:rsidR="00F17053" w:rsidRDefault="00F17053" w:rsidP="0039128A">
      <w:pPr>
        <w:pStyle w:val="Naslov2"/>
      </w:pPr>
      <w:r>
        <w:t xml:space="preserve">Poročilo o doseženih rezultatih posebnega vladnega projekta za plačno skupino J v dejavnostih zdravstva in socialnega varstva za obdobje </w:t>
      </w:r>
      <w:proofErr w:type="gramStart"/>
      <w:r>
        <w:t>1. 1. 2023</w:t>
      </w:r>
      <w:proofErr w:type="gramEnd"/>
      <w:r>
        <w:t xml:space="preserve"> do 31. 12. 2024</w:t>
      </w:r>
    </w:p>
    <w:p w14:paraId="44C09745" w14:textId="167436DC" w:rsidR="0039128A" w:rsidRDefault="0039128A" w:rsidP="00F17053">
      <w:r w:rsidRPr="0039128A">
        <w:t>Vlada se je seznanila s Poročilom o doseženih rezultatih Posebnega vladnega projekta za plačno skupino J v dejavnostih zdravstva in socialnega varstva za obdobje od 1. januarja 2023 do 31. decembra 2024. V sklopu Posebnega vladnega projekta se je omogočilo, da se je določenim delovnim mestom v plačni skupini J v dejavnostih zdravstva in socialnega varstva do uveljavitve sistemskih sprememb plačnega sistema omogočilo izplačevanje delovne uspešnosti iz naslova povečanega obsega dela. Poročilo med drugim ugotavlja, da se je v času trajanja posebnega vladnega projekta v letih 2023 in 2024 trend števila zaposlenih javnih uslužbencev v plačni skupini J obrnil navzgor. Posledično se je zmanjšalo tveganje oddajanja storitev zunanjim izvajalcem, kar je bil cilj projekta.</w:t>
      </w:r>
    </w:p>
    <w:p w14:paraId="39F737BA" w14:textId="0A918FCE" w:rsidR="0039128A" w:rsidRDefault="0039128A" w:rsidP="0039128A">
      <w:pPr>
        <w:pStyle w:val="Vir"/>
      </w:pPr>
      <w:r w:rsidRPr="0039128A">
        <w:t>Vir: Ministrstvo za solidarno prihodnost</w:t>
      </w:r>
    </w:p>
    <w:p w14:paraId="235DB0C4" w14:textId="10D6F17D" w:rsidR="00F17053" w:rsidRDefault="00F17053" w:rsidP="007E3A62">
      <w:pPr>
        <w:pStyle w:val="Naslov2"/>
      </w:pPr>
      <w:r>
        <w:t>Tretje poročilo o izvajanju ukrepov in projektov, povezanih z odpravo posledic poplav in zemeljskih plazov iz avgusta 2023</w:t>
      </w:r>
    </w:p>
    <w:p w14:paraId="10D17478" w14:textId="77777777" w:rsidR="007E3A62" w:rsidRDefault="007E3A62" w:rsidP="007E3A62">
      <w:r>
        <w:lastRenderedPageBreak/>
        <w:t>Vlada Republike Slovenije se je na današnji seji seznanila s Tretjim poročilom o izvajanju ukrepov in projektov</w:t>
      </w:r>
      <w:proofErr w:type="gramStart"/>
      <w:r>
        <w:t xml:space="preserve"> povezanih</w:t>
      </w:r>
      <w:proofErr w:type="gramEnd"/>
      <w:r>
        <w:t xml:space="preserve"> z odpravo posledic poplav in zemeljskih plazov iz avgusta 2023. </w:t>
      </w:r>
    </w:p>
    <w:p w14:paraId="4E6DE248" w14:textId="77777777" w:rsidR="007E3A62" w:rsidRDefault="007E3A62" w:rsidP="007E3A62"/>
    <w:p w14:paraId="688EB0F5" w14:textId="77777777" w:rsidR="007E3A62" w:rsidRDefault="007E3A62" w:rsidP="007E3A62">
      <w:r>
        <w:t xml:space="preserve">V skladu s 129. členom Zakona o obnovi, razvoju in zagotavljanju finančnih sredstev je Služba Vlade Republike Slovenije za obnovo po poplavah in plazovih pripravila Tretje poročilo o izvajanju projektov in ukrepov za obnovo in razvoj ter spremljajočih </w:t>
      </w:r>
      <w:proofErr w:type="gramStart"/>
      <w:r>
        <w:t>preventivnih</w:t>
      </w:r>
      <w:proofErr w:type="gramEnd"/>
      <w:r>
        <w:t xml:space="preserve"> projektov in ukrepov za varstvo pred poplavami in plazovi, ki so vključeni v finančne načrte pristojnih organov. Poročilo je pripravljeno na podlagi podatkov, ki jih je vladna služba za obnovo prejela od pristojnih resorjev organov. Po podatkih Ministrstva za finance je skupna poraba proračunskih sredstev do vključno 27. junija 2025 obsegala 1.158,30 milijona evrov za pomoč ter sanacijo posledic poplav in plazov iz avgusta 2023. Tokratno poročilo še ne zajema opravljenih obnov stanovanj, ker je bil rok za poročanje 30. september 2025, medtem ko poročilo zajema obdobje od 1. januarja in 30. junija 2025. </w:t>
      </w:r>
    </w:p>
    <w:p w14:paraId="452787D0" w14:textId="77777777" w:rsidR="007E3A62" w:rsidRDefault="007E3A62" w:rsidP="007E3A62"/>
    <w:p w14:paraId="1BA6AE73" w14:textId="1892041E" w:rsidR="007E3A62" w:rsidRDefault="007E3A62" w:rsidP="007E3A62">
      <w:r>
        <w:t xml:space="preserve">Vlada Republike Slovenije je sprejela številne ukrepe za hitro in učinkovito odpravljanje posledic poplav ter zagotavljanje pomoči prebivalcem, kmetom, občinam in gospodarstvu. Večina teh ukrepov je že končana. Ministrstvo za solidarno prihodnost še vedno izvaja ukrep nadomestila za bivanje na začasnem naslovu, ki je bil s spremembo Zakona o interventnih ukrepih za odpravo posledic poplav in zemeljskih plazov iz leta 2023 podaljšan za eno leto. Skupno lahko prizadeti prebivalci to nadomestilo prejemajo do tri leta. S tem ukrepom država omogoča prizadetim, da lažje premostijo težave, ki jih je povzročila naravna nesreča, ter daje potrebno podporo pri zagotavljanju začasnega bivališča. V letu 2025 so v ospredju občinski projekti ter projekti, povezani z državno cestno in železniško infrastrukturo ter urejanjem vodotokov. Poročilo vsebuje pregled projektov in ukrepov, podatke o fizičnih in finančnih kazalnikih, časovni načrt izvedbe ter obrazložena in utemeljena časovna odstopanja. Izvrševanje sprejetih programov, posameznih ukrepov in projektov večinoma poteka v skladu s postavljenimi roki. Iz poročila in preglednic izhaja, da se </w:t>
      </w:r>
      <w:proofErr w:type="gramStart"/>
      <w:r>
        <w:t>aktivnosti</w:t>
      </w:r>
      <w:proofErr w:type="gramEnd"/>
      <w:r>
        <w:t xml:space="preserve"> na vseh področjih (občinska in državna infrastruktura, vodotoki in nadomestitveni objekti) že izvajajo ali pa se pripravljajo ustrezne strokovne in tehnične podlage za izvedbo posameznih projektov.</w:t>
      </w:r>
    </w:p>
    <w:p w14:paraId="1879E5BD" w14:textId="301B4A38" w:rsidR="007E3A62" w:rsidRDefault="007E3A62" w:rsidP="007E3A62">
      <w:pPr>
        <w:pStyle w:val="Vir"/>
      </w:pPr>
      <w:r w:rsidRPr="007E3A62">
        <w:t>Vir: Služba vlade za obnovo po poplavah in plazovih</w:t>
      </w:r>
    </w:p>
    <w:p w14:paraId="4DDF6D55" w14:textId="609E166F" w:rsidR="00F17053" w:rsidRDefault="00F17053" w:rsidP="00674E25">
      <w:pPr>
        <w:pStyle w:val="Naslov2"/>
      </w:pPr>
      <w:r>
        <w:t>Enajsto in dvanajsto poročilo o položaju romske skupnosti v Sloveniji</w:t>
      </w:r>
    </w:p>
    <w:p w14:paraId="44C31D3E" w14:textId="38B76694" w:rsidR="002864A5" w:rsidRDefault="002864A5" w:rsidP="002864A5">
      <w:r>
        <w:t xml:space="preserve">Vlada Republike Slovenije je sprejela Enajsto in dvanajsto poročilo o položaju romske skupnosti v Republiki Sloveniji in ga posreduje v obravnavo Državnemu zboru. </w:t>
      </w:r>
    </w:p>
    <w:p w14:paraId="0C45B8FB" w14:textId="77777777" w:rsidR="002864A5" w:rsidRDefault="002864A5" w:rsidP="002864A5"/>
    <w:p w14:paraId="69D62669" w14:textId="77777777" w:rsidR="002864A5" w:rsidRDefault="002864A5" w:rsidP="002864A5">
      <w:r>
        <w:t xml:space="preserve">Gre za 11. in 12. tovrstno poročilo vlade, ki zajema poročanje o uresničevanju Zakona o romski skupnosti v Republiki Sloveniji in Nacionalnega programa ukrepov Vlade Republike Slovenije za Rome za obdobje 2021–2030 v letih 2023 in 2024. </w:t>
      </w:r>
    </w:p>
    <w:p w14:paraId="578C70F2" w14:textId="77777777" w:rsidR="002864A5" w:rsidRDefault="002864A5" w:rsidP="002864A5"/>
    <w:p w14:paraId="41D5D5D8" w14:textId="77777777" w:rsidR="002864A5" w:rsidRDefault="002864A5" w:rsidP="002864A5">
      <w:r>
        <w:t xml:space="preserve">Pripravo poročila je tudi tokrat koordiniral Urad Vlade Republike Slovenije za narodnosti, o izvedenih aktivnostih pa </w:t>
      </w:r>
      <w:proofErr w:type="gramStart"/>
      <w:r>
        <w:t>so</w:t>
      </w:r>
      <w:proofErr w:type="gramEnd"/>
      <w:r>
        <w:t xml:space="preserve"> poročala vsa pristojna ministrstva in vladne službe, Nacionalni inštitut za javno zdravje, Stanovanjski sklad Republike Slovenije, občine, kjer živi romska skupnost, in Svet romske skupnosti Republike Slovenije. </w:t>
      </w:r>
    </w:p>
    <w:p w14:paraId="4379A8D1" w14:textId="77777777" w:rsidR="002864A5" w:rsidRDefault="002864A5" w:rsidP="002864A5"/>
    <w:p w14:paraId="2D4E429A" w14:textId="77777777" w:rsidR="002864A5" w:rsidRDefault="002864A5" w:rsidP="002864A5">
      <w:r>
        <w:t xml:space="preserve">Poročilo zajema vse pomembnejše informacije o izvedenih </w:t>
      </w:r>
      <w:proofErr w:type="gramStart"/>
      <w:r>
        <w:t>aktivnostih</w:t>
      </w:r>
      <w:proofErr w:type="gramEnd"/>
      <w:r>
        <w:t xml:space="preserve"> v letih 2023 in 2024 na posameznih vsebinskih področjih, ki so jih izvajali navedeni državni organi, in sicer na področjih vzgoje in izobraževanja, zaposlovanja, socialnega varstva in socialnega vključevanja, zdravstvenega varstva, urejanja bivanjskih razmer, kulturne, informativne in založniške dejavnosti, izboljšanja sobivanja v romskih naseljih in njihovi okolici ter boja proti </w:t>
      </w:r>
      <w:proofErr w:type="spellStart"/>
      <w:r>
        <w:t>anticiganizmu</w:t>
      </w:r>
      <w:proofErr w:type="spellEnd"/>
      <w:r>
        <w:t xml:space="preserve"> in diskriminaciji. Podaja tudi podrobnejše informacije o izvedenih </w:t>
      </w:r>
      <w:proofErr w:type="gramStart"/>
      <w:r>
        <w:t>aktivnostih</w:t>
      </w:r>
      <w:proofErr w:type="gramEnd"/>
      <w:r>
        <w:t xml:space="preserve"> Sveta romske skupnosti Republike Slovenije kot krovne organizacije romske skupnosti pri nas in občin, kjer živijo Romi. Ob koncu vsakega vsebinskega poglavja so vključene bistvene ugotovitve na tistem področju, ki temeljijo na informacijah iz poročila in </w:t>
      </w:r>
      <w:r>
        <w:lastRenderedPageBreak/>
        <w:t xml:space="preserve">dosedanjih izkušnjah. Poročilo vključuje tudi pregled sofinanciranja za potrebe romske skupnosti s strani državnih organov in pregled namenov ter tudi višine sofinanciranja s strani občin. </w:t>
      </w:r>
    </w:p>
    <w:p w14:paraId="2E5DDE45" w14:textId="77777777" w:rsidR="002864A5" w:rsidRDefault="002864A5" w:rsidP="002864A5">
      <w:r>
        <w:t xml:space="preserve"> </w:t>
      </w:r>
    </w:p>
    <w:p w14:paraId="2F1590EF" w14:textId="01FBBA73" w:rsidR="002864A5" w:rsidRDefault="002864A5" w:rsidP="002864A5">
      <w:r w:rsidRPr="002864A5">
        <w:t xml:space="preserve">Skupaj s preteklimi poročili bo tudi to dostopno na spletni strani vlade na povezavi </w:t>
      </w:r>
      <w:hyperlink r:id="rId13" w:history="1">
        <w:r w:rsidRPr="002864A5">
          <w:rPr>
            <w:rStyle w:val="Hiperpovezava"/>
          </w:rPr>
          <w:t>Romska skupnost</w:t>
        </w:r>
      </w:hyperlink>
      <w:r>
        <w:t>.</w:t>
      </w:r>
    </w:p>
    <w:p w14:paraId="31450E0E" w14:textId="77777777" w:rsidR="002864A5" w:rsidRDefault="002864A5" w:rsidP="002864A5">
      <w:pPr>
        <w:pStyle w:val="Vir"/>
      </w:pPr>
      <w:r>
        <w:t>Vir: Urad za narodnosti</w:t>
      </w:r>
    </w:p>
    <w:p w14:paraId="1A6D88AC" w14:textId="28402890" w:rsidR="00961AF2" w:rsidRDefault="00961AF2" w:rsidP="00961AF2">
      <w:pPr>
        <w:pStyle w:val="Naslov2"/>
      </w:pPr>
      <w:r>
        <w:t>Republika Slovenija podpira namen in cilje Strategije za generacijsko pomladitev v kmetijstvu</w:t>
      </w:r>
    </w:p>
    <w:p w14:paraId="4552777A" w14:textId="77777777" w:rsidR="00961AF2" w:rsidRDefault="00961AF2" w:rsidP="00961AF2">
      <w:r>
        <w:t xml:space="preserve">Vlada je sprejela stališče Republike Slovenije k zadevi Sporočilo Komisije Evropskemu parlamentu, Svetu, Evropskemu ekonomsko-socialnemu odboru in Odboru </w:t>
      </w:r>
      <w:proofErr w:type="gramStart"/>
      <w:r>
        <w:t>regij</w:t>
      </w:r>
      <w:proofErr w:type="gramEnd"/>
      <w:r>
        <w:t xml:space="preserve"> – Strategija za generacijsko pomladitev v kmetijstvu, in sicer, da Republika Slovenija podpira namen in cilje Strategije za generacijsko pomladitev v kmetijstvu, saj ta krepi podporo mladim kmetom ter prihodnjim nosilcem kmetijske dejavnosti v Evropski uniji.</w:t>
      </w:r>
    </w:p>
    <w:p w14:paraId="07BE59B7" w14:textId="77777777" w:rsidR="00961AF2" w:rsidRDefault="00961AF2" w:rsidP="00961AF2"/>
    <w:p w14:paraId="2C848584" w14:textId="77777777" w:rsidR="00961AF2" w:rsidRDefault="00961AF2" w:rsidP="00961AF2">
      <w:r>
        <w:t>Republika Slovenija se zaveda izziva staranja kmetijskega prebivalstva in njegovega vpliva na prehransko varnost ter konkurenčnost evropskega kmetijstva. Pozdravlja strategijo, ki mladim kmetom omogoča boljši dostop do zemljišč, financiranja, znanja in inovacij ter pravične pogoje dela. Slovenija podpira prostovoljni značaj ukrepov in poudarja potrebo po prožnosti za prilagajanje nacionalnim razmeram. Pozdravlja vzpostavitev Evropske opazovalnice za zemljišča, krepitev raziskav in inovacij ter platformo za mlade kmete za izmenjavo izkušenj in povezovanje. Pri ukrepih, ki posegajo na področje davčne in socialne politike ter prometa z zemljišči, Slovenija izpostavlja spoštovanje načela subsidiarnosti. Nacionalne strategije morajo omogočati prilagoditev lokalnim potrebam. Slovenija tudi pozdravlja zavezo, da se najmanj šest odstotkov sredstev SKP nameni generacijski pomladitvi, ob premišljenih razpravah o pravični porazdelitvi sredstev. Aktivno bo sodelovala pri oblikovanju ukrepov za trajnostno, inovativno in konkurenčno prihodnost evropskega kmetijstva.</w:t>
      </w:r>
    </w:p>
    <w:p w14:paraId="0F7221A2" w14:textId="7302F018" w:rsidR="00F17053" w:rsidRDefault="00961AF2" w:rsidP="00961AF2">
      <w:pPr>
        <w:pStyle w:val="Vir"/>
      </w:pPr>
      <w:r>
        <w:t>Vir: Ministrstvo za kmetijstvo, gozdarstvo in prehrano</w:t>
      </w:r>
    </w:p>
    <w:p w14:paraId="6EB6CA7E" w14:textId="0187C1A5" w:rsidR="005A2829" w:rsidRDefault="005A2829" w:rsidP="005A2829">
      <w:pPr>
        <w:pStyle w:val="Naslov2"/>
      </w:pPr>
      <w:r>
        <w:t>Slovenija podpira Predlog uredbe Sveta o določitvi ribolovnih možnosti za nekatere staleže rib za leta 2026, 2027 in 2028</w:t>
      </w:r>
    </w:p>
    <w:p w14:paraId="196E0763" w14:textId="77777777" w:rsidR="005A2829" w:rsidRDefault="005A2829" w:rsidP="005A2829">
      <w:r>
        <w:t>Vlada je sprejela stališče Republike Slovenije, da podpira Predlog uredbe Sveta o določitvi ribolovnih možnosti za nekatere staleže rib za leta 2026, 2027 in 2028</w:t>
      </w:r>
      <w:proofErr w:type="gramStart"/>
      <w:r>
        <w:t>, ki se uporabljajo v vodah Unije in za ribiška plovila Unije v nekaterih vodah zunaj Unije.</w:t>
      </w:r>
      <w:proofErr w:type="gramEnd"/>
    </w:p>
    <w:p w14:paraId="2D1E32A3" w14:textId="77777777" w:rsidR="005A2829" w:rsidRDefault="005A2829" w:rsidP="005A2829"/>
    <w:p w14:paraId="7A89709A" w14:textId="77777777" w:rsidR="005A2829" w:rsidRDefault="005A2829" w:rsidP="005A2829">
      <w:r>
        <w:t>Predlog uredbe slovenskega ribištva ne zadeva neposredno, saj slovenski ribiči izvajajo ribolov v severnem Jadranu. Bo pa Republika Slovenija</w:t>
      </w:r>
      <w:proofErr w:type="gramStart"/>
      <w:r>
        <w:t xml:space="preserve"> pozorna</w:t>
      </w:r>
      <w:proofErr w:type="gramEnd"/>
      <w:r>
        <w:t xml:space="preserve"> na obravnavo vsebin, ki bi lahko prinesle dodatne oziroma nesorazmerne administrativne obveznosti, na primer glede jegulje, ki je sicer v Sloveniji zavarovana živalska vrsta.</w:t>
      </w:r>
    </w:p>
    <w:p w14:paraId="7A4918E5" w14:textId="05B1B88A" w:rsidR="00F17053" w:rsidRDefault="005A2829" w:rsidP="005A2829">
      <w:pPr>
        <w:pStyle w:val="Vir"/>
      </w:pPr>
      <w:r>
        <w:t>Vir: Ministrstvo za kmetijstvo, gozdarstvo in prehrano</w:t>
      </w:r>
    </w:p>
    <w:p w14:paraId="2BC05C88" w14:textId="31C4B655" w:rsidR="00A21A2E" w:rsidRDefault="00A21A2E" w:rsidP="00A21A2E">
      <w:pPr>
        <w:pStyle w:val="Naslov2"/>
      </w:pPr>
      <w:r>
        <w:t>Stališči Slovenije o programu pomoči in usposabljanja za zaščito evra pred ponarejanjem</w:t>
      </w:r>
    </w:p>
    <w:p w14:paraId="61DFC71B" w14:textId="77777777" w:rsidR="00A21A2E" w:rsidRDefault="00A21A2E" w:rsidP="00A21A2E">
      <w:r>
        <w:t>Vlada je danes sprejela stališči Slovenije o predlogu evropske uredbe o vzpostavitvi programa izmenjave, pomoči in usposabljanja za zaščito evra pred ponarejanjem za obdobje 2028–2034 in o predlogu razširitve uporabe te uredbe na nesodelujoče države članice. Slovenija program podpira, meni pa, naj sredstva za te namene zagotavljajo denarne oblasti.</w:t>
      </w:r>
    </w:p>
    <w:p w14:paraId="60E64EFE" w14:textId="77777777" w:rsidR="00A21A2E" w:rsidRDefault="00A21A2E" w:rsidP="00A21A2E"/>
    <w:p w14:paraId="7E714D99" w14:textId="77777777" w:rsidR="00A21A2E" w:rsidRDefault="00A21A2E" w:rsidP="00A21A2E">
      <w:r>
        <w:t>Močna zaščita evra pred ponarejanjem je po mnenju Evropske komisije bistven element varnosti. Ker se obstoječi program pomoči in usposabljanja za zaščito evra pred ponarejanjem konec leta 2027 izteče, je Komisija pripravila predlog nadaljevanja programa.</w:t>
      </w:r>
    </w:p>
    <w:p w14:paraId="5BBAD2ED" w14:textId="77777777" w:rsidR="00A21A2E" w:rsidRDefault="00A21A2E" w:rsidP="00A21A2E"/>
    <w:p w14:paraId="293AC11D" w14:textId="77777777" w:rsidR="00A21A2E" w:rsidRDefault="00A21A2E" w:rsidP="00A21A2E">
      <w:r>
        <w:t>Slovenija program podpora, njeno stališče pa je, naj sredstva za te namene zagotavljajo denarne oblasti, saj gre za zadevo iz pristojnosti Banke Slovenije oziroma Evropske centralne banke, sredstva Evropske unije pa naj se namenijo za druge prioritetne vsebine.</w:t>
      </w:r>
    </w:p>
    <w:p w14:paraId="7C1A142C" w14:textId="4E0F4868" w:rsidR="00F17053" w:rsidRDefault="00A21A2E" w:rsidP="00A21A2E">
      <w:pPr>
        <w:pStyle w:val="Vir"/>
      </w:pPr>
      <w:r>
        <w:t>Vir: Ministrstvo za finance</w:t>
      </w:r>
    </w:p>
    <w:p w14:paraId="14D60256" w14:textId="31AD04DB" w:rsidR="00BC2AFD" w:rsidRDefault="00BC2AFD" w:rsidP="00BC2AFD">
      <w:pPr>
        <w:pStyle w:val="Naslov2"/>
      </w:pPr>
      <w:r>
        <w:t>Vlada o stališču Slovenije glede vzpostavitve okvira za spremljanje proračunskih odhodkov</w:t>
      </w:r>
    </w:p>
    <w:p w14:paraId="1B52FC56" w14:textId="77777777" w:rsidR="00BC2AFD" w:rsidRDefault="00BC2AFD" w:rsidP="00BC2AFD">
      <w:r>
        <w:t>Vlada je danes sprejela predlog stališča Slovenije o predlogu evropske uredbe o vzpostavitvi okvira za spremljanje proračunskih odhodkov in smotrnost proračuna ter drugih horizontalnih pravil za programe in dejavnosti Evropske unije.</w:t>
      </w:r>
    </w:p>
    <w:p w14:paraId="59A71EF8" w14:textId="77777777" w:rsidR="00BC2AFD" w:rsidRDefault="00BC2AFD" w:rsidP="00BC2AFD"/>
    <w:p w14:paraId="7B5C04FB" w14:textId="77777777" w:rsidR="00BC2AFD" w:rsidRDefault="00BC2AFD" w:rsidP="00BC2AFD">
      <w:r>
        <w:t xml:space="preserve">Slovenija v splošnem pozdravlja pobudo Evropske komisije, da zagotovi enoten portal oz. enoten sistem, ki vključuje izplačane odhodke iz proračuna Evropske unije. Pri tem pričakuje poenostavitve in zmanjšanje upravnega bremena tudi za države članice. Glede na zahtevnost in nejasnost vseh določil predloga uredbe izraža </w:t>
      </w:r>
      <w:proofErr w:type="spellStart"/>
      <w:r>
        <w:t>proučitveni</w:t>
      </w:r>
      <w:proofErr w:type="spellEnd"/>
      <w:r>
        <w:t xml:space="preserve"> pridržek.</w:t>
      </w:r>
    </w:p>
    <w:p w14:paraId="1437F8D0" w14:textId="77777777" w:rsidR="00BC2AFD" w:rsidRDefault="00BC2AFD" w:rsidP="00BC2AFD"/>
    <w:p w14:paraId="4250FF21" w14:textId="77777777" w:rsidR="00BC2AFD" w:rsidRDefault="00BC2AFD" w:rsidP="00BC2AFD">
      <w:r>
        <w:t>V fazi obravnave namreč Slovenija opozarja predvsem na naslednje najpomembnejše elemente predloga uredbe: pomembnost zmanjšanja upravnega bremena za države članice in potrebo po nadaljnjih informacijah ter pojasnilih Evropske komisije.</w:t>
      </w:r>
    </w:p>
    <w:p w14:paraId="38587E57" w14:textId="77777777" w:rsidR="00BC2AFD" w:rsidRDefault="00BC2AFD" w:rsidP="00BC2AFD"/>
    <w:p w14:paraId="35F391EB" w14:textId="77777777" w:rsidR="00BC2AFD" w:rsidRDefault="00BC2AFD" w:rsidP="00BC2AFD">
      <w:r>
        <w:t xml:space="preserve">Slovenija je Komisijo pozvala, naj bodo smernice pripravljene </w:t>
      </w:r>
      <w:proofErr w:type="spellStart"/>
      <w:proofErr w:type="gramStart"/>
      <w:r>
        <w:t>čimprej</w:t>
      </w:r>
      <w:proofErr w:type="spellEnd"/>
      <w:proofErr w:type="gramEnd"/>
      <w:r>
        <w:t xml:space="preserve">. Opozorila je tudi na predvidoma večje upravno breme (tudi v povezavi z enotnim portalom, spremenjenimi izjavami in logotipi), zagotovitev </w:t>
      </w:r>
      <w:proofErr w:type="gramStart"/>
      <w:r>
        <w:t>interoperabilnosti</w:t>
      </w:r>
      <w:proofErr w:type="gramEnd"/>
      <w:r>
        <w:t xml:space="preserve"> informacijsko-tehnoloških sistemov in zagotovitev zadostnega časa za pripravo držav članic na izvajanje predloga uredbe. </w:t>
      </w:r>
    </w:p>
    <w:p w14:paraId="5C31B4B1" w14:textId="77777777" w:rsidR="00BC2AFD" w:rsidRDefault="00BC2AFD" w:rsidP="00BC2AFD"/>
    <w:p w14:paraId="79EDDFB6" w14:textId="77777777" w:rsidR="00BC2AFD" w:rsidRDefault="00BC2AFD" w:rsidP="00BC2AFD">
      <w:r>
        <w:t xml:space="preserve">Opozorila je tudi na zaupnost podatkov Statističnega urada Republike Slovenije, ki se lahko uporabijo samo v statistične namene. </w:t>
      </w:r>
    </w:p>
    <w:p w14:paraId="35AC3B29" w14:textId="77777777" w:rsidR="00BC2AFD" w:rsidRDefault="00BC2AFD" w:rsidP="00BC2AFD"/>
    <w:p w14:paraId="2B66590E" w14:textId="77777777" w:rsidR="00BC2AFD" w:rsidRDefault="00BC2AFD" w:rsidP="00BC2AFD">
      <w:r>
        <w:t xml:space="preserve">Za Slovenijo bo predlog uredbe sprejemljiv, </w:t>
      </w:r>
      <w:proofErr w:type="gramStart"/>
      <w:r>
        <w:t>v kolikor</w:t>
      </w:r>
      <w:proofErr w:type="gramEnd"/>
      <w:r>
        <w:t xml:space="preserve"> bo prejela s strani Evropske komisije vse potrebne informacije, navodila, usmeritve in bo na voljo zadosten čas za pripravo na njeno izvajanje.</w:t>
      </w:r>
    </w:p>
    <w:p w14:paraId="77DD50B0" w14:textId="10733AAA" w:rsidR="00F17053" w:rsidRDefault="00BC2AFD" w:rsidP="00BC2AFD">
      <w:pPr>
        <w:pStyle w:val="Vir"/>
      </w:pPr>
      <w:r>
        <w:t>Vir: Ministrstvo za finance</w:t>
      </w:r>
    </w:p>
    <w:p w14:paraId="7FAADB4F" w14:textId="2F1B90A2" w:rsidR="00F17053" w:rsidRDefault="006931B2" w:rsidP="006931B2">
      <w:pPr>
        <w:pStyle w:val="Naslov2"/>
      </w:pPr>
      <w:r>
        <w:t>S</w:t>
      </w:r>
      <w:r w:rsidR="00F17053">
        <w:t>tališč</w:t>
      </w:r>
      <w:r>
        <w:t>e</w:t>
      </w:r>
      <w:r w:rsidR="00F17053">
        <w:t xml:space="preserve"> o varstvu Sredozemskega morja pred onesnaženjem in njenih protokolov</w:t>
      </w:r>
    </w:p>
    <w:p w14:paraId="4B757019" w14:textId="18269D34" w:rsidR="006931B2" w:rsidRDefault="006931B2" w:rsidP="006931B2">
      <w:r>
        <w:t>Vlada je sprejela stališče k predlogu sklepa Sveta o stališču, ki se v imenu Evropske unije zastopa na 24. zasedanju konference pogodbenic Konvencije o varstvu Sredozemskega morja pred onesnaženjem in njenih protokolov.</w:t>
      </w:r>
    </w:p>
    <w:p w14:paraId="17AE0C84" w14:textId="77777777" w:rsidR="006931B2" w:rsidRDefault="006931B2" w:rsidP="006931B2"/>
    <w:p w14:paraId="0B22DC74" w14:textId="16B1BBE0" w:rsidR="006931B2" w:rsidRDefault="006931B2" w:rsidP="006931B2">
      <w:r>
        <w:t xml:space="preserve">Republika Slovenija podpira predlog sklepa Sveta o </w:t>
      </w:r>
      <w:proofErr w:type="gramStart"/>
      <w:r>
        <w:t>stališča</w:t>
      </w:r>
      <w:proofErr w:type="gramEnd"/>
      <w:r>
        <w:t xml:space="preserve"> v delu, ki se nanaša na spremembe Prilog II in III k Protokolu o posebej zavarovanih območjih in biotski raznovrstnosti v Sredozemlju.</w:t>
      </w:r>
    </w:p>
    <w:p w14:paraId="536FFFF8" w14:textId="77777777" w:rsidR="006931B2" w:rsidRDefault="006931B2" w:rsidP="006931B2"/>
    <w:p w14:paraId="0ABB9EEB" w14:textId="77777777" w:rsidR="006931B2" w:rsidRDefault="006931B2" w:rsidP="006931B2">
      <w:r>
        <w:t xml:space="preserve">Namen spremembe Prilog II in III je vključitev treh vrst hrustančnih in šest vrst spužev v Prilogo II (Seznam prizadetih ali ogroženih vrst) ter premik štirih vrst hrustančnic iz Priloge III (Seznam vrst, katerih izkoriščanje je urejeno), saj predstavljajo nujen odziv na kritično stanje prizadetih vrst, kot je bilo ugotovljeno na podlagi obvezne znanstvene analize.  </w:t>
      </w:r>
    </w:p>
    <w:p w14:paraId="5ACC5E55" w14:textId="77777777" w:rsidR="006931B2" w:rsidRDefault="006931B2" w:rsidP="006931B2"/>
    <w:p w14:paraId="6D4BCF39" w14:textId="77777777" w:rsidR="006931B2" w:rsidRDefault="006931B2" w:rsidP="006931B2">
      <w:r>
        <w:t>Do preostalih treh predlaganih odločitev je Republika Slovenija zadržana in jih ne podpira, saj predlagani trije sklepi v členu 1b, 1c in 1d nimajo pravnih učinkov za države članice EU in iz tega razloga njihova vključitev v Sklep Sveta ni potrebna.</w:t>
      </w:r>
    </w:p>
    <w:p w14:paraId="58AC6886" w14:textId="5BD7BC69" w:rsidR="00F17053" w:rsidRDefault="006931B2" w:rsidP="006931B2">
      <w:pPr>
        <w:pStyle w:val="Vir"/>
      </w:pPr>
      <w:r>
        <w:lastRenderedPageBreak/>
        <w:t>Vir: Ministrstvo za naravne vire in prostor</w:t>
      </w:r>
    </w:p>
    <w:p w14:paraId="581329F5" w14:textId="300C2B3C" w:rsidR="00CE3D56" w:rsidRDefault="00CE3D56" w:rsidP="00CE3D56">
      <w:pPr>
        <w:pStyle w:val="Naslov2"/>
      </w:pPr>
      <w:r>
        <w:t xml:space="preserve">Predlog stališča Republike Slovenije do predloga uredbe Sveta o vzpostavitvi programa pomoči pri razgradnji jedrske elektrarne </w:t>
      </w:r>
      <w:proofErr w:type="spellStart"/>
      <w:r>
        <w:t>Ignalina</w:t>
      </w:r>
      <w:proofErr w:type="spellEnd"/>
      <w:r>
        <w:t xml:space="preserve"> v Litvi za obdobje 2028–2034 in razveljavitvi Uredbe (EU) 2021/101</w:t>
      </w:r>
    </w:p>
    <w:p w14:paraId="39BF3E13" w14:textId="77777777" w:rsidR="00CE3D56" w:rsidRDefault="00CE3D56" w:rsidP="00CE3D56">
      <w:r>
        <w:t xml:space="preserve">Vlada je sprejela stališče do predloga uredbe Sveta EU o vzpostavitvi programa pomoči pri razgradnji jedrske elektrarne </w:t>
      </w:r>
      <w:proofErr w:type="spellStart"/>
      <w:r>
        <w:t>Ignalina</w:t>
      </w:r>
      <w:proofErr w:type="spellEnd"/>
      <w:r>
        <w:t xml:space="preserve"> v Litvi za obdobje 2028–2034. Slovenija predlog uredbe podpira in se zavzema za nadaljnje zagotavljanje evropskih sredstev za varno zapiranje in razgradnjo objekta. </w:t>
      </w:r>
    </w:p>
    <w:p w14:paraId="78BD2E8C" w14:textId="77777777" w:rsidR="00CE3D56" w:rsidRDefault="00CE3D56" w:rsidP="00CE3D56"/>
    <w:p w14:paraId="0CAFB449" w14:textId="77777777" w:rsidR="00CE3D56" w:rsidRDefault="00CE3D56" w:rsidP="00CE3D56">
      <w:proofErr w:type="spellStart"/>
      <w:r>
        <w:t>Ignalina</w:t>
      </w:r>
      <w:proofErr w:type="spellEnd"/>
      <w:r>
        <w:t xml:space="preserve">, kjer sta delovala dva reaktorja tipa RBMK-1500, enake zasnove kot v Černobilu, je že vrsto let v postopku razgradnje. Program EU omogoča dolgoročno financiranje teh izjemno zahtevnih tehničnih, logističnih in varnostnih postopkov. Sredstva bodo med letoma 2028 in 2034 znašala 678 milijonov evrov. </w:t>
      </w:r>
    </w:p>
    <w:p w14:paraId="4BA41F13" w14:textId="77777777" w:rsidR="00CE3D56" w:rsidRDefault="00CE3D56" w:rsidP="00CE3D56"/>
    <w:p w14:paraId="7248EB79" w14:textId="77777777" w:rsidR="00CE3D56" w:rsidRDefault="00CE3D56" w:rsidP="00CE3D56">
      <w:r>
        <w:t xml:space="preserve">Slovenija podpira cilje in finančne določbe predlagane uredbe, saj program prispeva k večji jedrski varnosti v </w:t>
      </w:r>
      <w:proofErr w:type="gramStart"/>
      <w:r>
        <w:t>regiji</w:t>
      </w:r>
      <w:proofErr w:type="gramEnd"/>
      <w:r>
        <w:t xml:space="preserve"> in EU kot celoti. Projekt vključuje tehnološko zahtevne naloge, kot je demontaža grafitnih reaktorskih sredic ter varno ravnanje z radioaktivnim grafitom, ki predstavlja eno največjih tehničnih in varnostnih izzivov razgradnje. </w:t>
      </w:r>
    </w:p>
    <w:p w14:paraId="727E7D69" w14:textId="77777777" w:rsidR="00CE3D56" w:rsidRDefault="00CE3D56" w:rsidP="00CE3D56"/>
    <w:p w14:paraId="799E1A1B" w14:textId="77777777" w:rsidR="00CE3D56" w:rsidRDefault="00CE3D56" w:rsidP="00CE3D56">
      <w:r>
        <w:t xml:space="preserve">Razgradnja </w:t>
      </w:r>
      <w:proofErr w:type="spellStart"/>
      <w:r>
        <w:t>Ignaline</w:t>
      </w:r>
      <w:proofErr w:type="spellEnd"/>
      <w:r>
        <w:t xml:space="preserve"> ima tudi širši evropski pomen. Gre za edinstven projekt, ki krepi strokovno znanje na področju varnega zapiranja jedrskih objektov. Pridobljene izkušnje bodo koristile tudi drugim državam članicam EU pri njihovih prihodnjih nalogah razgradnje. </w:t>
      </w:r>
    </w:p>
    <w:p w14:paraId="415C6C7A" w14:textId="77777777" w:rsidR="00CE3D56" w:rsidRDefault="00CE3D56" w:rsidP="00CE3D56"/>
    <w:p w14:paraId="11BA691A" w14:textId="77777777" w:rsidR="00CE3D56" w:rsidRDefault="00CE3D56" w:rsidP="00CE3D56">
      <w:r>
        <w:t xml:space="preserve">Predlog uredbe ne vpliva na slovenski proračun in ne posega v pravni red ali pristojnosti Republike Slovenije. Slovenija ocenjuje, da bo nadaljevanje programa pozitivno vplivalo na jedrsko varnost in okolje v širši </w:t>
      </w:r>
      <w:proofErr w:type="gramStart"/>
      <w:r>
        <w:t>regiji</w:t>
      </w:r>
      <w:proofErr w:type="gramEnd"/>
      <w:r>
        <w:t>.</w:t>
      </w:r>
    </w:p>
    <w:p w14:paraId="6932C79A" w14:textId="375EC9B0" w:rsidR="00F17053" w:rsidRDefault="00CE3D56" w:rsidP="00CE3D56">
      <w:pPr>
        <w:pStyle w:val="Vir"/>
      </w:pPr>
      <w:r>
        <w:t>Vir: Ministrstvo za okolje, podnebje in energijo</w:t>
      </w:r>
    </w:p>
    <w:p w14:paraId="65A14F8A" w14:textId="61718F21" w:rsidR="00CE3D56" w:rsidRDefault="00CE3D56" w:rsidP="00CE3D56">
      <w:pPr>
        <w:pStyle w:val="Naslov2"/>
      </w:pPr>
      <w:r>
        <w:t xml:space="preserve">Predlog stališča Republike Slovenije do Predloga uredbe Sveta o vzpostavitvi instrumenta za sodelovanje na področju jedrske varnosti in razgradnjo za obdobje 2028–2034 ter razveljavitvi uredb (Euratom) </w:t>
      </w:r>
      <w:proofErr w:type="gramStart"/>
      <w:r>
        <w:t>2021/100</w:t>
      </w:r>
      <w:proofErr w:type="gramEnd"/>
      <w:r>
        <w:t xml:space="preserve"> in (Euratom) 2021/948</w:t>
      </w:r>
    </w:p>
    <w:p w14:paraId="0DB4C6BB" w14:textId="77777777" w:rsidR="00CE3D56" w:rsidRDefault="00CE3D56" w:rsidP="00CE3D56">
      <w:r>
        <w:t xml:space="preserve">Vlada je sprejela stališče do predloga uredbe Sveta EU o vzpostavitvi novega instrumenta za sodelovanje na področju jedrske varnosti in razgradnje za obdobje 2028–2034, ki združuje obstoječe finančne mehanizme in programe na tem področju. Slovenija predlog podpira, saj ocenjuje, da bo prispeval k večji varnosti jedrskih objektov v Evropski uniji in partnerskih državah ter k učinkovitejšemu ravnanju z radioaktivnimi odpadki. </w:t>
      </w:r>
    </w:p>
    <w:p w14:paraId="6B38A708" w14:textId="77777777" w:rsidR="00CE3D56" w:rsidRDefault="00CE3D56" w:rsidP="00CE3D56"/>
    <w:p w14:paraId="776CD976" w14:textId="77777777" w:rsidR="00CE3D56" w:rsidRDefault="00CE3D56" w:rsidP="00CE3D56">
      <w:r>
        <w:t xml:space="preserve">Predlagani instrument povezuje dosedanje programe mednarodnega sodelovanja na področju jedrske varnosti in razgradnje jedrskih objektov v enoten sistem financiranja, kar bo zmanjšalo administrativne obremenitve in okrepilo preglednost porabe sredstev. Okvirni proračun za izvajanje instrumenta v obdobju 2028–2034 znaša 966 milijonov evrov. </w:t>
      </w:r>
    </w:p>
    <w:p w14:paraId="25DF71F0" w14:textId="77777777" w:rsidR="00CE3D56" w:rsidRDefault="00CE3D56" w:rsidP="00CE3D56"/>
    <w:p w14:paraId="0822D796" w14:textId="77777777" w:rsidR="00CE3D56" w:rsidRDefault="00CE3D56" w:rsidP="00CE3D56">
      <w:r>
        <w:t xml:space="preserve">Zunanja komponenta instrumenta bo namenjena sodelovanju z državami zunaj EU za krepitev jedrske varnosti, notranja pa bo podpirala razgradnjo opuščenih jedrskih objektov ter ravnanje z radioaktivnimi odpadki v državah članicah, zlasti na lokacijah Skupnega raziskovalnega središča Evropske komisije. Cilj je zmanjšati tveganja jedrskih nesreč, zagotoviti višjo zaščito ljudi in okolja ter deliti strokovno znanje na ravni EU. </w:t>
      </w:r>
    </w:p>
    <w:p w14:paraId="3BB54F56" w14:textId="77777777" w:rsidR="00CE3D56" w:rsidRDefault="00CE3D56" w:rsidP="00CE3D56"/>
    <w:p w14:paraId="35B178C6" w14:textId="77777777" w:rsidR="00CE3D56" w:rsidRDefault="00CE3D56" w:rsidP="00CE3D56">
      <w:r>
        <w:t xml:space="preserve">Slovenija pri obravnavi predloga poudarja pomen varnega upravljanja jedrskih objektov, odgovornega ravnanja z izrabljenim jedrskim gorivom ter nadaljnjega razvoja tehnologij, ki sledijo najvišjim </w:t>
      </w:r>
      <w:r>
        <w:lastRenderedPageBreak/>
        <w:t xml:space="preserve">varnostnim standardom. Vlada ocenjuje, da bo sprejem nove uredbe pozitivno vplival na varstvo okolja in utrdil visoko raven jedrske varnosti v Evropski uniji. </w:t>
      </w:r>
    </w:p>
    <w:p w14:paraId="5C575B5F" w14:textId="7473184C" w:rsidR="00F17053" w:rsidRDefault="00CE3D56" w:rsidP="00CE3D56">
      <w:pPr>
        <w:pStyle w:val="Vir"/>
      </w:pPr>
      <w:r>
        <w:t>Vir: Ministrstvo za okolje, podnebje in energijo</w:t>
      </w:r>
    </w:p>
    <w:p w14:paraId="29668E93" w14:textId="1BE5B235" w:rsidR="00B863C1" w:rsidRDefault="00B863C1" w:rsidP="00B863C1">
      <w:pPr>
        <w:pStyle w:val="Naslov2"/>
      </w:pPr>
      <w:r>
        <w:t>Stališče Vlade Republike Slovenije k Predlogu uredbe Evropskega parlamenta in Sveta o spremembi uredb glede poenostavitve nekaterih zahtev in postopkov za kemične izdelke</w:t>
      </w:r>
    </w:p>
    <w:p w14:paraId="4CDCCA35" w14:textId="77777777" w:rsidR="00B863C1" w:rsidRDefault="00B863C1" w:rsidP="00B863C1">
      <w:r>
        <w:t xml:space="preserve">Vlada Republike Slovenije je na današnji seji obravnavala predlog uredbe Evropskega parlamenta in Sveta o spremembi uredb (ES) št. 1272/2008, (ES) št. 1223/2009 in (EU) 2019/1009 glede poenostavitve nekaterih zahtev in postopkov za kemične izdelke (Omnibus 6). Predlog vsebuje ciljno usmerjene spremembe treh evropskih uredb na področju kemikalij, kozmetike in umetnih gnojil, s katerimi želi zagotoviti bolj preprosto, učinkovito in tehnološko usklajeno regulativno okolje, ki podpira konkurenčnost evropske industrije in prispeva k ciljem trajnostnega razvoja, digitalizacije ter zmanjšanja birokracije ob ohranitvi visoke ravni zaščite zdravja ljudi in okolja.  </w:t>
      </w:r>
    </w:p>
    <w:p w14:paraId="4D4624A0" w14:textId="77777777" w:rsidR="00B863C1" w:rsidRDefault="00B863C1" w:rsidP="00B863C1"/>
    <w:p w14:paraId="16F7F202" w14:textId="77777777" w:rsidR="00B863C1" w:rsidRDefault="00B863C1" w:rsidP="00B863C1">
      <w:r>
        <w:t>Vlada Republika Slovenija predlagane poenostavitve podpira, saj predstavljajo pomemben korak v smeri racionalizacije zakonodaje in omogočajo hitrejši in cenejši dostop do notranjega trga, povečujejo inovacijski potencial ter podpirajo cilje evropskega zelenega dogovora. Predlagane poenostavitve ne poseganja v varovanje zdravja ljudi in okolja, pri tem pa ne posegajo v bistvene elemente varovanje zdravja ljudi in okolja.</w:t>
      </w:r>
    </w:p>
    <w:p w14:paraId="410BEF13" w14:textId="77777777" w:rsidR="00B863C1" w:rsidRDefault="00B863C1" w:rsidP="00B863C1"/>
    <w:p w14:paraId="01DF7629" w14:textId="77777777" w:rsidR="00B863C1" w:rsidRDefault="00B863C1" w:rsidP="00B863C1">
      <w:r>
        <w:t xml:space="preserve">Vlada Republike Slovenije je ob tem izpostavila nekaj zadržkov do sprememb Uredbe o kozmetičnih proizvodih, saj ugotavlja, da nekatere od njih resneje posegajo v vzpostavljene standarde varovanja potrošnikov, na primer podaljšanje prehodnih rokov v primeru prepovedi rakotvornih, mutagenih ali </w:t>
      </w:r>
      <w:proofErr w:type="spellStart"/>
      <w:r>
        <w:t>reprotoksičnih</w:t>
      </w:r>
      <w:proofErr w:type="spellEnd"/>
      <w:r>
        <w:t xml:space="preserve"> (strupenih za razmnoževanje) sestavin na 12 mesecev za dajanje na trg in 24 mesecev za dostopnost na trgu ter ukinitev nadzora kozmetičnih izdelkov, ki vsebujejo nanomateriale. </w:t>
      </w:r>
    </w:p>
    <w:p w14:paraId="5C8AA469" w14:textId="74C4B698" w:rsidR="00F17053" w:rsidRDefault="00B863C1" w:rsidP="00B863C1">
      <w:pPr>
        <w:pStyle w:val="Vir"/>
      </w:pPr>
      <w:r>
        <w:t>Vir: Ministrstvo za zdravje</w:t>
      </w:r>
    </w:p>
    <w:p w14:paraId="70798802" w14:textId="0CCF36D2" w:rsidR="00F17053" w:rsidRDefault="00AA55A0" w:rsidP="0074723E">
      <w:pPr>
        <w:pStyle w:val="Naslov2"/>
      </w:pPr>
      <w:r>
        <w:t>S</w:t>
      </w:r>
      <w:r w:rsidR="00F17053">
        <w:t>tališč</w:t>
      </w:r>
      <w:r>
        <w:t>e</w:t>
      </w:r>
      <w:r w:rsidR="00F17053">
        <w:t xml:space="preserve"> do Predloga uredbe o vzpostavitvi Evropskega sklada za regionalni razvoj, vključno z evropskim teritorialnim sodelovanjem (Interreg), in Kohezijskega sklada v okviru sklada iz Uredbe (EU) […] [NRP] ter o določitvi pogojev za izvajanje podpore Unije regionalnemu razvoju od leta 2028 do leta 2034</w:t>
      </w:r>
    </w:p>
    <w:p w14:paraId="25A291F3" w14:textId="26EA9766" w:rsidR="00AA55A0" w:rsidRDefault="00AA55A0" w:rsidP="00AA55A0">
      <w:r>
        <w:t>Vlada Republike Slovenije je sprejela predlog Stališča Republike Slovenije o zadevi predlog Uredbe Evropskega parlamenta in Sveta o vzpostavitvi Evropskega sklada za regionalni razvoj, vključno z evropskim teritorialnim sodelovanjem (Interreg), in Kohezijskega sklada v okviru sklada iz Uredbe (EU) […] [NRP] ter o določitvi pogojev za izvajanje podpore Unije regionalnemu razvoju od leta 2028 do leta 2034</w:t>
      </w:r>
      <w:r w:rsidR="0074723E">
        <w:t>.</w:t>
      </w:r>
    </w:p>
    <w:p w14:paraId="68C5D22B" w14:textId="77777777" w:rsidR="00AA55A0" w:rsidRDefault="00AA55A0" w:rsidP="00AA55A0"/>
    <w:p w14:paraId="081CB2FC" w14:textId="3EC3B200" w:rsidR="00AA55A0" w:rsidRDefault="00AA55A0" w:rsidP="00AA55A0">
      <w:r>
        <w:t>Slovenija pozdravlja predlog uredbe, ki dodatno ureja podporo kohezijski politiki prek Evropskega sklada za regionalni razvoj (ESRR), vključno z evropskim teritorialnim sodelovanjem (Interreg)</w:t>
      </w:r>
      <w:proofErr w:type="gramStart"/>
      <w:r>
        <w:t>,</w:t>
      </w:r>
      <w:proofErr w:type="gramEnd"/>
      <w:r>
        <w:t xml:space="preserve"> in Kohezijskim skladom (KS). </w:t>
      </w:r>
    </w:p>
    <w:p w14:paraId="500B2E95" w14:textId="77777777" w:rsidR="00AA55A0" w:rsidRDefault="00AA55A0" w:rsidP="00AA55A0"/>
    <w:p w14:paraId="5806FD71" w14:textId="77777777" w:rsidR="00AA55A0" w:rsidRDefault="00AA55A0" w:rsidP="00AA55A0">
      <w:r>
        <w:t xml:space="preserve">Slovenija podpira krepitev ekonomske, socialne in teritorialne kohezije ter ohranitev njenih temeljnih načel tudi skozi specifične določbe zadevnega predloga. Slovenija še naprej podpira zeleni in digitalni prehod, ki združuje razvoj kompetenc, infrastrukture, gospodarstva in javnega sektorja. </w:t>
      </w:r>
    </w:p>
    <w:p w14:paraId="1F35C6CC" w14:textId="77777777" w:rsidR="00AA55A0" w:rsidRDefault="00AA55A0" w:rsidP="00AA55A0"/>
    <w:p w14:paraId="6D18456A" w14:textId="77777777" w:rsidR="00AA55A0" w:rsidRDefault="00AA55A0" w:rsidP="00AA55A0">
      <w:r>
        <w:t xml:space="preserve">Zaradi njene geografske umeščenosti je evropsko teritorialno sodelovanje za Slovenijo izjemnega pomena. Slovenija meji kar na štiri države članice Evropske unije in se zaveda, da se napredek in razvoj ne končata na meji države. Zato pozdravlja pristop Komisije glede nadaljevanja programov Interreg in posebne določbe glede načrtov Interreg pri spodbujanju sodelovanja med državami </w:t>
      </w:r>
      <w:r>
        <w:lastRenderedPageBreak/>
        <w:t xml:space="preserve">članicami in njihovimi </w:t>
      </w:r>
      <w:proofErr w:type="gramStart"/>
      <w:r>
        <w:t>regijami</w:t>
      </w:r>
      <w:proofErr w:type="gramEnd"/>
      <w:r>
        <w:t xml:space="preserve"> znotraj Unije ter med državami članicami, njihovimi regijami in državami nečlanicami ali organizacijami za regionalno povezovanje in sodelovanje. </w:t>
      </w:r>
    </w:p>
    <w:p w14:paraId="572BF462" w14:textId="77777777" w:rsidR="00AA55A0" w:rsidRDefault="00AA55A0" w:rsidP="00AA55A0"/>
    <w:p w14:paraId="4C4B3DA0" w14:textId="5DACE262" w:rsidR="00AA55A0" w:rsidRDefault="00AA55A0" w:rsidP="00AA55A0">
      <w:r>
        <w:t xml:space="preserve">Slovenija podpira predlog, da se Interreg izvaja ločeno od načrtov za nacionalna in regionalna partnerstva (NNRP) v obliki načrta za Interreg, da bi zagotovili specifični kontekst za cilj sodelovanja in potrebne načine izvajanja za </w:t>
      </w:r>
      <w:proofErr w:type="spellStart"/>
      <w:r>
        <w:t>večdržavne</w:t>
      </w:r>
      <w:proofErr w:type="spellEnd"/>
      <w:r>
        <w:t xml:space="preserve"> projekte. Pozdravlja nadaljevanje programov Interreg, ki podpirajo skupno obravnavanje izzivov, ki presegajo nacionalne meje, zato si bo prizadevala za ohranitev programov Interreg, v katerih sodeluje, tudi v programskem obdobju 2028–2034. Slovenija nadalje predlaga, da predlog uredbe izrecno ponovno potrdi vlogo </w:t>
      </w:r>
      <w:proofErr w:type="spellStart"/>
      <w:r>
        <w:t>makroregionalnih</w:t>
      </w:r>
      <w:proofErr w:type="spellEnd"/>
      <w:r>
        <w:t xml:space="preserve"> strategij EU ter njihovo povezavo z evropskimi finančnimi instrumenti, saj to prispeva k večji učinkovitosti skupnih naložb na ravni Evropske unije.</w:t>
      </w:r>
    </w:p>
    <w:p w14:paraId="7D87FDC9" w14:textId="77777777" w:rsidR="00AA55A0" w:rsidRDefault="00AA55A0" w:rsidP="00AA55A0"/>
    <w:p w14:paraId="651FFFFA" w14:textId="77777777" w:rsidR="00AA55A0" w:rsidRDefault="00AA55A0" w:rsidP="00AA55A0">
      <w:r>
        <w:t xml:space="preserve">Slovenija podpira integrirane urbane strategije, ki vključujejo trajnostni razvoj, ter predlaga večjo </w:t>
      </w:r>
      <w:proofErr w:type="gramStart"/>
      <w:r>
        <w:t>fleksibilnost</w:t>
      </w:r>
      <w:proofErr w:type="gramEnd"/>
      <w:r>
        <w:t xml:space="preserve"> pri vključevanju lokalnih akterjev. V tem oziru meni, da je treba zagotoviti jasna pravila za vključevanje lokalnih in regionalnih deležnikov ter okrepiti večnivojsko upravljanje in preglednost postopkov. Slovenija se zavzema za ohranitev vidnosti podpore urbanemu razvoju.</w:t>
      </w:r>
    </w:p>
    <w:p w14:paraId="17AC12AF" w14:textId="77777777" w:rsidR="00AA55A0" w:rsidRDefault="00AA55A0" w:rsidP="00AA55A0"/>
    <w:p w14:paraId="3F557687" w14:textId="77777777" w:rsidR="00AA55A0" w:rsidRDefault="00AA55A0" w:rsidP="00AA55A0">
      <w:r>
        <w:t>Slovenija tudi poudarja pomen spoštovanja pravne države, nediskriminacije in dostopnosti ter integracije načel enakosti spolov in trajnostnega razvoja v vse faze izvajanja. Še zlasti izpostavlja izziv, da predlagani pristop na način, kot je bilo to zahtevano v načrtu za okrevanje in odpornost</w:t>
      </w:r>
      <w:proofErr w:type="gramStart"/>
      <w:r>
        <w:t xml:space="preserve"> predstavlja</w:t>
      </w:r>
      <w:proofErr w:type="gramEnd"/>
      <w:r>
        <w:t xml:space="preserve"> več negotovosti za udeležence, upravičence in javne organe, in potrebo po opredelitvi metodologije za merjenje mejnikov in ciljev. </w:t>
      </w:r>
    </w:p>
    <w:p w14:paraId="09C9524A" w14:textId="17293A20" w:rsidR="00AA55A0" w:rsidRDefault="00AA55A0" w:rsidP="00AA55A0">
      <w:pPr>
        <w:pStyle w:val="Vir"/>
      </w:pPr>
      <w:r w:rsidRPr="00AA55A0">
        <w:t>Vir: Ministrstvo za kohezijo in regionalni razvoj</w:t>
      </w:r>
    </w:p>
    <w:p w14:paraId="67C22FFC" w14:textId="26907A67" w:rsidR="00F17053" w:rsidRDefault="0074723E" w:rsidP="0074723E">
      <w:pPr>
        <w:pStyle w:val="Naslov2"/>
      </w:pPr>
      <w:r>
        <w:t>S</w:t>
      </w:r>
      <w:r w:rsidR="00F17053">
        <w:t>tališč</w:t>
      </w:r>
      <w:r>
        <w:t>e</w:t>
      </w:r>
      <w:r w:rsidR="00F17053">
        <w:t xml:space="preserve"> do </w:t>
      </w:r>
      <w:r>
        <w:t>p</w:t>
      </w:r>
      <w:r w:rsidR="00F17053">
        <w:t>redloga uredbe o vzpostavitvi Evropskega socialnega sklada kot dela načrta za nacionalna in regionalna partnerstva iz Uredbe (EU) [uredba o NRP] ter o določitvi pogojev za izvajanje podpore Unije za kakovostne zaposlitve, spretnosti in socialno vključevanje za obdobje 2028–2034</w:t>
      </w:r>
    </w:p>
    <w:p w14:paraId="644284B4" w14:textId="53C607EA" w:rsidR="0074723E" w:rsidRDefault="0074723E" w:rsidP="0074723E">
      <w:r>
        <w:t xml:space="preserve">Vlada Republike Slovenije je sprejela predlog stališča Republike Slovenije k zadevi Predlog uredbe Evropskega parlamenta in Sveta o vzpostavitvi Evropskega socialnega sklada kot dela načrta za nacionalna in regionalna partnerstva iz Uredbe (EU) [uredba o NRP] ter o določitvi pogojev za izvajanje podpore Unije za kakovostne zaposlitve, spretnosti in socialno vključevanje za obdobje 2028–2034. </w:t>
      </w:r>
    </w:p>
    <w:p w14:paraId="66E9DD68" w14:textId="77777777" w:rsidR="0074723E" w:rsidRDefault="0074723E" w:rsidP="0074723E"/>
    <w:p w14:paraId="34DFCDD3" w14:textId="77777777" w:rsidR="0074723E" w:rsidRDefault="0074723E" w:rsidP="0074723E">
      <w:r>
        <w:t>Slovenija pozdravlja predlog uredbe o Evropskem socialnem skladu (v nadaljevanju: ESS), ki prispeva k napredku Unije pri doseganju krovnih ciljev iz evropskega stebra socialnih pravic, predstavlja pomemben mehanizem za krepitev konkurenčnosti Evrope in prispeva k njeni socialni, ekonomski in teritorialni koheziji.</w:t>
      </w:r>
    </w:p>
    <w:p w14:paraId="08E7F8D7" w14:textId="77777777" w:rsidR="0074723E" w:rsidRDefault="0074723E" w:rsidP="0074723E"/>
    <w:p w14:paraId="4641F3C5" w14:textId="77777777" w:rsidR="0074723E" w:rsidRDefault="0074723E" w:rsidP="0074723E">
      <w:r>
        <w:t>V tej luči Slovenija podpira vlaganje sredstev ESS v t. i. Unijo spretnosti, ki ljudem pomaga, da pridobijo spretnosti, potrebne za uspeh v življenju, izobraževanju in poklicnem delovanju. Prav tako pozdravlja nadaljevanje programov za odpravljanje materialne prikrajšanosti z razdeljevanjem hrane in blaga na način, ki to prikrajšanost čim učinkoviteje odpravlja, pri tem pa spoštuje dostojanstvo in preprečuje stigmatizacijo najbolj ogroženih oseb.</w:t>
      </w:r>
    </w:p>
    <w:p w14:paraId="6B31B816" w14:textId="77777777" w:rsidR="0074723E" w:rsidRDefault="0074723E" w:rsidP="0074723E"/>
    <w:p w14:paraId="6D7016EE" w14:textId="77777777" w:rsidR="0074723E" w:rsidRDefault="0074723E" w:rsidP="0074723E">
      <w:r>
        <w:t xml:space="preserve">Slovenija podpira predlog Komisije, da ESS spodbuja celostne pristope, tako s podporo v infrastrukturo kot v ljudi. Slovenija meni, da je jasno treba poudariti pomen celostnih ukrepov, ki združujejo financiranje iz več skladov s ciljem prehoda v konkurenčnejšo in bolj socialno Evropo. </w:t>
      </w:r>
    </w:p>
    <w:p w14:paraId="002C9AE1" w14:textId="77777777" w:rsidR="0074723E" w:rsidRDefault="0074723E" w:rsidP="0074723E"/>
    <w:p w14:paraId="4A3E6B4D" w14:textId="77777777" w:rsidR="0074723E" w:rsidRDefault="0074723E" w:rsidP="0074723E">
      <w:r>
        <w:t xml:space="preserve">Slovenija se strinja, da sta za učinkovito in uspešno izvajanje ukrepov, podprtih z ESS, potrebna dobro upravljanje in partnerstvo med vsemi akterji na zadevnih teritorialnih ravneh ter </w:t>
      </w:r>
      <w:proofErr w:type="gramStart"/>
      <w:r>
        <w:t>družbeno-</w:t>
      </w:r>
      <w:r>
        <w:lastRenderedPageBreak/>
        <w:t>gospodarskimi</w:t>
      </w:r>
      <w:proofErr w:type="gramEnd"/>
      <w:r>
        <w:t xml:space="preserve"> akterji, zlasti socialnimi partnerji in civilno družbo. Prav zato je za delovanje tega sistema treba zagotoviti ustrezno podporo.</w:t>
      </w:r>
    </w:p>
    <w:p w14:paraId="18460109" w14:textId="6B6B0C7C" w:rsidR="00AA55A0" w:rsidRDefault="00AA55A0" w:rsidP="0074723E">
      <w:pPr>
        <w:pStyle w:val="Vir"/>
      </w:pPr>
      <w:r w:rsidRPr="00AA55A0">
        <w:t>Vir: Ministrstvo za kohezijo in regionalni razvoj</w:t>
      </w:r>
    </w:p>
    <w:p w14:paraId="54794B54" w14:textId="196186B7" w:rsidR="003630B8" w:rsidRDefault="003630B8" w:rsidP="003630B8">
      <w:pPr>
        <w:pStyle w:val="Naslov2"/>
      </w:pPr>
      <w:r>
        <w:t>Stališče Slovenije do Konvencije o ustanovitvi Mednarodne komisije za odškodninske zahtevke za Ukrajino</w:t>
      </w:r>
    </w:p>
    <w:p w14:paraId="1081717D" w14:textId="77777777" w:rsidR="003630B8" w:rsidRDefault="003630B8" w:rsidP="003630B8">
      <w:r>
        <w:t>Vlada Republike Slovenije je sprejela predlog stališča Republike Slovenije k zadevi Predlog sklepa Sveta o podpisu Konvencije o ustanovitvi Mednarodne komisije za odškodninske zahtevke za Ukrajino.</w:t>
      </w:r>
    </w:p>
    <w:p w14:paraId="50EB8F84" w14:textId="77777777" w:rsidR="003630B8" w:rsidRDefault="003630B8" w:rsidP="003630B8"/>
    <w:p w14:paraId="77EDA340" w14:textId="77777777" w:rsidR="003630B8" w:rsidRDefault="003630B8" w:rsidP="003630B8">
      <w:r>
        <w:t>Slovenija podpira Predlog sklepa Sveta o podpisu Konvencije o ustanovitvi Mednarodne komisije za odškodninske zahtevke za Ukrajino. Za podpis je Vlada Republike Slovenije pooblastila ministrico za zunanje in evropske zadeve Tanjo Fajon. Konvencijo bodo predvidoma podpisali 16. decembra 2025 v Haagu.</w:t>
      </w:r>
    </w:p>
    <w:p w14:paraId="729CC875" w14:textId="77777777" w:rsidR="003630B8" w:rsidRDefault="003630B8" w:rsidP="003630B8"/>
    <w:p w14:paraId="03C3143D" w14:textId="77777777" w:rsidR="003630B8" w:rsidRDefault="003630B8" w:rsidP="003630B8">
      <w:r>
        <w:t xml:space="preserve">Konvencija je nastajala dlje časa in z več sklopi pogajanj, osnova za njen nastanek in izvedbo pa je resolucija Generalne skupščine </w:t>
      </w:r>
      <w:proofErr w:type="gramStart"/>
      <w:r>
        <w:t>Organizacije Združenih narodov</w:t>
      </w:r>
      <w:proofErr w:type="gramEnd"/>
      <w:r>
        <w:t xml:space="preserve"> A/RES/ES-11/5 z dne, 14. novembra 2022, ki določa obveznost ukrepanja za povrnitev škode zaradi agresije Rusije na Ukrajino. </w:t>
      </w:r>
      <w:proofErr w:type="gramStart"/>
      <w:r>
        <w:t>Slednjo</w:t>
      </w:r>
      <w:proofErr w:type="gramEnd"/>
      <w:r>
        <w:t xml:space="preserve"> je podprlo 94 držav. Resolucija potrjuje, da je treba v sodelovanju z Ukrajino vzpostaviti mednarodni mehanizem za povračilo škode, izgube ali poškodb, ki izhajajo iz mednarodno protipravnih dejanj Rusije v Ukrajini ali proti njej. </w:t>
      </w:r>
    </w:p>
    <w:p w14:paraId="668BF0DD" w14:textId="1138F421" w:rsidR="00F17053" w:rsidRDefault="003630B8" w:rsidP="003630B8">
      <w:pPr>
        <w:pStyle w:val="Vir"/>
      </w:pPr>
      <w:r>
        <w:t>Vir: Ministrstvo za zunanje in evropske zadeve Republike Slovenije</w:t>
      </w:r>
    </w:p>
    <w:p w14:paraId="74FD439F" w14:textId="4709C6B7" w:rsidR="003630B8" w:rsidRDefault="003630B8" w:rsidP="003630B8">
      <w:pPr>
        <w:pStyle w:val="Naslov2"/>
      </w:pPr>
      <w:r>
        <w:t>Program Globalna Evropa</w:t>
      </w:r>
    </w:p>
    <w:p w14:paraId="3DD0FE89" w14:textId="77777777" w:rsidR="003630B8" w:rsidRDefault="003630B8" w:rsidP="003630B8">
      <w:r>
        <w:t>Vlada Republike Slovenije je sprejela sklep, da Republika Slovenija podpira vzpostavitev enotnega instrumenta Globalna Evropa za financiranje zunanjega delovanja Evropske unije v okviru večletnega finančnega okvira 2028-2034.</w:t>
      </w:r>
    </w:p>
    <w:p w14:paraId="15C198B3" w14:textId="77777777" w:rsidR="003630B8" w:rsidRDefault="003630B8" w:rsidP="003630B8"/>
    <w:p w14:paraId="3F0BD714" w14:textId="77777777" w:rsidR="003630B8" w:rsidRDefault="003630B8" w:rsidP="003630B8">
      <w:r>
        <w:t>Gre za predlog Uredbe za vzpostavitev finančnega instrumenta Globalna Evropa za financiranje zunanjega delovanja EU, ki sodi v okvir Večletnega finančnega okvira EU za obdobje 2028-2034. Dokument določa glavne prioritete in načela zunanjega delovanja EU v okviru proračuna EU s ciljem doseči poenostavljeno in bolj osredotočeno ter prožno zunanje delovanje EU tako pri uresničevanju njenih prioritet</w:t>
      </w:r>
      <w:proofErr w:type="gramStart"/>
      <w:r>
        <w:t>,</w:t>
      </w:r>
      <w:proofErr w:type="gramEnd"/>
      <w:r>
        <w:t xml:space="preserve"> kot pri soočanju z izzivi.</w:t>
      </w:r>
    </w:p>
    <w:p w14:paraId="35477B65" w14:textId="7329094B" w:rsidR="00F17053" w:rsidRDefault="003630B8" w:rsidP="003630B8">
      <w:pPr>
        <w:pStyle w:val="Vir"/>
      </w:pPr>
      <w:r>
        <w:t>Vir: Ministrstvo za zunanje in evropske zadeve Republike Slovenije</w:t>
      </w:r>
    </w:p>
    <w:p w14:paraId="7893C5F1" w14:textId="1F5884C5" w:rsidR="00A73018" w:rsidRDefault="00A73018" w:rsidP="00A73018">
      <w:pPr>
        <w:pStyle w:val="Naslov2"/>
      </w:pPr>
      <w:r>
        <w:t>Slovenija podpira ureditev vesoljske zakonodaje v EU, a ohranja pomisleke glede predlaganega besedila predloga</w:t>
      </w:r>
    </w:p>
    <w:p w14:paraId="498E1AA7" w14:textId="77777777" w:rsidR="00A73018" w:rsidRDefault="00A73018" w:rsidP="00A73018">
      <w:r>
        <w:t>Republika Slovenija podpira prizadevanja za ureditev normativnih okvirov vesoljske zakonodaje v okviru Evropske unije ter vzpostavitev enotnih standardov za varnost, odpornost in trajnost vesoljskih operacij po vsej Evropski uniji, ima pa določene pomisleke glede konkretnega predloga besedila uredbe.</w:t>
      </w:r>
    </w:p>
    <w:p w14:paraId="6BA1422C" w14:textId="77777777" w:rsidR="00A73018" w:rsidRDefault="00A73018" w:rsidP="00A73018"/>
    <w:p w14:paraId="24747318" w14:textId="77777777" w:rsidR="00A73018" w:rsidRDefault="00A73018" w:rsidP="00A73018">
      <w:r>
        <w:t xml:space="preserve">Evropska komisija je junija 2025 predstavila Predlog uredbe Evropskega parlamenta in Sveta o varnosti, odpornosti in trajnostnosti vesoljskih dejavnosti v Evropski uniji. Gre za pomemben korak k vzpostavitvi enotnega, preglednega in varnega regulativnega okvira za vse vesoljske </w:t>
      </w:r>
      <w:proofErr w:type="gramStart"/>
      <w:r>
        <w:t>aktivnosti</w:t>
      </w:r>
      <w:proofErr w:type="gramEnd"/>
      <w:r>
        <w:t xml:space="preserve"> v EU.</w:t>
      </w:r>
    </w:p>
    <w:p w14:paraId="227022C8" w14:textId="77777777" w:rsidR="00A73018" w:rsidRDefault="00A73018" w:rsidP="00A73018"/>
    <w:p w14:paraId="42F31BF0" w14:textId="77777777" w:rsidR="00A73018" w:rsidRDefault="00A73018" w:rsidP="00A73018">
      <w:r>
        <w:lastRenderedPageBreak/>
        <w:t>Evropski vesoljski sektor se hitro razvija, od satelitskih komunikacij in opazovanja Zemlje do navigacijskih storitev in komercialnih izstrelitev. Takšen razvoj zahteva jasna, usklajena pravila, ki bodo podpirala konkurenčnost evropskih podjetij, spodbujala inovacije ter zagotavljala učinkovitejše upravljanje varnosti in trajnosti v vesolju. Poseben poudarek je namenjen tudi nadzoru vesoljskih odpadkov in upravljanjem vesoljskega prometa.</w:t>
      </w:r>
    </w:p>
    <w:p w14:paraId="03839265" w14:textId="77777777" w:rsidR="00A73018" w:rsidRDefault="00A73018" w:rsidP="00A73018"/>
    <w:p w14:paraId="6993D5C0" w14:textId="77777777" w:rsidR="00A73018" w:rsidRDefault="00A73018" w:rsidP="00A73018">
      <w:r>
        <w:t xml:space="preserve">Vesoljske tehnologije so postale nepogrešljive za gospodarski razvoj, varnost in družben razvoj Evropske unije. Od navigacijskih sistemov in komunikacij do kriznega upravljanja, varovanja meja in spremljanja podnebnih sprememb – številne ključne storitve so neposredno odvisne od stabilnih in zanesljivih vesoljskih zmogljivosti. Ob naraščajočem številu izstrelitev in vstopu vse več zasebnih </w:t>
      </w:r>
      <w:proofErr w:type="gramStart"/>
      <w:r>
        <w:t>akterjev</w:t>
      </w:r>
      <w:proofErr w:type="gramEnd"/>
      <w:r>
        <w:t xml:space="preserve"> v vesoljski sektor je vzpostavitev enotnega regulativnega okvira nujna. Ta bi omogočil zaščito strateških interesov, okrepil avtonomijo ter zagotovil varno, trajnostno in odgovorno uporabo vesolja kot skupnega prostora.</w:t>
      </w:r>
    </w:p>
    <w:p w14:paraId="677C1544" w14:textId="77777777" w:rsidR="00A73018" w:rsidRDefault="00A73018" w:rsidP="00A73018"/>
    <w:p w14:paraId="1E48CED6" w14:textId="77777777" w:rsidR="00A73018" w:rsidRDefault="00A73018" w:rsidP="00A73018">
      <w:r>
        <w:t>Ima pa Republika Slovenija določene pomisleke glede trenutnega besedila predloga</w:t>
      </w:r>
      <w:proofErr w:type="gramStart"/>
      <w:r>
        <w:t xml:space="preserve"> in</w:t>
      </w:r>
      <w:proofErr w:type="gramEnd"/>
      <w:r>
        <w:t xml:space="preserve"> sicer glede neustrezne pravne podlage. V besedilu predloga je tudi </w:t>
      </w:r>
      <w:proofErr w:type="gramStart"/>
      <w:r>
        <w:t>potrebno</w:t>
      </w:r>
      <w:proofErr w:type="gramEnd"/>
      <w:r>
        <w:t xml:space="preserve"> določno navesti, katera področja so izvzeta. Izrecno bi bilo </w:t>
      </w:r>
      <w:proofErr w:type="gramStart"/>
      <w:r>
        <w:t>potrebno</w:t>
      </w:r>
      <w:proofErr w:type="gramEnd"/>
      <w:r>
        <w:t xml:space="preserve"> izključiti uporabo na področjih nacionalne varnosti, javne varnosti, obrambe ali kazenskega pregona. Prav tako je stališče Slovenije, da je obstoječi sistem geografskega povračila, ki ga uporablja Evropska vesoljska agencija, omogočil razvoj slovenske vesoljske industrije ter da moramo še naprej podpirati razvoj </w:t>
      </w:r>
      <w:proofErr w:type="gramStart"/>
      <w:r>
        <w:t>naše</w:t>
      </w:r>
      <w:proofErr w:type="gramEnd"/>
      <w:r>
        <w:t xml:space="preserve"> vesoljske industrije preko aktivnega vključevanja v projekte Evropske vesoljske agencije.</w:t>
      </w:r>
    </w:p>
    <w:p w14:paraId="6A33A841" w14:textId="77777777" w:rsidR="00A73018" w:rsidRDefault="00A73018" w:rsidP="00A73018"/>
    <w:p w14:paraId="5ACAAE83" w14:textId="77777777" w:rsidR="00A73018" w:rsidRDefault="00A73018" w:rsidP="00A73018">
      <w:r>
        <w:t xml:space="preserve">Za zagotovitev močne vloge Evrope v vesolju je tesno in učinkovito sodelovanje med EU, Evropsko vesoljsko agencijo in državami članicami bistvenega pomena – zlasti glede na trenutni geopolitični kontekst. Države članice EU morajo ohraniti popolno avtonomijo pri svojih odločitvah glede sodelovanja z mednarodnimi in medvladnimi organizacijami. </w:t>
      </w:r>
    </w:p>
    <w:p w14:paraId="7CB085EB" w14:textId="5C3BF19F" w:rsidR="00F17053" w:rsidRDefault="00A73018" w:rsidP="00A73018">
      <w:pPr>
        <w:pStyle w:val="Vir"/>
      </w:pPr>
      <w:r>
        <w:t>Vir: Ministrstvo za gospodarstvo, turizem in šport</w:t>
      </w:r>
    </w:p>
    <w:p w14:paraId="7724943B" w14:textId="4566874A" w:rsidR="00563B4C" w:rsidRDefault="00563B4C" w:rsidP="00563B4C">
      <w:pPr>
        <w:pStyle w:val="Naslov2"/>
      </w:pPr>
      <w:r>
        <w:t xml:space="preserve">Pobuda za sklenitev Večstranskega sporazuma med pristojnimi organi o izmenjavi informacij </w:t>
      </w:r>
      <w:proofErr w:type="spellStart"/>
      <w:r>
        <w:t>GloBE</w:t>
      </w:r>
      <w:proofErr w:type="spellEnd"/>
      <w:r>
        <w:t xml:space="preserve"> (</w:t>
      </w:r>
      <w:proofErr w:type="gramStart"/>
      <w:r>
        <w:t>GIR</w:t>
      </w:r>
      <w:proofErr w:type="gramEnd"/>
      <w:r>
        <w:t xml:space="preserve"> MCAA)</w:t>
      </w:r>
    </w:p>
    <w:p w14:paraId="5157842F" w14:textId="77777777" w:rsidR="00563B4C" w:rsidRDefault="00563B4C" w:rsidP="00563B4C">
      <w:r>
        <w:t xml:space="preserve">Vlada je na današnji seji sprejela pobudo za sklenitev Večstranskega sporazuma med pristojnimi organi o izmenjavi informacij </w:t>
      </w:r>
      <w:proofErr w:type="spellStart"/>
      <w:r>
        <w:t>GloBE</w:t>
      </w:r>
      <w:proofErr w:type="spellEnd"/>
      <w:r>
        <w:t xml:space="preserve"> (</w:t>
      </w:r>
      <w:proofErr w:type="gramStart"/>
      <w:r>
        <w:t>GIR</w:t>
      </w:r>
      <w:proofErr w:type="gramEnd"/>
      <w:r>
        <w:t xml:space="preserve"> MCAA) ter za tega sporazuma pooblastila Petro Česen Čatar, začasno odpravnico poslov na stalnem predstavništvu Republike Slovenije pri Organizaciji za gospodarsko sodelovanje in razvoj (OECD).</w:t>
      </w:r>
    </w:p>
    <w:p w14:paraId="1C05E6FA" w14:textId="77777777" w:rsidR="00563B4C" w:rsidRDefault="00563B4C" w:rsidP="00563B4C"/>
    <w:p w14:paraId="2576D684" w14:textId="148A6308" w:rsidR="00563B4C" w:rsidRDefault="00563B4C" w:rsidP="00563B4C">
      <w:r>
        <w:t xml:space="preserve">Pobuda za sklenitev Večstranskega sporazuma med pristojnimi organi o izmenjavi informacij </w:t>
      </w:r>
      <w:proofErr w:type="spellStart"/>
      <w:r>
        <w:t>GloBE</w:t>
      </w:r>
      <w:proofErr w:type="spellEnd"/>
      <w:r>
        <w:t xml:space="preserve"> je pomembna za lažje in učinkovitejše izvajanje pravil </w:t>
      </w:r>
      <w:proofErr w:type="spellStart"/>
      <w:r>
        <w:t>GloBE</w:t>
      </w:r>
      <w:proofErr w:type="spellEnd"/>
      <w:r>
        <w:t xml:space="preserve"> pri avtomatični izmenjavi informacij, vključenih v informativne obrazce za obračun povrhnjega davka, </w:t>
      </w:r>
      <w:proofErr w:type="gramStart"/>
      <w:r>
        <w:t>z jurisdikcijami</w:t>
      </w:r>
      <w:proofErr w:type="gramEnd"/>
      <w:r>
        <w:t xml:space="preserve"> izvajalkami in jurisdikcijami, ki uporabljajo samo kvalificirani domači minimalni povrhnji davek.</w:t>
      </w:r>
    </w:p>
    <w:p w14:paraId="6433AAD2" w14:textId="77777777" w:rsidR="00563B4C" w:rsidRDefault="00563B4C" w:rsidP="00563B4C"/>
    <w:p w14:paraId="5B105ED1" w14:textId="3ADC28F0" w:rsidR="00563B4C" w:rsidRDefault="00563B4C" w:rsidP="00563B4C">
      <w:r>
        <w:t>Navedeni sporazum, ki je kvalificirani sporazum med pristojnimi organi</w:t>
      </w:r>
      <w:proofErr w:type="gramStart"/>
      <w:r>
        <w:t xml:space="preserve"> se</w:t>
      </w:r>
      <w:proofErr w:type="gramEnd"/>
      <w:r>
        <w:t xml:space="preserve"> sklepa na podlagi Konvencije o medsebojni upravni pomoči pri davčnih zadevah, kot je bila spremenjena s Protokolom o spremembi Konvencije o medsebojni upravni pomoči pri davčnih zadevah. Konvencija določa, da se lahko dve pogodbenici ali več pogodbenic medsebojno dogovorita oziroma </w:t>
      </w:r>
      <w:proofErr w:type="gramStart"/>
      <w:r>
        <w:t>dogovorijo</w:t>
      </w:r>
      <w:proofErr w:type="gramEnd"/>
      <w:r>
        <w:t xml:space="preserve"> o avtomatični izmenjavi informacij, izmenjava informacij pa poteka na dvostranski podlagi med pristojnimi organi. </w:t>
      </w:r>
    </w:p>
    <w:p w14:paraId="1E12621A" w14:textId="77777777" w:rsidR="00563B4C" w:rsidRDefault="00563B4C" w:rsidP="00563B4C"/>
    <w:p w14:paraId="424A41AF" w14:textId="77777777" w:rsidR="00563B4C" w:rsidRDefault="00563B4C" w:rsidP="00563B4C">
      <w:r>
        <w:t xml:space="preserve">Sporazum v 1. členu vsebuje posamezne opredelitve izrazov, v 2. členu je določen način izmenjave informacij, vključenih v informativni obrazec za obračun povrhnjega davka. Rok in tehnični način izmenjave sta določena v 3. členu. Kako pristojna organa sodelujeta ob morebitnih napakah pri informacijah, vključenih v informativni obrazec za obračun povrhnjega davka, ki ga je vložil krovni matični subjekt ali imenovani </w:t>
      </w:r>
      <w:proofErr w:type="spellStart"/>
      <w:r>
        <w:t>vložniški</w:t>
      </w:r>
      <w:proofErr w:type="spellEnd"/>
      <w:r>
        <w:t xml:space="preserve"> subjekt, ali pri nepopolnih informacijah, je določeno v 4. členu. </w:t>
      </w:r>
      <w:r>
        <w:lastRenderedPageBreak/>
        <w:t>V 5. členu je določeno, da se upoštevajo pravila Konvencije o medsebojni upravni pomoči pri davčnih zadevah s protokolom v zvezi s tajnostjo in ukrepi varovanja informacij. Posvetovanje med pristojnimi organi, dopolnitve sporazuma, splošni pogoji glede veljavnosti sporazuma in vloga usklajevalnega organa sekretariata so določeni v 6., 7., 8. in 9. členu sporazuma.</w:t>
      </w:r>
    </w:p>
    <w:p w14:paraId="16F94865" w14:textId="35C69FEE" w:rsidR="00F17053" w:rsidRDefault="00563B4C" w:rsidP="00563B4C">
      <w:pPr>
        <w:pStyle w:val="Vir"/>
      </w:pPr>
      <w:r>
        <w:t>Vir: Ministrstvo za finance</w:t>
      </w:r>
    </w:p>
    <w:p w14:paraId="04FC48BE" w14:textId="1F552108" w:rsidR="00E874AD" w:rsidRPr="00E874AD" w:rsidRDefault="00E874AD" w:rsidP="00E874AD">
      <w:pPr>
        <w:pStyle w:val="Naslov2"/>
      </w:pPr>
      <w:r w:rsidRPr="00E874AD">
        <w:rPr>
          <w:rStyle w:val="Naslov2Znak"/>
          <w:b/>
          <w:bCs/>
        </w:rPr>
        <w:t xml:space="preserve">Memorandum o soglasju glede izvedbe </w:t>
      </w:r>
      <w:proofErr w:type="gramStart"/>
      <w:r w:rsidRPr="00E874AD">
        <w:rPr>
          <w:rStyle w:val="Naslov2Znak"/>
          <w:b/>
          <w:bCs/>
        </w:rPr>
        <w:t>koncepta</w:t>
      </w:r>
      <w:proofErr w:type="gramEnd"/>
      <w:r w:rsidRPr="00E874AD">
        <w:rPr>
          <w:rStyle w:val="Naslov2Znak"/>
          <w:b/>
          <w:bCs/>
        </w:rPr>
        <w:t xml:space="preserve"> za pridobitev in uporabo koncepta modularne rešitve zračne obrambe</w:t>
      </w:r>
      <w:r w:rsidRPr="00E874AD">
        <w:t xml:space="preserve"> z uporabo kopenskih oborožitvenih sistemov</w:t>
      </w:r>
    </w:p>
    <w:p w14:paraId="7669C03C" w14:textId="77777777" w:rsidR="00E874AD" w:rsidRDefault="00E874AD" w:rsidP="00E874AD">
      <w:r>
        <w:t xml:space="preserve">Vlada Republike Slovenije je potrdila Spremembo št. 1 k Memorandumu o soglasju glede izvedbe </w:t>
      </w:r>
      <w:proofErr w:type="gramStart"/>
      <w:r>
        <w:t>koncepta</w:t>
      </w:r>
      <w:proofErr w:type="gramEnd"/>
      <w:r>
        <w:t xml:space="preserve"> za pridobitev in uporabo koncepta modularne rešitve zračne obrambe z uporabo kopenskih oborožitvenih sistemov, ki je bila sklenjena zaradi sprejema Romunije kot nove udeleženke memoranduma. </w:t>
      </w:r>
    </w:p>
    <w:p w14:paraId="5200A319" w14:textId="77777777" w:rsidR="00E874AD" w:rsidRDefault="00E874AD" w:rsidP="00E874AD">
      <w:r>
        <w:t xml:space="preserve">S sprejetjem memoranduma leta 2023 se je začel skupen razvoj in nabava modularnih zmogljivosti za odzivanje na grožnje iz zraka v celotnem spektru zelo kratkega, kratkega in srednjega dosega. </w:t>
      </w:r>
    </w:p>
    <w:p w14:paraId="62E69D01" w14:textId="7D7DE619" w:rsidR="00F17053" w:rsidRDefault="00E874AD" w:rsidP="00E874AD">
      <w:pPr>
        <w:pStyle w:val="Vir"/>
      </w:pPr>
      <w:r>
        <w:t>Vir: Ministrstvo za zunanje in evropske zadeve Republike Slovenije</w:t>
      </w:r>
    </w:p>
    <w:p w14:paraId="06B17779" w14:textId="6ED9FFB4" w:rsidR="00A36C9A" w:rsidRDefault="00A36C9A" w:rsidP="00A36C9A">
      <w:pPr>
        <w:pStyle w:val="Naslov2"/>
      </w:pPr>
      <w:r>
        <w:t xml:space="preserve">Vlada se je opredelila do predloga zakona o popravi krivic pri odmeri pokojnin </w:t>
      </w:r>
    </w:p>
    <w:p w14:paraId="17D8673B" w14:textId="77777777" w:rsidR="00A36C9A" w:rsidRDefault="00A36C9A" w:rsidP="00A36C9A">
      <w:r>
        <w:t xml:space="preserve">Vlada je v mnenje prejela </w:t>
      </w:r>
      <w:proofErr w:type="gramStart"/>
      <w:r>
        <w:t>predlog Zakona</w:t>
      </w:r>
      <w:proofErr w:type="gramEnd"/>
      <w:r>
        <w:t xml:space="preserve"> o popravi krivic pri odmeri pokojnin moškim in ženskim upokojencem, ki so se upokojili v obdobju od 1. 1. 2013 do 31. 12. 2022, ki ga je Državnemu zboru predložila skupina 5000 volivk in volivcev. Vlada predloga zakona ne podpira in meni, da je v celoti neprimeren za nadaljnjo obravnavo.</w:t>
      </w:r>
    </w:p>
    <w:p w14:paraId="63FD0FC2" w14:textId="77777777" w:rsidR="00A36C9A" w:rsidRDefault="00A36C9A" w:rsidP="00A36C9A"/>
    <w:p w14:paraId="7E5270B2" w14:textId="77777777" w:rsidR="00A36C9A" w:rsidRDefault="00A36C9A" w:rsidP="00A36C9A">
      <w:r>
        <w:t xml:space="preserve">Po navedbah predlagatelja naj bi se obravnavana kategorija upokojencev v obdobju od </w:t>
      </w:r>
      <w:proofErr w:type="gramStart"/>
      <w:r>
        <w:t>1. 1. 2013</w:t>
      </w:r>
      <w:proofErr w:type="gramEnd"/>
      <w:r>
        <w:t xml:space="preserve"> do 31. 12. 2022 upokojila z odmernim odstotkom, ki je bil v Zakonu o pokojninskem in invalidskem zavarovanju (ZPIZ-2) za moške določen v višini 57,25 odstotka za polno pokojninsko dobo ali zmanjšanim za 1,25 odstotka za vsako manjkajoče leto delovne dobe v primeru starostne upokojitve z izpolnitvijo 65 let starosti. Tudi za ženske naj bi bil po navedbah predlagatelja odmerni odstotek v obdobju od </w:t>
      </w:r>
      <w:proofErr w:type="gramStart"/>
      <w:r>
        <w:t>1. 1. 2013</w:t>
      </w:r>
      <w:proofErr w:type="gramEnd"/>
      <w:r>
        <w:t xml:space="preserve"> do 31. 12. 2017 nižji od 63,5 odstotka. S sprejemom ZPIZ-2 naj bi po navedbah predlagatelja Državni zbor kršil Ustavo Republike Slovenije in evropsko </w:t>
      </w:r>
      <w:proofErr w:type="gramStart"/>
      <w:r>
        <w:t>direktivo</w:t>
      </w:r>
      <w:proofErr w:type="gramEnd"/>
      <w:r>
        <w:t xml:space="preserve">. </w:t>
      </w:r>
    </w:p>
    <w:p w14:paraId="3BBA5A18" w14:textId="77777777" w:rsidR="00A36C9A" w:rsidRDefault="00A36C9A" w:rsidP="00A36C9A"/>
    <w:p w14:paraId="771F2741" w14:textId="77777777" w:rsidR="00A36C9A" w:rsidRDefault="00A36C9A" w:rsidP="00A36C9A">
      <w:r>
        <w:t xml:space="preserve">Predlagatelj pojasnjuje, da je predlog vložen predvsem zaradi odprave neenakopravnega položaja, v katerem so se znašli moški upokojenci v obdobju od </w:t>
      </w:r>
      <w:proofErr w:type="gramStart"/>
      <w:r>
        <w:t>1. 1. 2013</w:t>
      </w:r>
      <w:proofErr w:type="gramEnd"/>
      <w:r>
        <w:t xml:space="preserve"> do 31. 12. 2017, katerih pokojnine so bile odmerjene v nižjih odmernih odstotkih kakor ženskam. Predlagatelj </w:t>
      </w:r>
      <w:proofErr w:type="gramStart"/>
      <w:r>
        <w:t>izpostavlja</w:t>
      </w:r>
      <w:proofErr w:type="gramEnd"/>
      <w:r>
        <w:t xml:space="preserve"> tudi, da želi s predlogom zakona zagotoviti enakopraven položaj vseh upokojencev, ne glede na spol in datum njihove upokojitve. Predlagatelj predlaga, da se pretekla neenakost popravi z retroaktivnim poračunom pokojnin za moške in ženske, ki so se upokojili v navedenem obdobju, in sicer na način, da se jim pokojnine odmerijo po enakih merilih, kot so veljala od leta 2023 dalje. S predlogom zakona predlagatelj že upokojenim moškim in ženskam omogoča dokup dodane delovne dobe, kar naj bi vplivalo na izračun višje pokojnine, pri čemer navaja, da naj bi takšno možnost dokupa veljavni zakon omogočil od </w:t>
      </w:r>
      <w:proofErr w:type="gramStart"/>
      <w:r>
        <w:t>1. 1. 2023</w:t>
      </w:r>
      <w:proofErr w:type="gramEnd"/>
      <w:r>
        <w:t xml:space="preserve"> dalje, medtem ko naj bi bila upokojenim v obdobju med 1. 1. 2012 do 31. 12. 2022 takšna možnost odvzeta. Predlagatelj ureja tudi poračun dodatka za nadaljnje delo po izpolnitvi pogojev za upokojitev, ki naj bi se nekaterim upravičencem priznaval le v višini 20 odstotkov, namesto v višini 40 odstotkov. </w:t>
      </w:r>
    </w:p>
    <w:p w14:paraId="0131CEF8" w14:textId="77777777" w:rsidR="00A36C9A" w:rsidRDefault="00A36C9A" w:rsidP="00A36C9A"/>
    <w:p w14:paraId="6EDDB85D" w14:textId="77777777" w:rsidR="00A36C9A" w:rsidRDefault="00A36C9A" w:rsidP="00A36C9A">
      <w:r>
        <w:t>Vlada meni, da je vsebina predloga zakona nejasna in neobrazložena ter parcialno in nedomišljeno posega v institute sistemskega pokojninskega zakona, kar je nedopustno tako z vidika ustavnih načel</w:t>
      </w:r>
      <w:proofErr w:type="gramStart"/>
      <w:r>
        <w:t>,</w:t>
      </w:r>
      <w:proofErr w:type="gramEnd"/>
      <w:r>
        <w:t xml:space="preserve"> kot z vidika same sistemske urejenosti področja, zaradi česar zakona ne podpira in meni, da je v celoti neprimeren za nadaljnjo obravnavo. </w:t>
      </w:r>
    </w:p>
    <w:p w14:paraId="4AF6B16F" w14:textId="77777777" w:rsidR="00A36C9A" w:rsidRDefault="00A36C9A" w:rsidP="00A36C9A"/>
    <w:p w14:paraId="7501D90C" w14:textId="77777777" w:rsidR="00A36C9A" w:rsidRDefault="00A36C9A" w:rsidP="00A36C9A">
      <w:r>
        <w:lastRenderedPageBreak/>
        <w:t>Vlada poudarja, da si prizadeva, da je pokojninski sistem pregleden, pravičen, vzdržen in zaupanja vreden tako za starejše kot tudi za mlajše generacije in za generacije, ki bodo šele vstopale v sistem, ter da so primerljivi položaji zavarovancev in uživalcev pravic urejeni temu ustrezno in v skladu z načelom enakosti, ne nazadnje pa morajo biti spremembe pokojninske zakonodaje</w:t>
      </w:r>
      <w:proofErr w:type="gramStart"/>
      <w:r>
        <w:t xml:space="preserve"> izvedene</w:t>
      </w:r>
      <w:proofErr w:type="gramEnd"/>
      <w:r>
        <w:t xml:space="preserve"> premišljeno, ob širšem družbenem konsenzu in na podlagi posvetovanja s socialnimi partnerji, sloneti pa morajo na načelih, ki so trdno zasidrana v naš pokojninski sistem. Če torej upokojeni v obdobju med 2013 in 2022 spremembo odmere od leta 2020 dalje dojemajo kot krivico, bi to posledično pomenilo, da bi vsaka sprememba na bolje v okviru pokojninske zakonodaje pomenila novo krivico za vse tiste, ki te niso bili deležni. Vendar pa na področju pokojninskega in invalidskega zavarovanja velja temeljno pravilo, da se pravice iz tega naslova uveljavljajo po predpisih in pod pogoji, ki veljajo v času nastanka zavarovalnega primera, torej v času, ko upravičenec lahko uveljavi pravice iz tega zavarovanja, to je, ko izpolni z vsakokratno zakonodajo določene pogoje za pridobitev pravice, ki veljajo v času njegove odločitve, da zapusti trg dela in se upokoji. Ugotavljanje pogojev za uveljavitev posamezne pravice in določitev odmere sta tako odvisna od zakonodaje, ki je veljavna v času njene uveljavitve. </w:t>
      </w:r>
    </w:p>
    <w:p w14:paraId="6D4B6D92" w14:textId="406531D2" w:rsidR="00F17053" w:rsidRDefault="00A36C9A" w:rsidP="00A36C9A">
      <w:pPr>
        <w:pStyle w:val="Vir"/>
      </w:pPr>
      <w:r>
        <w:t>Vir: Ministrstvo za delo, družino, socialne zadeve in enake možnosti</w:t>
      </w:r>
    </w:p>
    <w:p w14:paraId="75B9FB33" w14:textId="5C918773" w:rsidR="00F17053" w:rsidRDefault="00F17053" w:rsidP="00FC6145">
      <w:pPr>
        <w:pStyle w:val="Naslov2"/>
      </w:pPr>
      <w:r>
        <w:t>Koledar državnih proslav v letu 2026</w:t>
      </w:r>
    </w:p>
    <w:p w14:paraId="20CCA501" w14:textId="77777777" w:rsidR="00FC6145" w:rsidRDefault="00FC6145" w:rsidP="00FC6145">
      <w:r>
        <w:t>Vlada Republike Slovenije je na današnji seji potrdila Koledar državnih proslav v letu 2026, kot ga je pripravil Koordinacijski odbor za državne proslave in prireditve.</w:t>
      </w:r>
    </w:p>
    <w:p w14:paraId="65E2CA63" w14:textId="77777777" w:rsidR="00FC6145" w:rsidRDefault="00FC6145" w:rsidP="00FC6145"/>
    <w:p w14:paraId="487B2C8E" w14:textId="77777777" w:rsidR="00FC6145" w:rsidRDefault="00FC6145" w:rsidP="00FC6145">
      <w:r>
        <w:t>V letu 2026 se bo priredilo šest državnih proslav. Poleg petih praznikov, ob katerih tradicionalno potekajo državne proslave vsako leto, bomo letos z državno proslavo obeležili tudi dan suverenosti, saj bo minilo 35 let od odhoda zadnjega vojaka JLA iz Slovenije.</w:t>
      </w:r>
    </w:p>
    <w:p w14:paraId="38690F57" w14:textId="77777777" w:rsidR="00FC6145" w:rsidRDefault="00FC6145" w:rsidP="00FC6145"/>
    <w:p w14:paraId="317E4895" w14:textId="77777777" w:rsidR="00FC6145" w:rsidRDefault="00FC6145" w:rsidP="00FC6145">
      <w:r>
        <w:t>Po koledarskem sosledju bodo izvedene: državna proslava ob Prešernovem dnevu, slovenskem kulturnem prazniku v Gallusovi dvorani Cankarjevega doma v Ljubljani, državna proslava ob dnevu upora proti okupatorju v Športni dvorani Brežice, državna proslava ob dnevu državnosti na Kongresnem trgu v Ljubljani, državna proslava ob dnevu suverenosti v Dvorani Osnovne šole Koper, državna proslava ob dnevu reformacije v Gledališču Park Murska Sobota ter državna proslava ob dnevu samostojnosti in enotnosti v Gallusovi dvorani Cankarjevega doma v Ljubljani.</w:t>
      </w:r>
    </w:p>
    <w:p w14:paraId="7AE6D05B" w14:textId="0004109D" w:rsidR="00F17053" w:rsidRDefault="00FC6145" w:rsidP="00FC6145">
      <w:pPr>
        <w:pStyle w:val="Vir"/>
      </w:pPr>
      <w:r>
        <w:t>Vir: Generalni sekretariat vlade</w:t>
      </w:r>
    </w:p>
    <w:p w14:paraId="42E40151" w14:textId="3D23B229" w:rsidR="00157D31" w:rsidRDefault="00157D31" w:rsidP="00157D31">
      <w:pPr>
        <w:pStyle w:val="Naslov2"/>
      </w:pPr>
      <w:r>
        <w:t xml:space="preserve">Vlada Ustavnemu sodišču predlaga presojo ustavnosti in zakonitosti občinskih odlokov treh občin v zvezi z zagotavljanjem načela enakosti volilne pravice </w:t>
      </w:r>
    </w:p>
    <w:p w14:paraId="43076287" w14:textId="77777777" w:rsidR="00157D31" w:rsidRDefault="00157D31" w:rsidP="00157D31">
      <w:r>
        <w:t>Vlada Republike Slovenije je sprejela besedilo Zahteve za oceno ustavnosti in zakonitosti občinskih odlokov, ki zaradi kršitev načela enakosti volilne pravice niso skladni z ustavo in zakonom</w:t>
      </w:r>
      <w:proofErr w:type="gramStart"/>
      <w:r>
        <w:t xml:space="preserve"> ter</w:t>
      </w:r>
      <w:proofErr w:type="gramEnd"/>
      <w:r>
        <w:t xml:space="preserve"> zahtevo vloži pri Ustavnem sodišču Republike Slovenije. </w:t>
      </w:r>
    </w:p>
    <w:p w14:paraId="0D5BB52E" w14:textId="77777777" w:rsidR="00157D31" w:rsidRDefault="00157D31" w:rsidP="00157D31"/>
    <w:p w14:paraId="12425AEA" w14:textId="77777777" w:rsidR="00157D31" w:rsidRDefault="00157D31" w:rsidP="00157D31">
      <w:r>
        <w:t>Nekatere občine, kljub večkratnim opozorilom, še niso odpravile neskladij v občinskih odlokih o določitvi volilnih enot za volitve v občinski svet, ki so zaradi kršitev načela enakosti volilne pravice v nasprotju s 43. členom Ustave Republike Slovenije ter z 20. členom Zakona o lokalnih volitvah (ZLV). Ta določa, da se volilne enote oblikujejo tako, da se en član občinskega sveta voli na približno enako število prebivalcev. Odlok občine mora biti skladen tudi s tretjim odstavkom 153. člena Ustave, saj občinski svet z odlokom določi volilne enote za volitve članov v predstavniških organih lokalnih skupnosti. Gre za ustavno varovano volilno pravico, pri kateri morajo biti volivci v enakopravnem položaju in mora biti njihov glas</w:t>
      </w:r>
      <w:proofErr w:type="gramStart"/>
      <w:r>
        <w:t xml:space="preserve"> enakovreden</w:t>
      </w:r>
      <w:proofErr w:type="gramEnd"/>
      <w:r>
        <w:t xml:space="preserve"> glasu drugih volivcev v občini.</w:t>
      </w:r>
    </w:p>
    <w:p w14:paraId="16A67523" w14:textId="77777777" w:rsidR="00157D31" w:rsidRDefault="00157D31" w:rsidP="00157D31"/>
    <w:p w14:paraId="0AE8870D" w14:textId="77777777" w:rsidR="00157D31" w:rsidRDefault="00157D31" w:rsidP="00157D31">
      <w:r>
        <w:lastRenderedPageBreak/>
        <w:t xml:space="preserve">Ministrstvo za javno upravo je kot pristojno za nadzor zakonitosti občinskih predpisov oktobra 2023 opravilo analizo spoštovanja načela splošne in enake volilne pravice pri določitvi volilnih enot za volitve občinskih svetov in pri tem ugotovilo bistvena odstopanja v nekaterih občinah. K odpravi neskladij v občinskih odlokih je pozvalo 65 občin in jim pri tem ves čas nudilo strokovno podporo in pomoč. Z aktivno vlogo je ministrstvo pospešilo odpravo zaznanih neskladij v občinskih predpisih v več občinah, vendar 20 občin kljub večkratnim pozivom, sestankom in posvetom do junija 2025 neskladij ni odpravilo. </w:t>
      </w:r>
    </w:p>
    <w:p w14:paraId="1591AE34" w14:textId="77777777" w:rsidR="00157D31" w:rsidRDefault="00157D31" w:rsidP="00157D31"/>
    <w:p w14:paraId="10D4C860" w14:textId="77777777" w:rsidR="00157D31" w:rsidRDefault="00157D31" w:rsidP="00157D31">
      <w:r>
        <w:t xml:space="preserve">Vlada je Ministrstvu za javno upravo zato naložila, da občine ponovno pozove k odpravi teh neskladij, pri čemer je bil za uskladitev občinskih splošnih aktov s predpisi določen rok </w:t>
      </w:r>
      <w:proofErr w:type="gramStart"/>
      <w:r>
        <w:t>5. 9. 2025</w:t>
      </w:r>
      <w:proofErr w:type="gramEnd"/>
      <w:r>
        <w:t>. Kljub vloženemu naporu ministrstva organi treh občin (Kuzma, Luče in Šalovci) svojih splošnih aktov niso uskladile z Ustavo in ZLV. Zato je Vlada na današnji seji sprejela sklep, da za naštete občine pri Ustavnem sodišču vloži Zahtevo za začetek postopka za oceno ustavnosti in zakonitosti občinskih odlokov.</w:t>
      </w:r>
    </w:p>
    <w:p w14:paraId="03D43B82" w14:textId="4E17C94A" w:rsidR="00F17053" w:rsidRDefault="00157D31" w:rsidP="00157D31">
      <w:pPr>
        <w:pStyle w:val="Vir"/>
      </w:pPr>
      <w:r>
        <w:t>Vir: Ministrstvo za javno upravo</w:t>
      </w:r>
    </w:p>
    <w:p w14:paraId="4FC89A36" w14:textId="13415CA8" w:rsidR="00ED3123" w:rsidRDefault="00ED3123" w:rsidP="00ED3123">
      <w:pPr>
        <w:pStyle w:val="Naslov2"/>
      </w:pPr>
      <w:r>
        <w:t>Vlada potrdila predlog novele zakona o prvem pokojninskem skladu</w:t>
      </w:r>
    </w:p>
    <w:p w14:paraId="338D1BD7" w14:textId="77777777" w:rsidR="00ED3123" w:rsidRDefault="00ED3123" w:rsidP="00ED3123">
      <w:r>
        <w:t>Vlada je danes potrdila predlog novele Zakona o prvem pokojninskem skladu Republike Slovenije in preoblikovanju pooblaščenih investicijskih družb. Predlog omogoča predčasno izplačilo odkupne vrednosti police in uvaja možnost za enkratno izplačilo odkupne vrednosti rente.</w:t>
      </w:r>
    </w:p>
    <w:p w14:paraId="4771C4B2" w14:textId="77777777" w:rsidR="00ED3123" w:rsidRDefault="00ED3123" w:rsidP="00ED3123"/>
    <w:p w14:paraId="7293C657" w14:textId="77777777" w:rsidR="00ED3123" w:rsidRDefault="00ED3123" w:rsidP="00ED3123">
      <w:r>
        <w:t>Prvi pokojninski sklad (PPS) je bil ustanovljen z Zakonom o prvem pokojninskem skladu Republike Slovenije in preoblikovanju pooblaščenih investicijskih družb. Skladno z njim so delničarji pooblaščenih investicijskih družb (PID), ki so še imeli neizkoriščene certifikate, le te lahko obdržali v delnicah PID ali jih zamenjali za pokojninske bone, ki so se pozneje samodejno zamenjali za zavarovalno polico PPS. Od leta 2003 je PPS zaprti vzajemni pokojninski sklad, v katerega dodatna vplačila niso možna.</w:t>
      </w:r>
    </w:p>
    <w:p w14:paraId="2A2CE41A" w14:textId="77777777" w:rsidR="00ED3123" w:rsidRDefault="00ED3123" w:rsidP="00ED3123"/>
    <w:p w14:paraId="173793E3" w14:textId="77777777" w:rsidR="00ED3123" w:rsidRDefault="00ED3123" w:rsidP="00ED3123">
      <w:r>
        <w:t xml:space="preserve">PPS je sestavljen iz dveh delov, varčevalnega in kritnega dela. V varčevalnem delu so sredstva vseh varčevalcev, ki še niso dopolnili 60 let in še niso upravičeni do izplačila rente. V kritnem skladu so sredstva varčevalcev, ki se jim izplačuje pokojninska renta. Kritni sklad PPS je bil oblikovan julija 2004 in je namenjen izključno kritju obveznosti iz naslova izplačil pokojninskih rent. </w:t>
      </w:r>
    </w:p>
    <w:p w14:paraId="4A312828" w14:textId="77777777" w:rsidR="00ED3123" w:rsidRDefault="00ED3123" w:rsidP="00ED3123"/>
    <w:p w14:paraId="5ADE6550" w14:textId="77777777" w:rsidR="00ED3123" w:rsidRDefault="00ED3123" w:rsidP="00ED3123">
      <w:r>
        <w:t xml:space="preserve">Po trenutno veljavnih pravilih je polica dodatnega pokojninskega zavarovanja </w:t>
      </w:r>
      <w:proofErr w:type="gramStart"/>
      <w:r>
        <w:t>PPS zavarovalna polica</w:t>
      </w:r>
      <w:proofErr w:type="gramEnd"/>
      <w:r>
        <w:t xml:space="preserve">, pri kateri član prevzema naložbeno tveganje nad 1-odstotnim zajamčenim donosom, za katerega jamči Modra zavarovalnica. Zavarovalna polica ni prenosljiva in je ni mogoče zastaviti. Član nima pravice zahtevati izplačila odkupne vrednosti police. </w:t>
      </w:r>
    </w:p>
    <w:p w14:paraId="20E1A5A6" w14:textId="77777777" w:rsidR="00ED3123" w:rsidRDefault="00ED3123" w:rsidP="00ED3123"/>
    <w:p w14:paraId="0B9CA740" w14:textId="77777777" w:rsidR="00ED3123" w:rsidRDefault="00ED3123" w:rsidP="00ED3123">
      <w:r>
        <w:t xml:space="preserve">Na vladi potrjena novela pa omogoča predčasno izplačilo odkupne vrednosti police. Predlog zavarovancem omogoča, da pred dopolnjenim 60. letom starosti zahtevajo izplačilo odkupne vrednosti police dodatnega pokojninskega zavarovanja PPS. </w:t>
      </w:r>
    </w:p>
    <w:p w14:paraId="13C902D7" w14:textId="77777777" w:rsidR="00ED3123" w:rsidRDefault="00ED3123" w:rsidP="00ED3123"/>
    <w:p w14:paraId="217EBB9D" w14:textId="77777777" w:rsidR="00ED3123" w:rsidRDefault="00ED3123" w:rsidP="00ED3123">
      <w:r>
        <w:t xml:space="preserve">Za vse prejemnike mesečne pokojninske rente uvaja tudi možnost, da vložijo zahtevek za enkratno izplačilo odkupne vrednosti rente. To pomeni, da lahko ne glede na višino njihovega premoženja vsi upravičenci zahtevajo enkratno izplačilo. S tem se odpravlja omejitev iz sedanje ureditve, ki je to možnost omogočala samo tistim z zneskom premoženja pod določenim pragom. </w:t>
      </w:r>
    </w:p>
    <w:p w14:paraId="15F030C8" w14:textId="77777777" w:rsidR="00ED3123" w:rsidRDefault="00ED3123" w:rsidP="00ED3123"/>
    <w:p w14:paraId="3A8C2BB8" w14:textId="77777777" w:rsidR="00ED3123" w:rsidRDefault="00ED3123" w:rsidP="00ED3123">
      <w:r>
        <w:t xml:space="preserve">Čista vrednost sredstev, ki pripadajo policam dodatnega pokojninskega zavarovanja PPS, je konec februarja 2025 znašala 10,7 milijona evrov. Število članov in obseg sredstev v skladu PPS se </w:t>
      </w:r>
      <w:r>
        <w:lastRenderedPageBreak/>
        <w:t xml:space="preserve">zmanjšujeta zaradi rednih prenehanj (uveljavitev pravice do pokojninske rente) in izrednih prenehanj (smrt članov pred pridobitvijo pokojninske rente). Leta 2024 je bilo članov 12.061. </w:t>
      </w:r>
    </w:p>
    <w:p w14:paraId="6947E057" w14:textId="7F2FC6D3" w:rsidR="00365474" w:rsidRDefault="00ED3123" w:rsidP="00ED3123">
      <w:pPr>
        <w:pStyle w:val="Vir"/>
      </w:pPr>
      <w:r>
        <w:t>Vir: Ministrstvo za finance</w:t>
      </w:r>
    </w:p>
    <w:p w14:paraId="25955ABF" w14:textId="66C1ECC0" w:rsidR="00B77319" w:rsidRDefault="00B77319" w:rsidP="00B77319">
      <w:pPr>
        <w:pStyle w:val="Naslov2"/>
      </w:pPr>
      <w:r>
        <w:t xml:space="preserve">Vlada sprejela </w:t>
      </w:r>
      <w:proofErr w:type="gramStart"/>
      <w:r>
        <w:t>predlog Zakona</w:t>
      </w:r>
      <w:proofErr w:type="gramEnd"/>
      <w:r>
        <w:t xml:space="preserve"> o plačah in prejemkih javnih uslužbencev in funkcionarjev, povezanih z delom v tujini</w:t>
      </w:r>
    </w:p>
    <w:p w14:paraId="0CC0E286" w14:textId="77777777" w:rsidR="00B77319" w:rsidRDefault="00B77319" w:rsidP="00B77319">
      <w:r>
        <w:t xml:space="preserve">Vlada Republike Slovenije je določila besedilo </w:t>
      </w:r>
      <w:proofErr w:type="gramStart"/>
      <w:r>
        <w:t>predloga Zakona</w:t>
      </w:r>
      <w:proofErr w:type="gramEnd"/>
      <w:r>
        <w:t xml:space="preserve"> o plačah in prejemkih javnih uslužbencev in funkcionarjev, povezanih z delom v tujini in ga Državnemu zboru pošilja v obravnavo po nujnem postopku.</w:t>
      </w:r>
    </w:p>
    <w:p w14:paraId="5EBED411" w14:textId="77777777" w:rsidR="00B77319" w:rsidRDefault="00B77319" w:rsidP="00B77319"/>
    <w:p w14:paraId="59DA8284" w14:textId="77777777" w:rsidR="00B77319" w:rsidRDefault="00B77319" w:rsidP="00B77319">
      <w:r>
        <w:t>Sprejem zakona, ki celovito ureja plače in druge prejemke uslužbencev, napotenih na delo v tujino, je nujen za zagotovitev ustreznega, preglednega in pravno predvidljivega sistema, ki odraža posebnosti njihovega delovnega položaja.</w:t>
      </w:r>
    </w:p>
    <w:p w14:paraId="2ECDE2D6" w14:textId="77777777" w:rsidR="00B77319" w:rsidRDefault="00B77319" w:rsidP="00B77319"/>
    <w:p w14:paraId="2B840043" w14:textId="77777777" w:rsidR="00B77319" w:rsidRDefault="00B77319" w:rsidP="00B77319">
      <w:r>
        <w:t xml:space="preserve">Zakon o skupnih temeljih sistema plač v javnem sektorju (ZSTSPJS), s katerim se je izvedla celovita prenova plač v javnem sektorju za zaposlene v Republiki Sloveniji, je določil, da se </w:t>
      </w:r>
      <w:proofErr w:type="gramStart"/>
      <w:r>
        <w:t>plače, povračilo stroškov in druge prejemke zaposlenih javnih uslužbencev napotenih na delo v tujino</w:t>
      </w:r>
      <w:proofErr w:type="gramEnd"/>
      <w:r>
        <w:t xml:space="preserve"> uredi s posebnim zakonom. Predlog zakona tako po več kot 20 letih celovito ureja pravice in obveznosti javnih uslužbencev, napotenih v tujino, saj so bile le-te doslej urejene v podzakonskih aktih.</w:t>
      </w:r>
    </w:p>
    <w:p w14:paraId="020ADFFD" w14:textId="77777777" w:rsidR="00B77319" w:rsidRDefault="00B77319" w:rsidP="00B77319"/>
    <w:p w14:paraId="763F919F" w14:textId="77777777" w:rsidR="00B77319" w:rsidRDefault="00B77319" w:rsidP="00B77319">
      <w:r>
        <w:t xml:space="preserve">Cilj novega zakona je tako sistemska prenova plač in drugih prejemkov za vse javne uslužbence in funkcionarje, napotene na delo v tujino. Vse sestavine plače in drugi prejemki se določajo v enotnem zakonu oziroma skupno za vse javne uslužbence in funkcionarje, napotene na delo v tujino. Morebitne posebnosti oziroma izjeme za posamezne skupine napotenih oseb pa so urejene v posebnem poglavju tega zakona. Napotene osebe so upravičene izključno do prejemkov, določenih v tem zakonu. </w:t>
      </w:r>
    </w:p>
    <w:p w14:paraId="7FC2811D" w14:textId="77777777" w:rsidR="00B77319" w:rsidRDefault="00B77319" w:rsidP="00B77319"/>
    <w:p w14:paraId="63E02C25" w14:textId="77777777" w:rsidR="00B77319" w:rsidRDefault="00B77319" w:rsidP="00B77319">
      <w:r>
        <w:t>Ključni cilji predloga zakona:</w:t>
      </w:r>
    </w:p>
    <w:p w14:paraId="2A0A75F6" w14:textId="54FFA857" w:rsidR="00B77319" w:rsidRDefault="00B77319" w:rsidP="00B77319">
      <w:pPr>
        <w:pStyle w:val="Odstavekseznama"/>
        <w:numPr>
          <w:ilvl w:val="0"/>
          <w:numId w:val="17"/>
        </w:numPr>
      </w:pPr>
      <w:r>
        <w:t>ureditev pravic in obveznosti vseh javnih uslužbencev in funkcionarjev, napotenih na delo v tujino, v ustrezni normativni obliki, to je z zakonom;</w:t>
      </w:r>
    </w:p>
    <w:p w14:paraId="6E5C3522" w14:textId="3E1CEAC2" w:rsidR="00B77319" w:rsidRDefault="00B77319" w:rsidP="00B77319">
      <w:pPr>
        <w:pStyle w:val="Odstavekseznama"/>
        <w:numPr>
          <w:ilvl w:val="0"/>
          <w:numId w:val="17"/>
        </w:numPr>
      </w:pPr>
      <w:r>
        <w:t>ureditev materialnega položaja vseh javnih uslužbencev in funkcionarjev, napotenih na delo v tujino, smiselno enako s splošno ureditvijo, ki določa plače javnih uslužbencev in funkcionarjev v Republiki Sloveniji, ob upoštevanju posebnosti dela v tujini;</w:t>
      </w:r>
    </w:p>
    <w:p w14:paraId="626F403A" w14:textId="11245956" w:rsidR="00B77319" w:rsidRDefault="00B77319" w:rsidP="00B77319">
      <w:pPr>
        <w:pStyle w:val="Odstavekseznama"/>
        <w:numPr>
          <w:ilvl w:val="0"/>
          <w:numId w:val="17"/>
        </w:numPr>
      </w:pPr>
      <w:r>
        <w:t>zagotovitev materialnega položaja javnih uslužbencev in funkcionarjev, napotenih na delo v tujino, ki bo deloval stimulativno za pridobivanje morebitnih kandidatov za napotitev.</w:t>
      </w:r>
    </w:p>
    <w:p w14:paraId="60FFDA0B" w14:textId="77777777" w:rsidR="00B77319" w:rsidRDefault="00B77319" w:rsidP="00B77319"/>
    <w:p w14:paraId="525CC431" w14:textId="77777777" w:rsidR="00B77319" w:rsidRDefault="00B77319" w:rsidP="00B77319">
      <w:r>
        <w:t>Predlog zakona vsebuje poglavitne rešitve, ki odstopajo od veljavne ureditve, in sicer:</w:t>
      </w:r>
    </w:p>
    <w:p w14:paraId="4BDF70BB" w14:textId="15AF2AEC" w:rsidR="00B77319" w:rsidRDefault="00B77319" w:rsidP="00B77319">
      <w:pPr>
        <w:pStyle w:val="Odstavekseznama"/>
        <w:numPr>
          <w:ilvl w:val="0"/>
          <w:numId w:val="18"/>
        </w:numPr>
      </w:pPr>
      <w:r>
        <w:t xml:space="preserve">Osnovna plača za delo v tujini je določena v bruto znesku in se bo usklajevala z inflacijo v skladu z določbami ZSTSPJS. Osnovna plača bo vnaprej določena in ne bo več odvisna od morebitne spremembe indeksa življenjskih stroškov. </w:t>
      </w:r>
    </w:p>
    <w:p w14:paraId="55F4831C" w14:textId="05D679B3" w:rsidR="00B77319" w:rsidRDefault="00B77319" w:rsidP="00B77319">
      <w:pPr>
        <w:pStyle w:val="Odstavekseznama"/>
        <w:numPr>
          <w:ilvl w:val="0"/>
          <w:numId w:val="18"/>
        </w:numPr>
      </w:pPr>
      <w:r>
        <w:t xml:space="preserve">Na novo se opredeljujejo </w:t>
      </w:r>
      <w:proofErr w:type="spellStart"/>
      <w:proofErr w:type="gramStart"/>
      <w:r>
        <w:t>od</w:t>
      </w:r>
      <w:proofErr w:type="gramEnd"/>
      <w:r>
        <w:t>mene</w:t>
      </w:r>
      <w:proofErr w:type="spellEnd"/>
      <w:r>
        <w:t xml:space="preserve"> za višje življenjske stroške v tujini (ki bo odražala razmerje med življenjskimi stroški v kraju napotitvi in Ljubljano) ter druge </w:t>
      </w:r>
      <w:proofErr w:type="spellStart"/>
      <w:r>
        <w:t>odmene</w:t>
      </w:r>
      <w:proofErr w:type="spellEnd"/>
      <w:r>
        <w:t xml:space="preserve"> (za oddaljenost, težje življenjske razmere v tujini, nevarnost v tujini, nastanitev, potne in selitvene stroške, potne stroške za izrabo letnega dopusta v Republiki Sloveniji in ob smrti ožjega družinskega člana, dodatno nezgodno zavarovanje, stroške zdravstvenih zavarovanj in storitev, šolanje otrok, nepreskrbljene otroke, nezaposlenega zakonca ali zunajzakonskega partnerja, socialna zavarovanja nezaposlenega zakonca ali zunajzakonskega partnerja, diplomatsko dejavnost zakonca ali zunajzakonskega partnerja, bančne provizije, organizacijo prevoza posmrtnih ostankov napotene osebe ali ožjega družinskega člana, aktivnosti ohranjanja in obnavljanja psihofizičnih sposobnosti zaradi dela na nevarnih območjih). </w:t>
      </w:r>
    </w:p>
    <w:p w14:paraId="2056A676" w14:textId="7D32EA10" w:rsidR="00B77319" w:rsidRDefault="00B77319" w:rsidP="00B77319">
      <w:pPr>
        <w:pStyle w:val="Odstavekseznama"/>
        <w:numPr>
          <w:ilvl w:val="0"/>
          <w:numId w:val="18"/>
        </w:numPr>
      </w:pPr>
      <w:r>
        <w:lastRenderedPageBreak/>
        <w:t>Preko dodatka za zahtevnost dela v tujini se oblikuje novo vrednotenje delovnih mest, funkcij in nazivov.</w:t>
      </w:r>
    </w:p>
    <w:p w14:paraId="373CB5D0" w14:textId="77777777" w:rsidR="00B77319" w:rsidRDefault="00B77319" w:rsidP="00B77319"/>
    <w:p w14:paraId="2F17C833" w14:textId="6883FCB8" w:rsidR="00B77319" w:rsidRDefault="00B77319" w:rsidP="00B77319">
      <w:r>
        <w:t>Podrobneje bodo pravice posameznega javnega uslužbenca določene z ustrezno uredbo vlade, ki bo sprejeta do začetka uporabe zakona, ki je predvidena s 1. junijem 2026.</w:t>
      </w:r>
    </w:p>
    <w:p w14:paraId="3E682BFD" w14:textId="77777777" w:rsidR="00B77319" w:rsidRDefault="00B77319" w:rsidP="00B77319"/>
    <w:p w14:paraId="3D6C4C1F" w14:textId="77777777" w:rsidR="00B77319" w:rsidRDefault="00B77319" w:rsidP="00B77319">
      <w:r>
        <w:t xml:space="preserve">Sprejem zakona je nujen za zagotovitev sorazmernega, preglednega in ustavno vzdržnega sistema, ki upošteva objektivne razmere v državah napotitve, stopnjo odgovornosti ter naravo nalog, ki jih uslužbenci tam opravljajo. Na ta način se zagotavljata tako učinkovito upravljanje z javnimi sredstvi kot tudi stabilnost in profesionalizacija ter odgovornost zaposlenih, ki izvajajo naloge ključnega pomena za delovanje države v mednarodnem okolju. </w:t>
      </w:r>
    </w:p>
    <w:p w14:paraId="7EB1187A" w14:textId="77777777" w:rsidR="00B77319" w:rsidRDefault="00B77319" w:rsidP="00B77319"/>
    <w:p w14:paraId="6B04EAA4" w14:textId="77777777" w:rsidR="00B77319" w:rsidRDefault="00B77319" w:rsidP="00B77319">
      <w:r>
        <w:t>Sprejem predpisa predstavlja nujen pogoj za krepitev mednarodne prisotnosti in ugleda Republike Slovenije, in sicer za:</w:t>
      </w:r>
    </w:p>
    <w:p w14:paraId="36AA8C31" w14:textId="7DEFBEB7" w:rsidR="00B77319" w:rsidRDefault="00B77319" w:rsidP="00B77319">
      <w:pPr>
        <w:pStyle w:val="Odstavekseznama"/>
        <w:numPr>
          <w:ilvl w:val="0"/>
          <w:numId w:val="19"/>
        </w:numPr>
      </w:pPr>
      <w:r>
        <w:t xml:space="preserve">nemoteno in učinkovito delovanje diplomatskih predstavništev Republike Slovenije v tujini ter drugih </w:t>
      </w:r>
      <w:proofErr w:type="gramStart"/>
      <w:r>
        <w:t>aktivnosti</w:t>
      </w:r>
      <w:proofErr w:type="gramEnd"/>
      <w:r>
        <w:t>, ki jih javni uslužbenci izvajajo v tujini, in</w:t>
      </w:r>
    </w:p>
    <w:p w14:paraId="2C011D98" w14:textId="6DB42B92" w:rsidR="00B77319" w:rsidRDefault="00B77319" w:rsidP="00B77319">
      <w:pPr>
        <w:pStyle w:val="Odstavekseznama"/>
        <w:numPr>
          <w:ilvl w:val="0"/>
          <w:numId w:val="19"/>
        </w:numPr>
      </w:pPr>
      <w:r>
        <w:t xml:space="preserve">izvajanje obveznosti Ministrstva za obrambo in Slovenske vojske iz sprejetih mednarodnih pogodb, na podlagi katerih </w:t>
      </w:r>
      <w:proofErr w:type="gramStart"/>
      <w:r>
        <w:t xml:space="preserve">sodelujeta  </w:t>
      </w:r>
      <w:proofErr w:type="gramEnd"/>
      <w:r>
        <w:t>pri izvrševanju obveznosti, prevzetih v mednarodnih organizacijah, v okviru mednarodnih operacij in misij z več kot 300 pripadniki ter več kot 10 civilnimi funkcionalnimi strokovnjaki. Sodelovanje je tudi s tujimi vojaškimi enotami pri usposabljanju tako doma kot v tujini ter pri izvrševanju priprav in nalog skupne obrambe v okviru zavezništva.</w:t>
      </w:r>
    </w:p>
    <w:p w14:paraId="6CA2EE30" w14:textId="06258292" w:rsidR="00B77319" w:rsidRDefault="00B77319" w:rsidP="00B77319">
      <w:pPr>
        <w:pStyle w:val="Vir"/>
      </w:pPr>
      <w:r>
        <w:t>Vir: Ministrstvo za javno upravo</w:t>
      </w:r>
    </w:p>
    <w:p w14:paraId="00D5B32A" w14:textId="27A60776" w:rsidR="00407DD1" w:rsidRDefault="00407DD1" w:rsidP="00407DD1">
      <w:pPr>
        <w:pStyle w:val="Naslov2"/>
      </w:pPr>
      <w:r>
        <w:t>Vlada sprejela Strategijo razvoja nevladnih organizacij do leta 2030</w:t>
      </w:r>
    </w:p>
    <w:p w14:paraId="3AB1461F" w14:textId="77777777" w:rsidR="00407DD1" w:rsidRDefault="00407DD1" w:rsidP="00407DD1">
      <w:r>
        <w:t>Vlada Republike Slovenije je izdala Odlok o strategiji razvoja nevladnih organizacij v Republiki Sloveniji do leta 2030 in ga objavi v Uradnem listu Republike Slovenije.</w:t>
      </w:r>
    </w:p>
    <w:p w14:paraId="3DDBDA8E" w14:textId="77777777" w:rsidR="00407DD1" w:rsidRDefault="00407DD1" w:rsidP="00407DD1"/>
    <w:p w14:paraId="365C6017" w14:textId="77777777" w:rsidR="00407DD1" w:rsidRDefault="00407DD1" w:rsidP="00407DD1">
      <w:r>
        <w:t xml:space="preserve">Strategija razvoja nevladnih organizacij (NVO) do leta 2030 vsebinsko predstavlja nadaljevanje Strategije o razvoju nevladnih organizacij in prostovoljstva do leta 2023 ter je prva samostojna strategija na področju razvoja nevladnih organizacij (doslej je bila za obe področji – prostovoljstvo in nevladne organizacije – skupna strategija).  </w:t>
      </w:r>
    </w:p>
    <w:p w14:paraId="10DF186B" w14:textId="77777777" w:rsidR="00407DD1" w:rsidRDefault="00407DD1" w:rsidP="00407DD1"/>
    <w:p w14:paraId="59B86DFA" w14:textId="77777777" w:rsidR="00407DD1" w:rsidRDefault="00407DD1" w:rsidP="00407DD1">
      <w:r>
        <w:t xml:space="preserve">Nevladne organizacije v Republiki Sloveniji imajo ključno vlogo pri zagotavljanju socialnih, kulturnih, </w:t>
      </w:r>
      <w:proofErr w:type="gramStart"/>
      <w:r>
        <w:t>okoljskih</w:t>
      </w:r>
      <w:proofErr w:type="gramEnd"/>
      <w:r>
        <w:t>, vzgojno-izobraževalnih, zdravstvenih, športnih, turističnih in drugih storitev. Z izvajanjem raznovrstnih programov in projektov pomembno prispevajo k družbeni blaginji. Pogosto zapolnjujejo vrzeli, ki jih javni sektor ne zmore učinkovito nasloviti, in nastopajo kot močni zagovorniki človekovih pravic ter temeljnih demokratičnih vrednot.</w:t>
      </w:r>
    </w:p>
    <w:p w14:paraId="135FF700" w14:textId="77777777" w:rsidR="00407DD1" w:rsidRDefault="00407DD1" w:rsidP="00407DD1"/>
    <w:p w14:paraId="6393730B" w14:textId="77777777" w:rsidR="00407DD1" w:rsidRDefault="00407DD1" w:rsidP="00407DD1">
      <w:r>
        <w:t xml:space="preserve">Glavni cilji strategije so: </w:t>
      </w:r>
    </w:p>
    <w:p w14:paraId="2AB1681B" w14:textId="5EAD7C9E" w:rsidR="00407DD1" w:rsidRDefault="00407DD1" w:rsidP="00407DD1">
      <w:pPr>
        <w:pStyle w:val="Odstavekseznama"/>
        <w:numPr>
          <w:ilvl w:val="0"/>
          <w:numId w:val="22"/>
        </w:numPr>
      </w:pPr>
      <w:r>
        <w:t xml:space="preserve">okrepitev sodelovanja države in lokalnih skupnosti z NVO pri oblikovanju, izvajanju in </w:t>
      </w:r>
      <w:proofErr w:type="gramStart"/>
      <w:r>
        <w:t>monitoringu</w:t>
      </w:r>
      <w:proofErr w:type="gramEnd"/>
      <w:r>
        <w:t xml:space="preserve"> predpisov in politik;</w:t>
      </w:r>
    </w:p>
    <w:p w14:paraId="72F397FE" w14:textId="79FB710E" w:rsidR="00407DD1" w:rsidRDefault="00407DD1" w:rsidP="00407DD1">
      <w:pPr>
        <w:pStyle w:val="Odstavekseznama"/>
        <w:numPr>
          <w:ilvl w:val="0"/>
          <w:numId w:val="22"/>
        </w:numPr>
      </w:pPr>
      <w:r>
        <w:t xml:space="preserve">okrepitev učinkovitosti, </w:t>
      </w:r>
      <w:proofErr w:type="gramStart"/>
      <w:r>
        <w:t>transparentnosti</w:t>
      </w:r>
      <w:proofErr w:type="gramEnd"/>
      <w:r>
        <w:t xml:space="preserve"> in stabilnosti javnega financiranja NVO in</w:t>
      </w:r>
    </w:p>
    <w:p w14:paraId="061AD05B" w14:textId="62C5F8DC" w:rsidR="00407DD1" w:rsidRDefault="00407DD1" w:rsidP="00407DD1">
      <w:pPr>
        <w:pStyle w:val="Odstavekseznama"/>
        <w:numPr>
          <w:ilvl w:val="0"/>
          <w:numId w:val="22"/>
        </w:numPr>
      </w:pPr>
      <w:r>
        <w:t xml:space="preserve">okrepitev zmogljivosti družbenega </w:t>
      </w:r>
      <w:proofErr w:type="gramStart"/>
      <w:r>
        <w:t xml:space="preserve">inoviranja  </w:t>
      </w:r>
      <w:proofErr w:type="gramEnd"/>
      <w:r>
        <w:t xml:space="preserve">in razvoja storitev v NVO. </w:t>
      </w:r>
    </w:p>
    <w:p w14:paraId="4DB7E7E2" w14:textId="77777777" w:rsidR="00407DD1" w:rsidRDefault="00407DD1" w:rsidP="00407DD1"/>
    <w:p w14:paraId="2347A51E" w14:textId="77777777" w:rsidR="00407DD1" w:rsidRDefault="00407DD1" w:rsidP="00407DD1">
      <w:r>
        <w:t xml:space="preserve">Strategija je bila oblikovana na vključujoč in pregleden način, ob sodelovanju predstavnikov ministrstev, nevladnih in prostovoljskih organizacij, akademske sfere, zasebnega sektorja ter širše </w:t>
      </w:r>
      <w:proofErr w:type="gramStart"/>
      <w:r>
        <w:t>zainteresirane</w:t>
      </w:r>
      <w:proofErr w:type="gramEnd"/>
      <w:r>
        <w:t xml:space="preserve"> javnosti. </w:t>
      </w:r>
    </w:p>
    <w:p w14:paraId="0E96257A" w14:textId="77777777" w:rsidR="00407DD1" w:rsidRDefault="00407DD1" w:rsidP="00407DD1">
      <w:pPr>
        <w:pStyle w:val="Vir"/>
      </w:pPr>
      <w:r>
        <w:t>Vir: Ministrstvo za javno upravo</w:t>
      </w:r>
    </w:p>
    <w:p w14:paraId="55436C74" w14:textId="23D5A005" w:rsidR="00407DD1" w:rsidRDefault="00407DD1" w:rsidP="00407DD1">
      <w:pPr>
        <w:pStyle w:val="Naslov2"/>
      </w:pPr>
      <w:r>
        <w:lastRenderedPageBreak/>
        <w:t>Vlada sprejela Strategijo o razvoju prostovoljstva do leta 2030</w:t>
      </w:r>
    </w:p>
    <w:p w14:paraId="3D5C9836" w14:textId="77777777" w:rsidR="00407DD1" w:rsidRDefault="00407DD1" w:rsidP="00407DD1">
      <w:r>
        <w:t>Vlada Republike Slovenije je izdala Odlok o strategiji razvoja prostovoljstva do leta 2030 in ga objavi v Uradnem listu Republike Slovenije.</w:t>
      </w:r>
    </w:p>
    <w:p w14:paraId="24482616" w14:textId="77777777" w:rsidR="00407DD1" w:rsidRDefault="00407DD1" w:rsidP="00407DD1"/>
    <w:p w14:paraId="7EE9E4FE" w14:textId="77777777" w:rsidR="00407DD1" w:rsidRDefault="00407DD1" w:rsidP="00407DD1">
      <w:r>
        <w:t xml:space="preserve">Strategija razvoja prostovoljstva do leta 2030 vsebinsko predstavlja nadaljevanje Strategije o razvoju nevladnih organizacij in prostovoljstva do leta 2023 ter je prva samostojna strategija na področju razvoja prostovoljstva (doslej je bila za obe področji – prostovoljstvo in nevladne organizacije – skupna strategija). </w:t>
      </w:r>
    </w:p>
    <w:p w14:paraId="6E02DDA8" w14:textId="77777777" w:rsidR="00407DD1" w:rsidRDefault="00407DD1" w:rsidP="00407DD1"/>
    <w:p w14:paraId="7EFE59C2" w14:textId="77777777" w:rsidR="00407DD1" w:rsidRDefault="00407DD1" w:rsidP="00407DD1">
      <w:r>
        <w:t>Prostovoljstvo predstavlja eno od osrednjih vrednot sodobne družbe, saj pomembno prispeva k utrjevanju socialne kohezije in solidarnosti, spodbuja aktivno državljanstvo ter podpira trajnostni razvoj skupnosti. V Republiki Sloveniji ima prostovoljstvo dolgoletno in bogato tradicijo ter že vrsto let pomembno vpliva na številna področja družbenega življenja. Tudi Strategija razvoja Slovenije 2030 prepoznava pomen prostovoljstva kot enega bistvenih elementov za dosego dostojnega življenja za vse. V tem okviru strategija izpostavlja dva osrednja vidika: prostovoljstvo kot samostojno in pomembno družbeno vrednoto ter vlogo prostovoljstva in prostovoljskih organizacij pri učinkovitem odzivanju na aktualne družbene izzive, kot so osamljenost, naraščajoče težave na področju duševnega zdravja, staranje prebivalstva, oboroženi konflikti, podnebne spremembe in naravne nesreče.</w:t>
      </w:r>
    </w:p>
    <w:p w14:paraId="7EC65EAF" w14:textId="77777777" w:rsidR="00407DD1" w:rsidRDefault="00407DD1" w:rsidP="00407DD1"/>
    <w:p w14:paraId="1B2B5F7B" w14:textId="77777777" w:rsidR="00407DD1" w:rsidRDefault="00407DD1" w:rsidP="00407DD1">
      <w:r>
        <w:t>Glavni cilji strategije razvoja prostovoljstva so:</w:t>
      </w:r>
    </w:p>
    <w:p w14:paraId="69FAA78E" w14:textId="2CD9FBF5" w:rsidR="00407DD1" w:rsidRDefault="00407DD1" w:rsidP="00407DD1">
      <w:pPr>
        <w:pStyle w:val="Odstavekseznama"/>
        <w:numPr>
          <w:ilvl w:val="0"/>
          <w:numId w:val="23"/>
        </w:numPr>
      </w:pPr>
      <w:r>
        <w:t xml:space="preserve">stabilno in trajnostno okolje za prostovoljske organizacije; </w:t>
      </w:r>
    </w:p>
    <w:p w14:paraId="4FFAE36D" w14:textId="7BBAC0F1" w:rsidR="00407DD1" w:rsidRDefault="00407DD1" w:rsidP="00407DD1">
      <w:pPr>
        <w:pStyle w:val="Odstavekseznama"/>
        <w:numPr>
          <w:ilvl w:val="0"/>
          <w:numId w:val="23"/>
        </w:numPr>
      </w:pPr>
      <w:r>
        <w:t xml:space="preserve">povečanje števila prostovoljcev in zagotavljanje </w:t>
      </w:r>
      <w:proofErr w:type="gramStart"/>
      <w:r>
        <w:t>kvalitetne</w:t>
      </w:r>
      <w:proofErr w:type="gramEnd"/>
      <w:r>
        <w:t xml:space="preserve"> prostovoljske izkušnje; </w:t>
      </w:r>
    </w:p>
    <w:p w14:paraId="66F3BB90" w14:textId="0BA3C314" w:rsidR="00407DD1" w:rsidRDefault="00407DD1" w:rsidP="00407DD1">
      <w:pPr>
        <w:pStyle w:val="Odstavekseznama"/>
        <w:numPr>
          <w:ilvl w:val="0"/>
          <w:numId w:val="23"/>
        </w:numPr>
      </w:pPr>
      <w:r>
        <w:t>večja prepoznavnost in pomen prostovoljstva ter</w:t>
      </w:r>
    </w:p>
    <w:p w14:paraId="2F6F83E4" w14:textId="5FB41C3C" w:rsidR="00407DD1" w:rsidRDefault="00407DD1" w:rsidP="00407DD1">
      <w:pPr>
        <w:pStyle w:val="Odstavekseznama"/>
        <w:numPr>
          <w:ilvl w:val="0"/>
          <w:numId w:val="23"/>
        </w:numPr>
      </w:pPr>
      <w:r>
        <w:t>prostovoljski programi za reševanje družbenih izzivov.</w:t>
      </w:r>
    </w:p>
    <w:p w14:paraId="64238FFA" w14:textId="77777777" w:rsidR="00407DD1" w:rsidRDefault="00407DD1" w:rsidP="00407DD1"/>
    <w:p w14:paraId="435754F8" w14:textId="77777777" w:rsidR="00407DD1" w:rsidRDefault="00407DD1" w:rsidP="00407DD1">
      <w:r>
        <w:t xml:space="preserve">Strategija je bila oblikovana na vključujoč in pregleden način, ob sodelovanju predstavnikov ministrstev, nevladnih in prostovoljskih organizacij, akademske sfere, zasebnega sektorja ter širše </w:t>
      </w:r>
      <w:proofErr w:type="gramStart"/>
      <w:r>
        <w:t>zainteresirane</w:t>
      </w:r>
      <w:proofErr w:type="gramEnd"/>
      <w:r>
        <w:t xml:space="preserve"> javnosti.</w:t>
      </w:r>
    </w:p>
    <w:p w14:paraId="5AF6FE63" w14:textId="08637E32" w:rsidR="00365474" w:rsidRDefault="00407DD1" w:rsidP="00407DD1">
      <w:pPr>
        <w:pStyle w:val="Vir"/>
      </w:pPr>
      <w:r>
        <w:t>Vir: Ministrstvo za javno upravo</w:t>
      </w:r>
    </w:p>
    <w:p w14:paraId="5350D7B6" w14:textId="41F77DD1" w:rsidR="005F2581" w:rsidRDefault="005F2581" w:rsidP="005F2581">
      <w:pPr>
        <w:pStyle w:val="Naslov2"/>
      </w:pPr>
      <w:r>
        <w:t xml:space="preserve">Vlada sprejela Sklep o uveljavljanju delnega povračila nadomestila plače                                </w:t>
      </w:r>
    </w:p>
    <w:p w14:paraId="6EC3A3FC" w14:textId="77777777" w:rsidR="005F2581" w:rsidRDefault="005F2581" w:rsidP="005F2581">
      <w:r>
        <w:t xml:space="preserve">Vlada je na podlagi Zakona o uveljavljanju delnega povračila nadomestila plače za skrajšani delovni čas sprejela Sklep o uveljavljanju delnega povračila nadomestila plače za obdobje od 5. decembra 2025 do 5. marca 2026. </w:t>
      </w:r>
    </w:p>
    <w:p w14:paraId="595A3166" w14:textId="77777777" w:rsidR="00CA752D" w:rsidRDefault="00CA752D" w:rsidP="005F2581"/>
    <w:p w14:paraId="63836DCD" w14:textId="77777777" w:rsidR="00CA752D" w:rsidRDefault="00CA752D" w:rsidP="00CA752D">
      <w:r>
        <w:t>Zakon o uveljavljanju delnega povračila nadomestila plače za skrajšani delovni čas z namenom ohranitve delovnih mest zaradi začasne nezmožnosti zagotavljanja dela delodajalca omogoča odreditev dela s skrajšanim delovnim časom ob hkratni delni napotitvi na začasno čakanje na delo delavca, ki ima pri delodajalcu sklenjeno pogodbo o zaposlitvi za polni delovni čas, in sicer na način, da delodajalec delavcu zagotavlja delo vsaj za polovični delovni čas.</w:t>
      </w:r>
    </w:p>
    <w:p w14:paraId="44182B50" w14:textId="77777777" w:rsidR="00CA752D" w:rsidRDefault="00CA752D" w:rsidP="00CA752D"/>
    <w:p w14:paraId="6E426DBB" w14:textId="2B479CA2" w:rsidR="00CA752D" w:rsidRDefault="00CA752D" w:rsidP="00CA752D">
      <w:r>
        <w:t>Vlada je v skladu z uredbo, ki določa standardno klasifikacijo dejavnosti, s sklepom določila oddelke dejavnosti, v katerih so nastopile začasne okoliščine z negativnim vplivom na obseg poslovanja delodajalcev in s tem na začasno nemožnost zagotavljanja zadostnega obsega dela delavcem, dogodke, zaradi katerih so nastopile te okoliščine</w:t>
      </w:r>
      <w:proofErr w:type="gramStart"/>
      <w:r>
        <w:t xml:space="preserve"> ter</w:t>
      </w:r>
      <w:proofErr w:type="gramEnd"/>
      <w:r>
        <w:t xml:space="preserve"> obdobje, v katerem lahko delodajalec delavcu odredi delo s skrajšanim delovnim časom in uveljavlja delno povračilo nadomestila plače. </w:t>
      </w:r>
      <w:r>
        <w:t>Oddelki dejavnosti so:</w:t>
      </w:r>
    </w:p>
    <w:p w14:paraId="05789EB1" w14:textId="77777777" w:rsidR="00CA752D" w:rsidRDefault="00CA752D" w:rsidP="00CA752D"/>
    <w:p w14:paraId="7F6C943C" w14:textId="361487A2" w:rsidR="00CA752D" w:rsidRDefault="00CA752D" w:rsidP="00CA752D">
      <w:pPr>
        <w:pStyle w:val="Odstavekseznama"/>
        <w:numPr>
          <w:ilvl w:val="0"/>
          <w:numId w:val="26"/>
        </w:numPr>
      </w:pPr>
      <w:proofErr w:type="spellStart"/>
      <w:r>
        <w:t>C</w:t>
      </w:r>
      <w:proofErr w:type="gramStart"/>
      <w:r>
        <w:t>.</w:t>
      </w:r>
      <w:proofErr w:type="gramEnd"/>
      <w:r>
        <w:t>14</w:t>
      </w:r>
      <w:proofErr w:type="spellEnd"/>
      <w:r>
        <w:t xml:space="preserve"> Proizvodnja oblačil,</w:t>
      </w:r>
    </w:p>
    <w:p w14:paraId="037FBAE3" w14:textId="2BDD3820" w:rsidR="00CA752D" w:rsidRDefault="00CA752D" w:rsidP="00CA752D">
      <w:pPr>
        <w:pStyle w:val="Odstavekseznama"/>
        <w:numPr>
          <w:ilvl w:val="0"/>
          <w:numId w:val="26"/>
        </w:numPr>
      </w:pPr>
      <w:proofErr w:type="spellStart"/>
      <w:r>
        <w:lastRenderedPageBreak/>
        <w:t>C</w:t>
      </w:r>
      <w:proofErr w:type="gramStart"/>
      <w:r>
        <w:t>.</w:t>
      </w:r>
      <w:proofErr w:type="gramEnd"/>
      <w:r>
        <w:t>15</w:t>
      </w:r>
      <w:proofErr w:type="spellEnd"/>
      <w:r>
        <w:t xml:space="preserve"> Proizvodnja usnja, usnjenih in sorodnih izdelkov iz drugih materialov,</w:t>
      </w:r>
    </w:p>
    <w:p w14:paraId="563137F5" w14:textId="2A145FC6" w:rsidR="00CA752D" w:rsidRDefault="00CA752D" w:rsidP="00CA752D">
      <w:pPr>
        <w:pStyle w:val="Odstavekseznama"/>
        <w:numPr>
          <w:ilvl w:val="0"/>
          <w:numId w:val="26"/>
        </w:numPr>
      </w:pPr>
      <w:proofErr w:type="spellStart"/>
      <w:r>
        <w:t>C</w:t>
      </w:r>
      <w:proofErr w:type="gramStart"/>
      <w:r>
        <w:t>.</w:t>
      </w:r>
      <w:proofErr w:type="gramEnd"/>
      <w:r>
        <w:t>17</w:t>
      </w:r>
      <w:proofErr w:type="spellEnd"/>
      <w:r>
        <w:t xml:space="preserve"> Proizvodnja papirja in izdelkov iz papirja,</w:t>
      </w:r>
    </w:p>
    <w:p w14:paraId="393C9343" w14:textId="44F97208" w:rsidR="00CA752D" w:rsidRDefault="00CA752D" w:rsidP="00CA752D">
      <w:pPr>
        <w:pStyle w:val="Odstavekseznama"/>
        <w:numPr>
          <w:ilvl w:val="0"/>
          <w:numId w:val="26"/>
        </w:numPr>
      </w:pPr>
      <w:proofErr w:type="spellStart"/>
      <w:r>
        <w:t>C</w:t>
      </w:r>
      <w:proofErr w:type="gramStart"/>
      <w:r>
        <w:t>.</w:t>
      </w:r>
      <w:proofErr w:type="gramEnd"/>
      <w:r>
        <w:t>18</w:t>
      </w:r>
      <w:proofErr w:type="spellEnd"/>
      <w:r>
        <w:t xml:space="preserve"> Tiskarstvo in razmnoževanje posnetih nosilcev zapisa,</w:t>
      </w:r>
    </w:p>
    <w:p w14:paraId="63EA4256" w14:textId="44816956" w:rsidR="00CA752D" w:rsidRDefault="00CA752D" w:rsidP="00CA752D">
      <w:pPr>
        <w:pStyle w:val="Odstavekseznama"/>
        <w:numPr>
          <w:ilvl w:val="0"/>
          <w:numId w:val="26"/>
        </w:numPr>
      </w:pPr>
      <w:proofErr w:type="spellStart"/>
      <w:r>
        <w:t>C</w:t>
      </w:r>
      <w:proofErr w:type="gramStart"/>
      <w:r>
        <w:t>.</w:t>
      </w:r>
      <w:proofErr w:type="gramEnd"/>
      <w:r>
        <w:t>23</w:t>
      </w:r>
      <w:proofErr w:type="spellEnd"/>
      <w:r>
        <w:t xml:space="preserve"> Proizvodnja nekovinskih mineralnih izdelkov,</w:t>
      </w:r>
    </w:p>
    <w:p w14:paraId="2CFFC4A5" w14:textId="2BBFC2B7" w:rsidR="00CA752D" w:rsidRDefault="00CA752D" w:rsidP="00CA752D">
      <w:pPr>
        <w:pStyle w:val="Odstavekseznama"/>
        <w:numPr>
          <w:ilvl w:val="0"/>
          <w:numId w:val="26"/>
        </w:numPr>
      </w:pPr>
      <w:r>
        <w:t xml:space="preserve">C 24 </w:t>
      </w:r>
      <w:proofErr w:type="gramStart"/>
      <w:r>
        <w:t>Proizvodnja</w:t>
      </w:r>
      <w:proofErr w:type="gramEnd"/>
      <w:r>
        <w:t xml:space="preserve"> kovin,</w:t>
      </w:r>
    </w:p>
    <w:p w14:paraId="6B27BAE4" w14:textId="79E130B2" w:rsidR="00CA752D" w:rsidRDefault="00CA752D" w:rsidP="00CA752D">
      <w:pPr>
        <w:pStyle w:val="Odstavekseznama"/>
        <w:numPr>
          <w:ilvl w:val="0"/>
          <w:numId w:val="26"/>
        </w:numPr>
      </w:pPr>
      <w:proofErr w:type="spellStart"/>
      <w:r>
        <w:t>C</w:t>
      </w:r>
      <w:proofErr w:type="gramStart"/>
      <w:r>
        <w:t>.</w:t>
      </w:r>
      <w:proofErr w:type="gramEnd"/>
      <w:r>
        <w:t>25</w:t>
      </w:r>
      <w:proofErr w:type="spellEnd"/>
      <w:r>
        <w:t xml:space="preserve"> Proizvodnja kovinskih izdelkov, razen strojev in naprav,</w:t>
      </w:r>
    </w:p>
    <w:p w14:paraId="6E39AB92" w14:textId="43377FDA" w:rsidR="00CA752D" w:rsidRDefault="00CA752D" w:rsidP="00CA752D">
      <w:pPr>
        <w:pStyle w:val="Odstavekseznama"/>
        <w:numPr>
          <w:ilvl w:val="0"/>
          <w:numId w:val="26"/>
        </w:numPr>
      </w:pPr>
      <w:proofErr w:type="spellStart"/>
      <w:r>
        <w:t>C</w:t>
      </w:r>
      <w:proofErr w:type="gramStart"/>
      <w:r>
        <w:t>.</w:t>
      </w:r>
      <w:proofErr w:type="gramEnd"/>
      <w:r>
        <w:t>29</w:t>
      </w:r>
      <w:proofErr w:type="spellEnd"/>
      <w:r>
        <w:t xml:space="preserve"> Proizvodnja motornih vozil, prikolic in polprikolic,</w:t>
      </w:r>
    </w:p>
    <w:p w14:paraId="3577EBDD" w14:textId="5F6ABE9B" w:rsidR="00CA752D" w:rsidRDefault="00CA752D" w:rsidP="00CA752D">
      <w:pPr>
        <w:pStyle w:val="Odstavekseznama"/>
        <w:numPr>
          <w:ilvl w:val="0"/>
          <w:numId w:val="26"/>
        </w:numPr>
      </w:pPr>
      <w:proofErr w:type="spellStart"/>
      <w:r>
        <w:t>C</w:t>
      </w:r>
      <w:proofErr w:type="gramStart"/>
      <w:r>
        <w:t>.</w:t>
      </w:r>
      <w:proofErr w:type="gramEnd"/>
      <w:r>
        <w:t>30</w:t>
      </w:r>
      <w:proofErr w:type="spellEnd"/>
      <w:r>
        <w:t xml:space="preserve"> Proizvodnja drugih vozil in plovil,</w:t>
      </w:r>
    </w:p>
    <w:p w14:paraId="54A03F72" w14:textId="7DC0904C" w:rsidR="00CA752D" w:rsidRDefault="00CA752D" w:rsidP="00CA752D">
      <w:pPr>
        <w:pStyle w:val="Odstavekseznama"/>
        <w:numPr>
          <w:ilvl w:val="0"/>
          <w:numId w:val="26"/>
        </w:numPr>
      </w:pPr>
      <w:proofErr w:type="spellStart"/>
      <w:r>
        <w:t>C</w:t>
      </w:r>
      <w:proofErr w:type="gramStart"/>
      <w:r>
        <w:t>.</w:t>
      </w:r>
      <w:proofErr w:type="gramEnd"/>
      <w:r>
        <w:t>31</w:t>
      </w:r>
      <w:proofErr w:type="spellEnd"/>
      <w:r>
        <w:t xml:space="preserve"> Proizvodnja pohištva.</w:t>
      </w:r>
    </w:p>
    <w:p w14:paraId="22AEE12A" w14:textId="77777777" w:rsidR="00CA752D" w:rsidRDefault="00CA752D" w:rsidP="00CA752D"/>
    <w:p w14:paraId="2A00DF8D" w14:textId="77777777" w:rsidR="00CA752D" w:rsidRDefault="00CA752D" w:rsidP="00CA752D">
      <w:r>
        <w:t>Obdobje, v katerem lahko delodajalec delavcu odredi delo s skrajšanim delovnim časom in uveljavlja delno povračilo nadomestila plače, traja od 5. decembra 2025 do 5. marca 2026. Na podlagi opravljene analize in presoje bo vlada preučila možnost ponovnega sprejema sklepa o uveljavljanju delnega povračila nadomestila po poteku omenjenega obdobja.</w:t>
      </w:r>
    </w:p>
    <w:p w14:paraId="10CF4548" w14:textId="0C4B3983" w:rsidR="00770375" w:rsidRDefault="00CA752D" w:rsidP="005F2581">
      <w:pPr>
        <w:pStyle w:val="Vir"/>
      </w:pPr>
      <w:r>
        <w:t>V</w:t>
      </w:r>
      <w:r w:rsidR="005F2581">
        <w:t>ir: Ministrstvo za delo, družino, socialne zadeve in enake možnosti</w:t>
      </w:r>
    </w:p>
    <w:p w14:paraId="77944045" w14:textId="53F8AE2F" w:rsidR="000A64CF" w:rsidRDefault="000A64CF" w:rsidP="000A64CF">
      <w:pPr>
        <w:pStyle w:val="Naslov2"/>
      </w:pPr>
      <w:r>
        <w:t>Vlada prerazporeja sredstva državnega proračuna</w:t>
      </w:r>
    </w:p>
    <w:p w14:paraId="01A0528B" w14:textId="77777777" w:rsidR="000A64CF" w:rsidRDefault="000A64CF" w:rsidP="000A64CF">
      <w:r>
        <w:t>Vlada je na današnji seji odločila o prerazporeditvah pravic porabe v letošnjem državnem proračunu.</w:t>
      </w:r>
    </w:p>
    <w:p w14:paraId="7E8B4681" w14:textId="77777777" w:rsidR="000A64CF" w:rsidRDefault="000A64CF" w:rsidP="000A64CF"/>
    <w:p w14:paraId="401CC2EB" w14:textId="77777777" w:rsidR="000A64CF" w:rsidRDefault="000A64CF" w:rsidP="000A64CF">
      <w:r>
        <w:t>Med drugim več proračunskih uporabnikov prerazporeja pravice porabe na Ministrstvo za delo, družino, socialne zadeve in enake možnosti v skupni vrednosti 35 milijonov evrov za plačilo obveznosti za leto 2025 za starševska nadomestila.</w:t>
      </w:r>
    </w:p>
    <w:p w14:paraId="2A6E80B9" w14:textId="77777777" w:rsidR="000A64CF" w:rsidRDefault="000A64CF" w:rsidP="000A64CF"/>
    <w:p w14:paraId="6C4CFA64" w14:textId="77777777" w:rsidR="000A64CF" w:rsidRDefault="000A64CF" w:rsidP="000A64CF">
      <w:r>
        <w:t xml:space="preserve">Ministrstvo za delo, družino, socialne zadeve in enake možnosti prerazporeja pravice porabe v okviru svojega finančnega načrta v višini 3,9 milijona evrov za plačilo </w:t>
      </w:r>
      <w:proofErr w:type="gramStart"/>
      <w:r>
        <w:t>transferov</w:t>
      </w:r>
      <w:proofErr w:type="gramEnd"/>
      <w:r>
        <w:t xml:space="preserve"> za socialno vključevanje invalidov in rejnine.</w:t>
      </w:r>
    </w:p>
    <w:p w14:paraId="602ECF94" w14:textId="77777777" w:rsidR="000A64CF" w:rsidRDefault="000A64CF" w:rsidP="000A64CF"/>
    <w:p w14:paraId="7EDE4757" w14:textId="77777777" w:rsidR="000A64CF" w:rsidRDefault="000A64CF" w:rsidP="000A64CF">
      <w:r>
        <w:t>Ministrstvo za okolje, podnebje in energijo prerazporeja pravice porabe znotraj finančnih načrtov proračunskih uporabnikov v njegovi pristojnosti v skupni višini 3 milijone evrov za nemoteno izvrševanje finančnih obveznosti iz naslova izvajanja obvezne gospodarske javne službe prevoza potnikov v notranjem in čezmejnem regijskem železniškem prometu.</w:t>
      </w:r>
    </w:p>
    <w:p w14:paraId="3063C7FF" w14:textId="77777777" w:rsidR="000A64CF" w:rsidRDefault="000A64CF" w:rsidP="000A64CF"/>
    <w:p w14:paraId="7EFC50FB" w14:textId="77777777" w:rsidR="000A64CF" w:rsidRDefault="000A64CF" w:rsidP="000A64CF">
      <w:r>
        <w:t>Ministrstvo za notranje zadeve/Policija prerazporeja sredstva znotraj svojega finančnega načrta v višini 1,2 milijona evrov za kritje stroškov dela Policije.</w:t>
      </w:r>
    </w:p>
    <w:p w14:paraId="30BBBB19" w14:textId="77777777" w:rsidR="000A64CF" w:rsidRDefault="000A64CF" w:rsidP="000A64CF"/>
    <w:p w14:paraId="2D05891F" w14:textId="77777777" w:rsidR="000A64CF" w:rsidRDefault="000A64CF" w:rsidP="000A64CF">
      <w:r>
        <w:t>Ministrstvo za solidarno prihodnost prerazporeja pravice porabe v okviru svojega finančnega načrta v višini 300 tisoč evrov za plačilo prispevkov za obvezno zavarovanje za dolgotrajno oskrbo za zavarovane osebe, za katere je center za socialno delo z odločbo priznal pravico do plačila prispevkov iz naslova socialne ogroženosti.</w:t>
      </w:r>
    </w:p>
    <w:p w14:paraId="006CBAF7" w14:textId="486A3856" w:rsidR="00365474" w:rsidRDefault="000A64CF" w:rsidP="000A64CF">
      <w:pPr>
        <w:pStyle w:val="Vir"/>
      </w:pPr>
      <w:r>
        <w:t>Vir: Ministrstvo za finance</w:t>
      </w:r>
    </w:p>
    <w:p w14:paraId="007400FC" w14:textId="432638AD" w:rsidR="00B84A1C" w:rsidRDefault="00B84A1C" w:rsidP="00B84A1C">
      <w:pPr>
        <w:pStyle w:val="Naslov2"/>
      </w:pPr>
      <w:r>
        <w:t>Odprtje novih proračunskih postavk</w:t>
      </w:r>
    </w:p>
    <w:p w14:paraId="7812BF02" w14:textId="77777777" w:rsidR="00B84A1C" w:rsidRDefault="00B84A1C" w:rsidP="00B84A1C">
      <w:r>
        <w:t>Vlada je na današnji seji odločila, da se odprejo nove proračunske postavke iz priloge Seznam novih proračunskih postavk.</w:t>
      </w:r>
    </w:p>
    <w:p w14:paraId="02369868" w14:textId="77777777" w:rsidR="00B84A1C" w:rsidRDefault="00B84A1C" w:rsidP="00B84A1C"/>
    <w:p w14:paraId="038177D2" w14:textId="77777777" w:rsidR="00B84A1C" w:rsidRDefault="00B84A1C" w:rsidP="00B84A1C">
      <w:r>
        <w:t xml:space="preserve">Zaradi zagotovitve izplačila zimskega regresa posrednim proračunskim uporabnikom v skladu z določbami 14. člena Zakona o pravici do zimskega regresa ter prenovi ugotavljanja davčne osnove z </w:t>
      </w:r>
      <w:r>
        <w:lastRenderedPageBreak/>
        <w:t>upoštevanjem normiranih odhodkov se pri predlagateljih finančnih načrtov odprejo nove proračunske postavke.</w:t>
      </w:r>
    </w:p>
    <w:p w14:paraId="18DE62F3" w14:textId="77777777" w:rsidR="00B84A1C" w:rsidRDefault="00B84A1C" w:rsidP="00B84A1C">
      <w:pPr>
        <w:pStyle w:val="Vir"/>
      </w:pPr>
      <w:r>
        <w:t>Vir: Ministrstvo za finance</w:t>
      </w:r>
    </w:p>
    <w:p w14:paraId="03FE0D5C" w14:textId="6517F659" w:rsidR="00BD4632" w:rsidRDefault="00BD4632" w:rsidP="00BD4632">
      <w:pPr>
        <w:pStyle w:val="Naslov2"/>
      </w:pPr>
      <w:r>
        <w:t xml:space="preserve">Vlada je v Načrt razvojnih programov 2025–2028 uvrstila nov projekt – </w:t>
      </w:r>
      <w:proofErr w:type="gramStart"/>
      <w:r>
        <w:t>Revoz</w:t>
      </w:r>
      <w:proofErr w:type="gramEnd"/>
      <w:r>
        <w:t xml:space="preserve"> proizvodnja električnih vozil </w:t>
      </w:r>
    </w:p>
    <w:p w14:paraId="45C37BAF" w14:textId="77777777" w:rsidR="00BD4632" w:rsidRDefault="00BD4632" w:rsidP="00BD4632">
      <w:r>
        <w:t xml:space="preserve">Investitor Revoz d. d. je za </w:t>
      </w:r>
      <w:proofErr w:type="gramStart"/>
      <w:r>
        <w:t>investicijo</w:t>
      </w:r>
      <w:proofErr w:type="gramEnd"/>
      <w:r>
        <w:t xml:space="preserve"> »Revoz - Proizvodnja električnih vozil« na Ministrstvo za gospodarstvo, turizem in šport vložil vlogo za dodelitev investicijske spodbude na podlagi 15. člena Zakona o spodbujanju investicij. Predmet </w:t>
      </w:r>
      <w:proofErr w:type="gramStart"/>
      <w:r>
        <w:t>investicije</w:t>
      </w:r>
      <w:proofErr w:type="gramEnd"/>
      <w:r>
        <w:t xml:space="preserve"> je proizvodnja nove generacije majhnih, cenovno dostopnih, električnih vozil. </w:t>
      </w:r>
      <w:proofErr w:type="gramStart"/>
      <w:r>
        <w:t>Investicija</w:t>
      </w:r>
      <w:proofErr w:type="gramEnd"/>
      <w:r>
        <w:t xml:space="preserve"> pomeni tehnološko preobrazbo tovarne in zajema vlaganja v stroje in opremo. </w:t>
      </w:r>
      <w:proofErr w:type="gramStart"/>
      <w:r>
        <w:t>Investicije</w:t>
      </w:r>
      <w:proofErr w:type="gramEnd"/>
      <w:r>
        <w:t xml:space="preserve"> v tehnološko najnaprednejšo opremo se bodo izvedle v vseh štirih obratih </w:t>
      </w:r>
      <w:proofErr w:type="gramStart"/>
      <w:r>
        <w:t>proizvodnje</w:t>
      </w:r>
      <w:proofErr w:type="gramEnd"/>
      <w:r>
        <w:t xml:space="preserve"> (obrat za preoblikovanje pločevine, obrat za sestavo karoserije, obrat za lakiranje in obrat montaže) kot tudi na področju logistike.</w:t>
      </w:r>
    </w:p>
    <w:p w14:paraId="776CD538" w14:textId="77777777" w:rsidR="00BD4632" w:rsidRDefault="00BD4632" w:rsidP="00BD4632"/>
    <w:p w14:paraId="253CADB9" w14:textId="77777777" w:rsidR="00BD4632" w:rsidRDefault="00BD4632" w:rsidP="00BD4632">
      <w:r>
        <w:t xml:space="preserve">Za investicijo v vrednosti 109.000.000,00 </w:t>
      </w:r>
      <w:proofErr w:type="gramStart"/>
      <w:r>
        <w:t>evrov (brez DDV)</w:t>
      </w:r>
      <w:proofErr w:type="gramEnd"/>
      <w:r>
        <w:t xml:space="preserve"> je bil 24. julija 2024 podpisan memorandum o soglasju za razvoj in proizvodnjo električnih vozil Renault Twingo E-Tech v Novem mestu, s katerim se določa možna podpora države pri razvoju in proizvodnji novega električnega mestnega avtomobila v tovarni Revoz med Vlado RS in investitorjem Revoz d. d. </w:t>
      </w:r>
    </w:p>
    <w:p w14:paraId="23E146BC" w14:textId="77777777" w:rsidR="00BD4632" w:rsidRDefault="00BD4632" w:rsidP="00BD4632"/>
    <w:p w14:paraId="14635A70" w14:textId="77777777" w:rsidR="00BD4632" w:rsidRDefault="00BD4632" w:rsidP="00BD4632">
      <w:r>
        <w:t xml:space="preserve">Predvidena dodana vrednost na zaposlenega v prejemniku spodbude v letu 2029 bo znašala 75.730,00 </w:t>
      </w:r>
      <w:proofErr w:type="gramStart"/>
      <w:r>
        <w:t>evrov</w:t>
      </w:r>
      <w:proofErr w:type="gramEnd"/>
      <w:r>
        <w:t>.</w:t>
      </w:r>
    </w:p>
    <w:p w14:paraId="429140BF" w14:textId="77777777" w:rsidR="00BD4632" w:rsidRDefault="00BD4632" w:rsidP="00BD4632"/>
    <w:p w14:paraId="596DB2DB" w14:textId="77777777" w:rsidR="00BD4632" w:rsidRDefault="00BD4632" w:rsidP="00BD4632">
      <w:r>
        <w:t xml:space="preserve">Vlogi investitorja Revoz d. d. je bilo ugodeno z odločbo o dodelitvi subvencije za </w:t>
      </w:r>
      <w:proofErr w:type="gramStart"/>
      <w:r>
        <w:t>investicijo</w:t>
      </w:r>
      <w:proofErr w:type="gramEnd"/>
      <w:r>
        <w:t xml:space="preserve"> »Brizganje in barvanje sestavnih delov Revoz«. Iz navedene odločbe izhaja, da se prejemniku spodbude odobri subvencija za upravičene stroške naložb v opredmetena osnovna sredstva do skupne višine 21.156.000,00 </w:t>
      </w:r>
      <w:proofErr w:type="gramStart"/>
      <w:r>
        <w:t>evrov</w:t>
      </w:r>
      <w:proofErr w:type="gramEnd"/>
      <w:r>
        <w:t>.</w:t>
      </w:r>
    </w:p>
    <w:p w14:paraId="459FA4B5" w14:textId="77777777" w:rsidR="00BD4632" w:rsidRDefault="00BD4632" w:rsidP="00BD4632">
      <w:pPr>
        <w:pStyle w:val="Vir"/>
      </w:pPr>
      <w:r>
        <w:t>Vir: Ministrstvo za gospodarstvo, turizem in šport</w:t>
      </w:r>
    </w:p>
    <w:p w14:paraId="08B2527C" w14:textId="1424BBA1" w:rsidR="00533FA6" w:rsidRDefault="00533FA6" w:rsidP="00533FA6">
      <w:pPr>
        <w:pStyle w:val="Naslov2"/>
      </w:pPr>
      <w:r>
        <w:t>Vlada je v Načrt razvojnih programov 2025–2028 uvrstila nov projekt – Širitev proizvodnih zmogljivosti Paloma</w:t>
      </w:r>
    </w:p>
    <w:p w14:paraId="43EB22A5" w14:textId="77777777" w:rsidR="00533FA6" w:rsidRDefault="00533FA6" w:rsidP="00533FA6">
      <w:r>
        <w:t xml:space="preserve">Investitor Paloma d. d. je za </w:t>
      </w:r>
      <w:proofErr w:type="gramStart"/>
      <w:r>
        <w:t>investicijo</w:t>
      </w:r>
      <w:proofErr w:type="gramEnd"/>
      <w:r>
        <w:t xml:space="preserve"> z nazivom »Paloma 4.0« na Ministrstvo za gospodarstvo, turizem in šport vložil vlogo za dodelitev subvencije na podlagi 15. člena Zakona o spodbujanju investicij. Namen </w:t>
      </w:r>
      <w:proofErr w:type="gramStart"/>
      <w:r>
        <w:t>investicije</w:t>
      </w:r>
      <w:proofErr w:type="gramEnd"/>
      <w:r>
        <w:t xml:space="preserve"> je prehod na naprednejšo tehnologijo in avtomatizacijo ter digitalizacijo poslovnih in proizvodnih procesov, kar bo prispevalo k povečanju produktivnosti, trajnostnemu razvoju in boljši konkurenčnosti podjetja. S tem se podjetje usmerja k </w:t>
      </w:r>
      <w:proofErr w:type="gramStart"/>
      <w:r>
        <w:t>dekarbonizaciji</w:t>
      </w:r>
      <w:proofErr w:type="gramEnd"/>
      <w:r>
        <w:t xml:space="preserve"> in digitalnemu prehodu.</w:t>
      </w:r>
    </w:p>
    <w:p w14:paraId="2E9CDE7F" w14:textId="77777777" w:rsidR="00533FA6" w:rsidRDefault="00533FA6" w:rsidP="00533FA6"/>
    <w:p w14:paraId="53107DB6" w14:textId="77777777" w:rsidR="00533FA6" w:rsidRDefault="00533FA6" w:rsidP="00533FA6">
      <w:r>
        <w:t xml:space="preserve">Med glavnimi cilji investicije so povečanje produktivnosti in kapacitet izdelave končnih izdelkov iz papirja za približno 30 odstotkov do leta 2028 in povečanje dodane vrednosti na zaposlenega do leta 2030 na 81.166,00 </w:t>
      </w:r>
      <w:proofErr w:type="gramStart"/>
      <w:r>
        <w:t>evrov</w:t>
      </w:r>
      <w:proofErr w:type="gramEnd"/>
      <w:r>
        <w:t xml:space="preserve">. V okviru </w:t>
      </w:r>
      <w:proofErr w:type="gramStart"/>
      <w:r>
        <w:t>investicije</w:t>
      </w:r>
      <w:proofErr w:type="gramEnd"/>
      <w:r>
        <w:t xml:space="preserve"> bo prejemnik spodbude najkasneje v treh letih po zaključku investicije ustvaril in zapolnil 30 novih delovnih mest, od tega 5 visokokvalificiranih. Datum začetka </w:t>
      </w:r>
      <w:proofErr w:type="gramStart"/>
      <w:r>
        <w:t>investicije</w:t>
      </w:r>
      <w:proofErr w:type="gramEnd"/>
      <w:r>
        <w:t xml:space="preserve"> je 3. januar 2025, datum zaključka investicije pa 2. januar 2028.</w:t>
      </w:r>
    </w:p>
    <w:p w14:paraId="3AB38536" w14:textId="77777777" w:rsidR="00533FA6" w:rsidRDefault="00533FA6" w:rsidP="00533FA6"/>
    <w:p w14:paraId="140A3725" w14:textId="77777777" w:rsidR="00533FA6" w:rsidRDefault="00533FA6" w:rsidP="00533FA6">
      <w:r>
        <w:t xml:space="preserve">Vlogi investitorja Paloma, higienski papirji, d. d., je bilo ugodeno z odločbo o dodelitvi subvencije za investicijo »Paloma 4.0« za upravičene stroške naložb v opredmetena osnovna sredstva do skupne višine 7.600.824,93 </w:t>
      </w:r>
      <w:proofErr w:type="gramStart"/>
      <w:r>
        <w:t>evrov</w:t>
      </w:r>
      <w:proofErr w:type="gramEnd"/>
      <w:r>
        <w:t xml:space="preserve">. </w:t>
      </w:r>
    </w:p>
    <w:p w14:paraId="77B5A63E" w14:textId="77777777" w:rsidR="00533FA6" w:rsidRDefault="00533FA6" w:rsidP="00533FA6">
      <w:pPr>
        <w:pStyle w:val="Vir"/>
      </w:pPr>
      <w:r>
        <w:t>Vir: Ministrstvo za gospodarstvo, turizem in šport</w:t>
      </w:r>
    </w:p>
    <w:p w14:paraId="7075E100" w14:textId="1B97C346" w:rsidR="00B82BDB" w:rsidRDefault="00B82BDB" w:rsidP="00B82BDB">
      <w:pPr>
        <w:pStyle w:val="Naslov2"/>
      </w:pPr>
      <w:r>
        <w:lastRenderedPageBreak/>
        <w:t xml:space="preserve">Vlada je v Načrt razvojnih programov 2025–2028 uvrstila nov projekt – Brizganje in barvanje sestavnih delov Revoz </w:t>
      </w:r>
    </w:p>
    <w:p w14:paraId="0CAF65B7" w14:textId="77777777" w:rsidR="00B82BDB" w:rsidRDefault="00B82BDB" w:rsidP="00B82BDB">
      <w:r>
        <w:t xml:space="preserve">Investitor Revoz d. d. je za </w:t>
      </w:r>
      <w:proofErr w:type="gramStart"/>
      <w:r>
        <w:t>investicijo</w:t>
      </w:r>
      <w:proofErr w:type="gramEnd"/>
      <w:r>
        <w:t xml:space="preserve"> »Brizganje in barvanje sestavnih delov Revoz« na Ministrstvo za gospodarstvo, turizem in šport vložil vlogo za dodelitev investicijske spodbude na podlagi 15. člena Zakona o spodbujanju investicij. Predmet </w:t>
      </w:r>
      <w:proofErr w:type="gramStart"/>
      <w:r>
        <w:t>investicije</w:t>
      </w:r>
      <w:proofErr w:type="gramEnd"/>
      <w:r>
        <w:t xml:space="preserve"> je dogradnja novega obrata za brizganje in barvanje plastičnih sestavnih delov. </w:t>
      </w:r>
      <w:proofErr w:type="gramStart"/>
      <w:r>
        <w:t>Investicija</w:t>
      </w:r>
      <w:proofErr w:type="gramEnd"/>
      <w:r>
        <w:t xml:space="preserve"> pomeni tehnološko dograditev tovarne in zajema vlaganja v stroje in opremo ter modifikacije na stavbah znotraj podjetja. </w:t>
      </w:r>
      <w:proofErr w:type="gramStart"/>
      <w:r>
        <w:t>Investicija</w:t>
      </w:r>
      <w:proofErr w:type="gramEnd"/>
      <w:r>
        <w:t xml:space="preserve"> v tehnološko najnaprednejšo opremo bo izvedena v novonastalem obratu proizvodnje, in sicer obratu za brizganje in barvanje plastičnih sestavnih delov.</w:t>
      </w:r>
    </w:p>
    <w:p w14:paraId="3FDDC9C3" w14:textId="77777777" w:rsidR="00B82BDB" w:rsidRDefault="00B82BDB" w:rsidP="00B82BDB"/>
    <w:p w14:paraId="3A922517" w14:textId="77777777" w:rsidR="00B82BDB" w:rsidRDefault="00B82BDB" w:rsidP="00B82BDB">
      <w:r>
        <w:t xml:space="preserve">Za investicijo v vrednosti 14.000.000,00 </w:t>
      </w:r>
      <w:proofErr w:type="gramStart"/>
      <w:r>
        <w:t>evrov (brez DDV)</w:t>
      </w:r>
      <w:proofErr w:type="gramEnd"/>
      <w:r>
        <w:t xml:space="preserve"> je bil 24. julija 2024 podpisan memorandum o soglasju za razvoj in proizvodnjo električnih vozil Renault Twingo E-Tech v Novem mestu, s katerim se določa možna podpora države pri razvoju in proizvodnji novega električnega mestnega avtomobila v tovarni Revoz med Vlado RS in investitorjem Revoz d. d.</w:t>
      </w:r>
    </w:p>
    <w:p w14:paraId="13A5C8BD" w14:textId="77777777" w:rsidR="00B82BDB" w:rsidRDefault="00B82BDB" w:rsidP="00B82BDB"/>
    <w:p w14:paraId="5A12A4EB" w14:textId="77777777" w:rsidR="00B82BDB" w:rsidRDefault="00B82BDB" w:rsidP="00B82BDB">
      <w:r>
        <w:t xml:space="preserve">Predvidena dodana vrednost na zaposlenega v prejemniku spodbude v letu 2029 bo znašala 75.850,00 </w:t>
      </w:r>
      <w:proofErr w:type="gramStart"/>
      <w:r>
        <w:t>evrov</w:t>
      </w:r>
      <w:proofErr w:type="gramEnd"/>
      <w:r>
        <w:t>.</w:t>
      </w:r>
    </w:p>
    <w:p w14:paraId="184DB64C" w14:textId="77777777" w:rsidR="00B82BDB" w:rsidRDefault="00B82BDB" w:rsidP="00B82BDB"/>
    <w:p w14:paraId="78573CCD" w14:textId="77777777" w:rsidR="00B82BDB" w:rsidRDefault="00B82BDB" w:rsidP="00B82BDB">
      <w:r>
        <w:t xml:space="preserve">Vlogi investitorja Revoz d. d. je bilo ugodeno z odločbo o dodelitvi subvencije za </w:t>
      </w:r>
      <w:proofErr w:type="gramStart"/>
      <w:r>
        <w:t>investicijo</w:t>
      </w:r>
      <w:proofErr w:type="gramEnd"/>
      <w:r>
        <w:t xml:space="preserve"> »Brizganje in barvanje sestavnih delov Revoz«. Iz navedene odločbe izhaja, da se prejemniku spodbude odobri subvencija do skupne višine 3.612.000,00 </w:t>
      </w:r>
      <w:proofErr w:type="gramStart"/>
      <w:r>
        <w:t>evrov</w:t>
      </w:r>
      <w:proofErr w:type="gramEnd"/>
      <w:r>
        <w:t xml:space="preserve">. </w:t>
      </w:r>
    </w:p>
    <w:p w14:paraId="1BD6F693" w14:textId="1C3D13F7" w:rsidR="00365474" w:rsidRDefault="00B82BDB" w:rsidP="00B82BDB">
      <w:pPr>
        <w:pStyle w:val="Vir"/>
      </w:pPr>
      <w:r>
        <w:t>Vir: Ministrstvo za gospodarstvo, turizem in šport</w:t>
      </w:r>
    </w:p>
    <w:p w14:paraId="5BECAD67" w14:textId="27ABD236" w:rsidR="00644D88" w:rsidRDefault="00644D88" w:rsidP="00644D88">
      <w:pPr>
        <w:pStyle w:val="Naslov2"/>
      </w:pPr>
      <w:r>
        <w:t xml:space="preserve">Vlada je v veljavni Načrt razvojnih programov 2025–2028 uvrstila nov projekt – Razvoj platform za trajnostno mobilnost </w:t>
      </w:r>
      <w:proofErr w:type="gramStart"/>
      <w:r>
        <w:t>E-</w:t>
      </w:r>
      <w:proofErr w:type="spellStart"/>
      <w:r>
        <w:t>Move</w:t>
      </w:r>
      <w:proofErr w:type="spellEnd"/>
      <w:proofErr w:type="gramEnd"/>
    </w:p>
    <w:p w14:paraId="2577B05A" w14:textId="77777777" w:rsidR="00644D88" w:rsidRDefault="00644D88" w:rsidP="00644D88">
      <w:r>
        <w:t xml:space="preserve">Revoz d. d. je kot prijavitelj in prejemnik spodbude, v imenu vseh partnerjev konzorcija, na Ministrstvo za gospodarstvo, turizem in šport vložil neposredno vlogo za pridobitev sredstev za </w:t>
      </w:r>
      <w:proofErr w:type="gramStart"/>
      <w:r>
        <w:t>investicije</w:t>
      </w:r>
      <w:proofErr w:type="gramEnd"/>
      <w:r>
        <w:t xml:space="preserve"> v raziskave, razvoj in inovacije, ki pomembno prispevajo k razvoju slovenskega gospodarstva.</w:t>
      </w:r>
    </w:p>
    <w:p w14:paraId="7BB5463B" w14:textId="77777777" w:rsidR="00644D88" w:rsidRDefault="00644D88" w:rsidP="00644D88"/>
    <w:p w14:paraId="745447F5" w14:textId="77777777" w:rsidR="00644D88" w:rsidRDefault="00644D88" w:rsidP="00644D88">
      <w:r>
        <w:t>Konzorcijski partnerji so sklenili konzorcijsko pogodbo za izvedbo investicije v raziskave in razvoj ter inovacije »</w:t>
      </w:r>
      <w:proofErr w:type="gramStart"/>
      <w:r>
        <w:t>E-</w:t>
      </w:r>
      <w:proofErr w:type="spellStart"/>
      <w:r>
        <w:t>move</w:t>
      </w:r>
      <w:proofErr w:type="spellEnd"/>
      <w:proofErr w:type="gramEnd"/>
      <w:r>
        <w:t>«, s katero so Revoz d. d. pooblastili, da v njihovem imenu odda skupno vlogo, nastopa kot prijavitelj in podpiše pogodbo. V pogodbi je določeno, da vodilni partner in vsi konzorcijski partnerji solidarno odgovarjajo za izpolnjevanje obveznosti ter da obveznosti vodilnega partnerja veljajo za obveznosti vseh partnerjev.</w:t>
      </w:r>
    </w:p>
    <w:p w14:paraId="60596C07" w14:textId="77777777" w:rsidR="00644D88" w:rsidRDefault="00644D88" w:rsidP="00644D88"/>
    <w:p w14:paraId="61922348" w14:textId="77777777" w:rsidR="00644D88" w:rsidRDefault="00644D88" w:rsidP="00644D88">
      <w:r>
        <w:t xml:space="preserve">Konzorcij </w:t>
      </w:r>
      <w:proofErr w:type="gramStart"/>
      <w:r>
        <w:t>E-</w:t>
      </w:r>
      <w:proofErr w:type="spellStart"/>
      <w:r>
        <w:t>move</w:t>
      </w:r>
      <w:proofErr w:type="spellEnd"/>
      <w:proofErr w:type="gramEnd"/>
      <w:r>
        <w:t xml:space="preserve"> sestavljajo: Revoz d. d., LTH Castings d. o. o., Tomplast, d. o. o., Siliko d. o. o., Oprema Ravne d. o. o., Razvojni center Novo mesto d. o. o., pri čemer Revoz d. d. prevzema vlogo vodilnega konzorcijskega partnerja.</w:t>
      </w:r>
    </w:p>
    <w:p w14:paraId="3E6059B9" w14:textId="77777777" w:rsidR="00644D88" w:rsidRDefault="00644D88" w:rsidP="00644D88"/>
    <w:p w14:paraId="115EDC83" w14:textId="77777777" w:rsidR="00644D88" w:rsidRDefault="00644D88" w:rsidP="00644D88">
      <w:r>
        <w:t xml:space="preserve">Namen </w:t>
      </w:r>
      <w:proofErr w:type="gramStart"/>
      <w:r>
        <w:t>investicije</w:t>
      </w:r>
      <w:proofErr w:type="gramEnd"/>
      <w:r>
        <w:t xml:space="preserve"> je skupno vlaganje v razvoj naprednih tehnično-tehnoloških rešitev za trajnostno in napredno proizvodnjo prihodnjih generacij vozil. Projekt predstavlja pomemben korak v dolgoročnem sodelovanju industrijskih partnerjev in odpira nove razvojne priložnosti za slovensko gospodarstvo na področju električne mobilnosti.</w:t>
      </w:r>
    </w:p>
    <w:p w14:paraId="7F3E39F2" w14:textId="77777777" w:rsidR="00644D88" w:rsidRDefault="00644D88" w:rsidP="00644D88"/>
    <w:p w14:paraId="1141E723" w14:textId="77777777" w:rsidR="00644D88" w:rsidRDefault="00644D88" w:rsidP="00644D88">
      <w:r>
        <w:t xml:space="preserve">Celoten </w:t>
      </w:r>
      <w:proofErr w:type="gramStart"/>
      <w:r>
        <w:t>koncept</w:t>
      </w:r>
      <w:proofErr w:type="gramEnd"/>
      <w:r>
        <w:t xml:space="preserve"> investicije vključuje razvoj vseh ključnih komponent električnega vozila:</w:t>
      </w:r>
    </w:p>
    <w:p w14:paraId="284CE4AF" w14:textId="594A7B3B" w:rsidR="00644D88" w:rsidRDefault="00644D88" w:rsidP="00644D88">
      <w:pPr>
        <w:pStyle w:val="Odstavekseznama"/>
        <w:numPr>
          <w:ilvl w:val="0"/>
          <w:numId w:val="20"/>
        </w:numPr>
      </w:pPr>
      <w:r>
        <w:t>karoserije in podvozja,</w:t>
      </w:r>
    </w:p>
    <w:p w14:paraId="28EDE58B" w14:textId="74802AF8" w:rsidR="00644D88" w:rsidRDefault="00644D88" w:rsidP="00644D88">
      <w:pPr>
        <w:pStyle w:val="Odstavekseznama"/>
        <w:numPr>
          <w:ilvl w:val="0"/>
          <w:numId w:val="20"/>
        </w:numPr>
      </w:pPr>
      <w:r>
        <w:t>notranjih in zunanjih plastičnih delov,</w:t>
      </w:r>
    </w:p>
    <w:p w14:paraId="498BC26A" w14:textId="613D58F4" w:rsidR="00644D88" w:rsidRDefault="00644D88" w:rsidP="00644D88">
      <w:pPr>
        <w:pStyle w:val="Odstavekseznama"/>
        <w:numPr>
          <w:ilvl w:val="0"/>
          <w:numId w:val="20"/>
        </w:numPr>
      </w:pPr>
      <w:r>
        <w:t>hibridnih komponent,</w:t>
      </w:r>
    </w:p>
    <w:p w14:paraId="11AE29D6" w14:textId="21DCD91C" w:rsidR="00644D88" w:rsidRDefault="00644D88" w:rsidP="00644D88">
      <w:pPr>
        <w:pStyle w:val="Odstavekseznama"/>
        <w:numPr>
          <w:ilvl w:val="0"/>
          <w:numId w:val="20"/>
        </w:numPr>
      </w:pPr>
      <w:r>
        <w:t>električnega pogonskega sklopa (elektromotor in baterija).</w:t>
      </w:r>
    </w:p>
    <w:p w14:paraId="6187BB99" w14:textId="77777777" w:rsidR="00644D88" w:rsidRDefault="00644D88" w:rsidP="00644D88"/>
    <w:p w14:paraId="2F34DA03" w14:textId="77777777" w:rsidR="00644D88" w:rsidRDefault="00644D88" w:rsidP="00644D88">
      <w:proofErr w:type="gramStart"/>
      <w:r>
        <w:lastRenderedPageBreak/>
        <w:t>Investicija</w:t>
      </w:r>
      <w:proofErr w:type="gramEnd"/>
      <w:r>
        <w:t xml:space="preserve"> bo prinesla več kot 170 rezultatov raziskav in razvoja, med drugim študije, analize, dokumente, poročila, vzorce in prototipe. Partnerji se bodo osredotočili na ključne izzive e-mobilnosti, hkrati pa bodo razvojne </w:t>
      </w:r>
      <w:proofErr w:type="gramStart"/>
      <w:r>
        <w:t>aktivnosti</w:t>
      </w:r>
      <w:proofErr w:type="gramEnd"/>
      <w:r>
        <w:t xml:space="preserve"> usmerjene tudi v procesne rešitve, ki povečujejo odpornost avtomobilske industrije na tehnične, regulativne, tržne in okoljske spremembe.</w:t>
      </w:r>
    </w:p>
    <w:p w14:paraId="199C817B" w14:textId="77777777" w:rsidR="00644D88" w:rsidRDefault="00644D88" w:rsidP="00644D88"/>
    <w:p w14:paraId="241FFDBD" w14:textId="77777777" w:rsidR="00644D88" w:rsidRDefault="00644D88" w:rsidP="00644D88">
      <w:r>
        <w:t>Razvojni dosežki bodo imeli kratkoročne in dolgoročne učinke, ne glede na to, ali bo prihodnost avtomobilizma temeljila na električnem pogonu, sintetičnih gorivih, hibridnih sistemih, vodiku ali drugih alternativnih virih energije.</w:t>
      </w:r>
    </w:p>
    <w:p w14:paraId="7A55FC05" w14:textId="77777777" w:rsidR="00644D88" w:rsidRDefault="00644D88" w:rsidP="00644D88"/>
    <w:p w14:paraId="4FB24D24" w14:textId="4019BD77" w:rsidR="00644D88" w:rsidRDefault="00644D88" w:rsidP="00644D88">
      <w:r>
        <w:t xml:space="preserve">Za upravičene stroške naložb v raziskave in razvoj ter inovacije se odbori subvencija do skupne višine 11.339.302,20 evrov, tako da se podjetju Revoz d. d. dodeli največ do 4.212.950,00 </w:t>
      </w:r>
      <w:proofErr w:type="gramStart"/>
      <w:r>
        <w:t>evrov</w:t>
      </w:r>
      <w:proofErr w:type="gramEnd"/>
      <w:r>
        <w:t>, LTH Castings d. o. o. največ do 2.392.390,00 evrov, Tomplast, d. o. o. največ do 909.181,40 evrov, Siliko d. o. o. največ do 2.992.415,80 evrov, Oprema Ravne d.  o.  o. največ do 747.365,00 evrov in Razvojnemu centru Novo mesto d. o. o. največ do 85 tisoč evrov.</w:t>
      </w:r>
    </w:p>
    <w:p w14:paraId="51D2E1E6" w14:textId="77777777" w:rsidR="00644D88" w:rsidRDefault="00644D88" w:rsidP="00644D88">
      <w:pPr>
        <w:pStyle w:val="Vir"/>
      </w:pPr>
      <w:r>
        <w:t>Vir: Ministrstvo za gospodarstvo, turizem in šport</w:t>
      </w:r>
    </w:p>
    <w:p w14:paraId="6981129C" w14:textId="62C9DB72" w:rsidR="003257EF" w:rsidRDefault="003257EF" w:rsidP="003257EF">
      <w:pPr>
        <w:pStyle w:val="Naslov2"/>
      </w:pPr>
      <w:r>
        <w:t xml:space="preserve">Vlada je v Načrt razvojnih programov 2025–2028 uvrstila nov projekt – Izgradnja visokotehnološkega </w:t>
      </w:r>
      <w:proofErr w:type="gramStart"/>
      <w:r>
        <w:t>centra</w:t>
      </w:r>
      <w:proofErr w:type="gramEnd"/>
      <w:r>
        <w:t xml:space="preserve"> – Lek d. d.</w:t>
      </w:r>
    </w:p>
    <w:p w14:paraId="6AD0B5DB" w14:textId="0E0F62CD" w:rsidR="003257EF" w:rsidRDefault="003257EF" w:rsidP="003257EF">
      <w:r>
        <w:t xml:space="preserve">Investitor Lek d. d. je za investicijo z nazivom »Izgradnja visokotehnološkega centra – Lek d </w:t>
      </w:r>
      <w:proofErr w:type="gramStart"/>
      <w:r>
        <w:t>.d.</w:t>
      </w:r>
      <w:proofErr w:type="gramEnd"/>
      <w:r>
        <w:t xml:space="preserve">« na Ministrstvo za gospodarstvo, turizem in šport vložil vlogo za dodelitev subvencije na podlagi 15. člena Zakona o spodbujanju investicij. Predmet </w:t>
      </w:r>
      <w:proofErr w:type="gramStart"/>
      <w:r>
        <w:t>investicije</w:t>
      </w:r>
      <w:proofErr w:type="gramEnd"/>
      <w:r>
        <w:t xml:space="preserve"> je izgradnja novega visokotehnološkega centra za proizvodnjo bioloških farmacevtskih učinkovin, ki vključuje uporabo naprednih tehnologij in proizvodnih postopkov v skladu z najboljšo dostopno tehnologijo (angleško Best </w:t>
      </w:r>
      <w:proofErr w:type="spellStart"/>
      <w:r>
        <w:t>Available</w:t>
      </w:r>
      <w:proofErr w:type="spellEnd"/>
      <w:r>
        <w:t xml:space="preserve"> Technology - BAT).</w:t>
      </w:r>
    </w:p>
    <w:p w14:paraId="63DD90F6" w14:textId="77777777" w:rsidR="003257EF" w:rsidRDefault="003257EF" w:rsidP="003257EF"/>
    <w:p w14:paraId="460F17B1" w14:textId="77777777" w:rsidR="003257EF" w:rsidRDefault="003257EF" w:rsidP="003257EF">
      <w:r>
        <w:t xml:space="preserve">Za investicijo v vrednosti 541.800.000,00 </w:t>
      </w:r>
      <w:proofErr w:type="gramStart"/>
      <w:r>
        <w:t>evrov (brez davka na dodano vrednost)</w:t>
      </w:r>
      <w:proofErr w:type="gramEnd"/>
      <w:r>
        <w:t xml:space="preserve">, ki bo ustvarila 331 novih delovnih mest v Pomurski regiji, od tega 182 delovnih mest z visoko dodano vrednostjo, je bil 9. marca 2023 podpisan memorandum o soglasju za izgradnjo visokotehnološkega centra za proizvodnjo podobnih bioloških zdravil na Lekovem zemljišču v Lendavi med Vlado RS in investitorjem Lek d. d. </w:t>
      </w:r>
    </w:p>
    <w:p w14:paraId="4C0CB179" w14:textId="77777777" w:rsidR="003257EF" w:rsidRDefault="003257EF" w:rsidP="003257EF"/>
    <w:p w14:paraId="1E01566F" w14:textId="77777777" w:rsidR="003257EF" w:rsidRDefault="003257EF" w:rsidP="003257EF">
      <w:r>
        <w:t xml:space="preserve">Evropska komisija je na podlagi predhodne individualne priglasitve spodbude izdala mnenje iz katerega izhaja, da je najvišja možna višina subvencije do 51.777.886,00 </w:t>
      </w:r>
      <w:proofErr w:type="gramStart"/>
      <w:r>
        <w:t>evrov</w:t>
      </w:r>
      <w:proofErr w:type="gramEnd"/>
      <w:r>
        <w:t xml:space="preserve">. Vlogi investitorja je bilo nato ugodeno z odločbo o dodelitvi subvencije za investicijo »Biofarmacevtika Lendava« za upravičene stroške naložb v opredmetena osnovna sredstva do skupne višine 51.777.886,00 </w:t>
      </w:r>
      <w:proofErr w:type="gramStart"/>
      <w:r>
        <w:t>evrov</w:t>
      </w:r>
      <w:proofErr w:type="gramEnd"/>
      <w:r>
        <w:t xml:space="preserve">. </w:t>
      </w:r>
    </w:p>
    <w:p w14:paraId="345DB43F" w14:textId="77777777" w:rsidR="003257EF" w:rsidRDefault="003257EF" w:rsidP="003257EF"/>
    <w:p w14:paraId="09D89926" w14:textId="77777777" w:rsidR="003257EF" w:rsidRDefault="003257EF" w:rsidP="003257EF">
      <w:r>
        <w:t xml:space="preserve">Prejemnik spodbude je ministrstvu naknadno sporočil, da v letu 2025 ne bo zaprosil za več kot 13.500.000,00 </w:t>
      </w:r>
      <w:proofErr w:type="gramStart"/>
      <w:r>
        <w:t>evrov</w:t>
      </w:r>
      <w:proofErr w:type="gramEnd"/>
      <w:r>
        <w:t xml:space="preserve"> spodbude in da se preostalemu delu sofinanciranja za leto 2025 odpoveduje ter da bo razliko med prvotno planiranim sofinanciranjem v višini 23.376.983,00 evrov in znižano vrednostjo zahtevka za leto 2025 kril iz lastnih sredstev ali zadolževanja, zaradi česar se celotna pogodbena vrednost zniža in znaša do največ 41.900.903,00 evrov.</w:t>
      </w:r>
    </w:p>
    <w:p w14:paraId="7983EE66" w14:textId="77777777" w:rsidR="003257EF" w:rsidRDefault="003257EF" w:rsidP="003257EF">
      <w:pPr>
        <w:pStyle w:val="Vir"/>
      </w:pPr>
      <w:r>
        <w:t>Vir: Ministrstvo za gospodarstvo, turizem in šport</w:t>
      </w:r>
    </w:p>
    <w:p w14:paraId="28322F5A" w14:textId="78FEAE8A" w:rsidR="00954DF7" w:rsidRDefault="00954DF7" w:rsidP="00954DF7">
      <w:pPr>
        <w:pStyle w:val="Naslov2"/>
      </w:pPr>
      <w:r>
        <w:t xml:space="preserve">Stališče do predloga uredbe Evropskega parlamenta in Sveta o vzpostavitvi Evropskega sklada za ekonomsko, socialno in teritorialno kohezijo, kmetijstvo in podeželje, ribištvo in pomorstvo ter blaginjo in varnost za obdobje 2028–2034 </w:t>
      </w:r>
    </w:p>
    <w:p w14:paraId="284F4E7D" w14:textId="77777777" w:rsidR="00954DF7" w:rsidRDefault="00954DF7" w:rsidP="00954DF7">
      <w:r>
        <w:t>Vlada Republike Slovenije je sprejela stališče o predlogu Uredbe Evropskega parlamenta in Sveta o vzpostavitvi Evropskega sklada za ekonomsko, socialno in teritorialno kohezijo, kmetijstvo in podeželje, ribištvo in pomorstvo ter blaginjo in varnost za obdobje 2028–2034 ter spremembi Uredbe (EU) 2023/955 in Uredbe (EU, Euratom) 2024/2509.</w:t>
      </w:r>
    </w:p>
    <w:p w14:paraId="0582CD22" w14:textId="77777777" w:rsidR="00954DF7" w:rsidRDefault="00954DF7" w:rsidP="00954DF7"/>
    <w:p w14:paraId="06043BEA" w14:textId="77777777" w:rsidR="00954DF7" w:rsidRDefault="00954DF7" w:rsidP="00954DF7">
      <w:r>
        <w:lastRenderedPageBreak/>
        <w:t xml:space="preserve">Republika Slovenija pozdravlja začetek pogajanj o predlogu uredbe ter podpira prizadevanja Evropske komisije za posodobitev mehanizmov financiranja Evropske </w:t>
      </w:r>
      <w:proofErr w:type="gramStart"/>
      <w:r>
        <w:t xml:space="preserve">unije  </w:t>
      </w:r>
      <w:proofErr w:type="gramEnd"/>
      <w:r>
        <w:t xml:space="preserve">in ambiciozni predlog večletnega finančnega okvira za obdobje 2028–2034. Slovenija ostaja trdno </w:t>
      </w:r>
      <w:proofErr w:type="gramStart"/>
      <w:r>
        <w:t>zavezana</w:t>
      </w:r>
      <w:proofErr w:type="gramEnd"/>
      <w:r>
        <w:t xml:space="preserve"> krepitvi evropskih politik, ki vključujejo ekonomsko, socialno in teritorialno kohezijo, kmetijstvo in podeželje, ribištvo in pomorstvo ter blaginjo in varnost. Te politike morajo biti sposobne učinkovitega odzivanja na trenutne in prihodnje izzive ter prispevati k skladnemu regionalnemu razvoju ob upoštevanju specifičnih potreb </w:t>
      </w:r>
      <w:proofErr w:type="gramStart"/>
      <w:r>
        <w:t>regij</w:t>
      </w:r>
      <w:proofErr w:type="gramEnd"/>
      <w:r>
        <w:t xml:space="preserve"> in prebivalstva, zlasti najranljivejših skupin.</w:t>
      </w:r>
    </w:p>
    <w:p w14:paraId="6B7B3A13" w14:textId="77777777" w:rsidR="00954DF7" w:rsidRDefault="00954DF7" w:rsidP="00954DF7"/>
    <w:p w14:paraId="716FE256" w14:textId="77777777" w:rsidR="00954DF7" w:rsidRDefault="00954DF7" w:rsidP="00954DF7">
      <w:r>
        <w:t xml:space="preserve">V času geopolitične nestabilnosti, podnebnih, </w:t>
      </w:r>
      <w:proofErr w:type="gramStart"/>
      <w:r>
        <w:t>okoljskih</w:t>
      </w:r>
      <w:proofErr w:type="gramEnd"/>
      <w:r>
        <w:t xml:space="preserve"> in demografskih sprememb, slabega okoljskega stanja in izrazitega upada biotske raznovrstnosti ter vse večjih potreb po zagotavljanju enakosti, socialne pravičnosti in solidarnosti, potrebujemo evropsko kohezijsko politiko in močno skupno kmetijsko politiko kot politiko naložb in solidarnosti bolj kot kadarkoli prej. Slovenija bo še naprej zagovarjala pozitivno vlogo evropskih politik pri utrjevanju demokratičnega modela in deljenega upravljanja v EU, spodbujanje načel partnerstva in upravljanja na več ravneh ter ohranjanje temeljnih načel kohezijske politike.</w:t>
      </w:r>
    </w:p>
    <w:p w14:paraId="6C4AEBC2" w14:textId="77777777" w:rsidR="00954DF7" w:rsidRDefault="00954DF7" w:rsidP="00954DF7"/>
    <w:p w14:paraId="11436EAF" w14:textId="77777777" w:rsidR="00954DF7" w:rsidRDefault="00954DF7" w:rsidP="00954DF7">
      <w:r>
        <w:t xml:space="preserve">Slovenija poudarja, da je prispevek kohezijske politike v okviru načrtov za nacionalna in regionalna partnerstva (v nadaljevanju: NNRP) bistvenega pomena za dvig konkurenčnosti, še zlasti v manj razvitih </w:t>
      </w:r>
      <w:proofErr w:type="gramStart"/>
      <w:r>
        <w:t>regijah</w:t>
      </w:r>
      <w:proofErr w:type="gramEnd"/>
      <w:r>
        <w:t xml:space="preserve">. Kohezijska politika je ključni pogoj za zagotavljanje </w:t>
      </w:r>
      <w:proofErr w:type="gramStart"/>
      <w:r>
        <w:t>konvergence</w:t>
      </w:r>
      <w:proofErr w:type="gramEnd"/>
      <w:r>
        <w:t xml:space="preserve"> in teritorialne kohezije. Zato Slovenija predlaga, da je konkurenčnost celovito podprta tako v okviru Evropskega sklada za konkurenčnost kot v okviru NNRP, s čimer bi dosegli večje sinergije in komplementarnost ter malim in srednje velikim podjetjem omogočili učinkovitejši dostop do finančnih virov in storitev. </w:t>
      </w:r>
    </w:p>
    <w:p w14:paraId="62F9F721" w14:textId="77777777" w:rsidR="00954DF7" w:rsidRDefault="00954DF7" w:rsidP="00954DF7"/>
    <w:p w14:paraId="2A8A98BD" w14:textId="77777777" w:rsidR="00954DF7" w:rsidRDefault="00954DF7" w:rsidP="00954DF7">
      <w:r>
        <w:t xml:space="preserve">Slovenija poudarja strateški pomen skupne kmetijske politike (SKP) in se </w:t>
      </w:r>
      <w:proofErr w:type="gramStart"/>
      <w:r>
        <w:t>zavzema</w:t>
      </w:r>
      <w:proofErr w:type="gramEnd"/>
      <w:r>
        <w:t xml:space="preserve"> za močno, ustrezno financirano in v prihodnost usmerjeno SKP, ki bo prispevala k večji konkurenčnosti, odpornosti in okoljski trajnosti kmetijsko-prehranskega sektorja, stabilizirala dohodkovni položaj kmetov, spodbujala generacijsko pomladitev ter prispevala k vitalnosti in poseljenosti podeželskih območij EU. Pomembna je kontinuiteta in predvidljivost ukrepov SKP, ki zagotavljajo nemoteno izvajanje plačil, ustvarjajo sinergije z drugimi politikami ter prispevajo k učinkovitejšemu razvoju slovenskega kmetijstva in podeželja ter prehodu na trajnostne kmetijsko-prehranske sisteme. Slovenija podpira določitev minimalnega obsega sredstev za SKP in skupno ribiško politiko in pozdravlja predlog za vključitev obvezne zamejitve za namen razvoja podeželja. </w:t>
      </w:r>
    </w:p>
    <w:p w14:paraId="221245C8" w14:textId="77777777" w:rsidR="00954DF7" w:rsidRDefault="00954DF7" w:rsidP="00954DF7"/>
    <w:p w14:paraId="320BC932" w14:textId="77777777" w:rsidR="00954DF7" w:rsidRDefault="00954DF7" w:rsidP="00954DF7">
      <w:r>
        <w:t xml:space="preserve">Predlog uredbe z uvedbo NNRP bistveno spreminja dosedanjo ureditev izvajanja skladov. Kohezijska politika in SKP kot najpomembnejši tradicionalni politiki EU z naložbami na terenu v vaseh, mestih in </w:t>
      </w:r>
      <w:proofErr w:type="gramStart"/>
      <w:r>
        <w:t>regijah</w:t>
      </w:r>
      <w:proofErr w:type="gramEnd"/>
      <w:r>
        <w:t xml:space="preserve"> EU predstavljata najbolj vidni politiki celotnega projekta Unije. Prispevata k zmanjševanju gospodarskih, socialnih in teritorialnih razlik med </w:t>
      </w:r>
      <w:proofErr w:type="gramStart"/>
      <w:r>
        <w:t>regijami</w:t>
      </w:r>
      <w:proofErr w:type="gramEnd"/>
      <w:r>
        <w:t xml:space="preserve"> ter krepita delovanje enotnega trga. Slovenija zato opozarja, da morata kohezijska politika in SKP ohraniti prepoznavnost osnovnih načel zmanjševanja regionalnih razlik in trajnostnega razvoja podeželja, saj gre za najbolj vidni politiki EU, ki imata neposredne učinke v </w:t>
      </w:r>
      <w:proofErr w:type="gramStart"/>
      <w:r>
        <w:t>regijah</w:t>
      </w:r>
      <w:proofErr w:type="gramEnd"/>
      <w:r>
        <w:t xml:space="preserve"> pri uresničevanju ciljev, ki temeljijo na Pogodbi o delovanju Evropske unije (PDEU). </w:t>
      </w:r>
    </w:p>
    <w:p w14:paraId="09325E35" w14:textId="77777777" w:rsidR="00954DF7" w:rsidRDefault="00954DF7" w:rsidP="00954DF7"/>
    <w:p w14:paraId="6C54BEF7" w14:textId="77777777" w:rsidR="00954DF7" w:rsidRDefault="00954DF7" w:rsidP="00954DF7">
      <w:r>
        <w:t>Slovenija poudarja, da bo v pogajanjih še posebej pozorna na ustreznost vzpostavitve okvira smotrnosti za ukrepe, ki so namenjeni najranljivejšim prebivalcem Unije. Takšen okvir se je namreč v preteklosti izkazal za slabo predvidljiv okvir, ki ga je težko učinkovito izvajati. Slovenija na podlagi svojih izkušenj predvideva, da okvir smotrnosti na področju socialne kohezije predstavlja administrativno breme, ki ne prispeva k boljšemu doseganju ciljev in deležnike odvrača od uporabe sredstev kohezijske politike.</w:t>
      </w:r>
    </w:p>
    <w:p w14:paraId="0A2EEDEA" w14:textId="77777777" w:rsidR="00954DF7" w:rsidRDefault="00954DF7" w:rsidP="00954DF7"/>
    <w:p w14:paraId="4569D7F0" w14:textId="77777777" w:rsidR="00954DF7" w:rsidRDefault="00954DF7" w:rsidP="00954DF7">
      <w:r>
        <w:t>Glede upravljanja Slovenija meni, da je treba zagotoviti jasne razmejitve odgovornosti med usklajevalnimi organi, organi upravljanja, plačilnimi agencijami</w:t>
      </w:r>
      <w:proofErr w:type="gramStart"/>
      <w:r>
        <w:t>,</w:t>
      </w:r>
      <w:proofErr w:type="gramEnd"/>
      <w:r>
        <w:t xml:space="preserve"> in nadzornimi telesi. Zagotoviti je treba tudi </w:t>
      </w:r>
      <w:proofErr w:type="gramStart"/>
      <w:r>
        <w:t>fleksibilnost</w:t>
      </w:r>
      <w:proofErr w:type="gramEnd"/>
      <w:r>
        <w:t xml:space="preserve"> in sorazmernost glede na potrebe posamezne države članice. Nadalje Slovenija meni, </w:t>
      </w:r>
      <w:r>
        <w:lastRenderedPageBreak/>
        <w:t>da bi države članice morale imeti možnost odločitve glede vzpostavitve novega usklajevalnega telesa in usklajevalnega odbora ali ohranitve sedanje strukture izvajanja.</w:t>
      </w:r>
    </w:p>
    <w:p w14:paraId="75463633" w14:textId="088DF94B" w:rsidR="00954DF7" w:rsidRDefault="00954DF7" w:rsidP="00954DF7">
      <w:pPr>
        <w:pStyle w:val="Vir"/>
      </w:pPr>
      <w:r>
        <w:t>Vir: Ministrstvo za kohezijo in regionalni razvoj</w:t>
      </w:r>
    </w:p>
    <w:p w14:paraId="542FFA17" w14:textId="31EDD534" w:rsidR="003B1314" w:rsidRDefault="003B1314" w:rsidP="003B1314">
      <w:pPr>
        <w:pStyle w:val="Naslov2"/>
      </w:pPr>
      <w:r>
        <w:t>Vlada imenovala Žarka Bogunovića za vršilca dolžnosti generalnega sekretarja Ministrstva za digitalno preobrazbo</w:t>
      </w:r>
    </w:p>
    <w:p w14:paraId="4F9A23D0" w14:textId="1FAC2C45" w:rsidR="003B1314" w:rsidRDefault="003B1314" w:rsidP="003B1314">
      <w:r>
        <w:t>Vlada Republike Slovenije je na današnji seji imenovala Žarka Bogunovića za vršilca dolžnosti generalnega sekretarja na Ministrstvu za digitalno preobrazbo. Mandat bo opravljal od 18. decembra 2025 za obdobje največ šest mesecev, najdlje do 17. junija 2026.</w:t>
      </w:r>
    </w:p>
    <w:p w14:paraId="675CCC22" w14:textId="77777777" w:rsidR="003B1314" w:rsidRDefault="003B1314" w:rsidP="003B1314">
      <w:r>
        <w:t>Žarko Bogunovič izpolnjuje vse pogoje za zasedbo delovnega mesta. Naloge vršilca dolžnosti generalnega sekretarja na ministrstvu opravlja že od junija letos.</w:t>
      </w:r>
    </w:p>
    <w:p w14:paraId="4C706EC9" w14:textId="1648D8AF" w:rsidR="003B1314" w:rsidRDefault="003B1314" w:rsidP="003B1314">
      <w:pPr>
        <w:pStyle w:val="Vir"/>
      </w:pPr>
      <w:r w:rsidRPr="003B1314">
        <w:t>Vir: Ministrstvo za digitalno preobrazbo</w:t>
      </w:r>
    </w:p>
    <w:p w14:paraId="6DBB0EEB" w14:textId="4DB9AEEB" w:rsidR="00461943" w:rsidRDefault="00461943" w:rsidP="00461943">
      <w:pPr>
        <w:pStyle w:val="Naslov2"/>
      </w:pPr>
      <w:r>
        <w:t>Sprememba sklepa o imenovanju pogajalskih skupin za pogajanja in usklajevanja o predpisih in kolektivnih pogodbah po posameznih plačnih stebrih</w:t>
      </w:r>
    </w:p>
    <w:p w14:paraId="52D78242" w14:textId="77777777" w:rsidR="00461943" w:rsidRDefault="00461943" w:rsidP="00461943">
      <w:r>
        <w:t>Vlada je sprejela sklep, da se v pogajalskih skupinah za pogajanja in usklajevanja o predpisih in kolektivnih pogodbah po posameznih plačnih stebrih, in sicer se:</w:t>
      </w:r>
    </w:p>
    <w:p w14:paraId="30ACFCD6" w14:textId="77777777" w:rsidR="00461943" w:rsidRDefault="00461943" w:rsidP="00461943"/>
    <w:p w14:paraId="776C75EE" w14:textId="312B7D2E" w:rsidR="00461943" w:rsidRDefault="00461943" w:rsidP="00461943">
      <w:pPr>
        <w:pStyle w:val="Odstavekseznama"/>
        <w:numPr>
          <w:ilvl w:val="0"/>
          <w:numId w:val="13"/>
        </w:numPr>
      </w:pPr>
      <w:r>
        <w:t>v pogajalski skupini za plačni steber javnih uslužbencev v državnih organih, samoupravnih lokalnih skupnosti, javnih zavodih gasilcev in javnih uslužbencev plačne skupine B v teh uporabnikih proračuna z mesta člana razreši Marko Funkl in namesto njega imenuje Urška Tomažič iz Skupnosti občin Slovenije;</w:t>
      </w:r>
    </w:p>
    <w:p w14:paraId="16F523A6" w14:textId="77777777" w:rsidR="00461943" w:rsidRDefault="00461943" w:rsidP="00461943"/>
    <w:p w14:paraId="3CE08C16" w14:textId="4A197BF0" w:rsidR="00461943" w:rsidRDefault="00461943" w:rsidP="00461943">
      <w:pPr>
        <w:pStyle w:val="Odstavekseznama"/>
        <w:numPr>
          <w:ilvl w:val="0"/>
          <w:numId w:val="13"/>
        </w:numPr>
      </w:pPr>
      <w:r>
        <w:t>v pogajalski skupini za plačni steber javnih uslužbencev v javnih agencijah, javnih skladih, drugih javnih zavodih, javnih gospodarskih zavodih in javnih uslužbencev plačne skupine B v teh uporabnikih proračuna z mesta člana razreši Marko Funkl in namesto njega imenuje Urška Tomažič iz Skupnosti občin Slovenije. Na mesto članice se imenuje Branka Jevšnik iz Ministrstva za infrastrukturo.</w:t>
      </w:r>
    </w:p>
    <w:p w14:paraId="095E814A" w14:textId="77777777" w:rsidR="00461943" w:rsidRDefault="00461943" w:rsidP="00461943">
      <w:pPr>
        <w:pStyle w:val="Vir"/>
      </w:pPr>
      <w:r>
        <w:t>Vir: Ministrstvo za javno upravo</w:t>
      </w:r>
    </w:p>
    <w:p w14:paraId="13775984" w14:textId="49256BC0" w:rsidR="00FA02B6" w:rsidRDefault="00FA02B6" w:rsidP="00FA02B6">
      <w:pPr>
        <w:pStyle w:val="Naslov2"/>
      </w:pPr>
      <w:r>
        <w:t xml:space="preserve">Vlada razrešila generalno direktorico Direktorata za zdravstveno varstvo in jo imenovala za državno sekretarko </w:t>
      </w:r>
    </w:p>
    <w:p w14:paraId="64563864" w14:textId="77777777" w:rsidR="00FA02B6" w:rsidRDefault="00FA02B6" w:rsidP="00FA02B6">
      <w:r>
        <w:t>Vlada Republike Slovenije je na današnji seji vlade razrešila Jasno Humar s položaja generalne direktorice Direktorata za zdravstveno varstvo in jo imenovala za državno sekretarko na Ministrstvu za zdravje.</w:t>
      </w:r>
    </w:p>
    <w:p w14:paraId="5153B6F2" w14:textId="5105EADD" w:rsidR="00FA02B6" w:rsidRPr="00FA02B6" w:rsidRDefault="00FA02B6" w:rsidP="00FA02B6">
      <w:pPr>
        <w:pStyle w:val="Vir"/>
      </w:pPr>
      <w:r>
        <w:t>Vir: Ministrstvo za zdravje</w:t>
      </w:r>
    </w:p>
    <w:sectPr w:rsidR="00FA02B6" w:rsidRPr="00FA02B6"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3D543B"/>
    <w:multiLevelType w:val="hybridMultilevel"/>
    <w:tmpl w:val="AAF2A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244675"/>
    <w:multiLevelType w:val="hybridMultilevel"/>
    <w:tmpl w:val="59B864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5170D0"/>
    <w:multiLevelType w:val="hybridMultilevel"/>
    <w:tmpl w:val="2860456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5749B"/>
    <w:multiLevelType w:val="hybridMultilevel"/>
    <w:tmpl w:val="D78224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0A0907"/>
    <w:multiLevelType w:val="hybridMultilevel"/>
    <w:tmpl w:val="22D240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DD5D1F"/>
    <w:multiLevelType w:val="hybridMultilevel"/>
    <w:tmpl w:val="0A141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3E46B1"/>
    <w:multiLevelType w:val="hybridMultilevel"/>
    <w:tmpl w:val="25547DC4"/>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4742F7"/>
    <w:multiLevelType w:val="hybridMultilevel"/>
    <w:tmpl w:val="34168E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5526217"/>
    <w:multiLevelType w:val="hybridMultilevel"/>
    <w:tmpl w:val="48B8486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1972DA2"/>
    <w:multiLevelType w:val="hybridMultilevel"/>
    <w:tmpl w:val="132E488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89D276D"/>
    <w:multiLevelType w:val="hybridMultilevel"/>
    <w:tmpl w:val="798443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3A2B11"/>
    <w:multiLevelType w:val="hybridMultilevel"/>
    <w:tmpl w:val="CB68F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D0647D"/>
    <w:multiLevelType w:val="hybridMultilevel"/>
    <w:tmpl w:val="A50ADC56"/>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74B4FAA"/>
    <w:multiLevelType w:val="hybridMultilevel"/>
    <w:tmpl w:val="07663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FCE51EF"/>
    <w:multiLevelType w:val="hybridMultilevel"/>
    <w:tmpl w:val="7ED099C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21"/>
  </w:num>
  <w:num w:numId="2" w16cid:durableId="984821814">
    <w:abstractNumId w:val="12"/>
  </w:num>
  <w:num w:numId="3" w16cid:durableId="150218247">
    <w:abstractNumId w:val="0"/>
  </w:num>
  <w:num w:numId="4" w16cid:durableId="1026903286">
    <w:abstractNumId w:val="14"/>
  </w:num>
  <w:num w:numId="5" w16cid:durableId="231817878">
    <w:abstractNumId w:val="5"/>
  </w:num>
  <w:num w:numId="6" w16cid:durableId="2110814889">
    <w:abstractNumId w:val="24"/>
  </w:num>
  <w:num w:numId="7" w16cid:durableId="695153758">
    <w:abstractNumId w:val="6"/>
  </w:num>
  <w:num w:numId="8" w16cid:durableId="853298866">
    <w:abstractNumId w:val="11"/>
  </w:num>
  <w:num w:numId="9" w16cid:durableId="1789348953">
    <w:abstractNumId w:val="4"/>
  </w:num>
  <w:num w:numId="10" w16cid:durableId="1415012333">
    <w:abstractNumId w:val="17"/>
  </w:num>
  <w:num w:numId="11" w16cid:durableId="886650520">
    <w:abstractNumId w:val="8"/>
  </w:num>
  <w:num w:numId="12" w16cid:durableId="1500729677">
    <w:abstractNumId w:val="9"/>
  </w:num>
  <w:num w:numId="13" w16cid:durableId="1768228933">
    <w:abstractNumId w:val="20"/>
  </w:num>
  <w:num w:numId="14" w16cid:durableId="1815675792">
    <w:abstractNumId w:val="18"/>
  </w:num>
  <w:num w:numId="15" w16cid:durableId="1302923749">
    <w:abstractNumId w:val="10"/>
  </w:num>
  <w:num w:numId="16" w16cid:durableId="1972395110">
    <w:abstractNumId w:val="2"/>
  </w:num>
  <w:num w:numId="17" w16cid:durableId="166942750">
    <w:abstractNumId w:val="13"/>
  </w:num>
  <w:num w:numId="18" w16cid:durableId="1206794939">
    <w:abstractNumId w:val="15"/>
  </w:num>
  <w:num w:numId="19" w16cid:durableId="689914022">
    <w:abstractNumId w:val="22"/>
  </w:num>
  <w:num w:numId="20" w16cid:durableId="122694727">
    <w:abstractNumId w:val="16"/>
  </w:num>
  <w:num w:numId="21" w16cid:durableId="2110928605">
    <w:abstractNumId w:val="19"/>
  </w:num>
  <w:num w:numId="22" w16cid:durableId="202139465">
    <w:abstractNumId w:val="7"/>
  </w:num>
  <w:num w:numId="23" w16cid:durableId="2118598647">
    <w:abstractNumId w:val="1"/>
  </w:num>
  <w:num w:numId="24" w16cid:durableId="2091660794">
    <w:abstractNumId w:val="25"/>
  </w:num>
  <w:num w:numId="25" w16cid:durableId="360085455">
    <w:abstractNumId w:val="3"/>
  </w:num>
  <w:num w:numId="26" w16cid:durableId="633486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7454"/>
    <w:rsid w:val="00076DF7"/>
    <w:rsid w:val="00085D04"/>
    <w:rsid w:val="00087069"/>
    <w:rsid w:val="00087A14"/>
    <w:rsid w:val="00097B85"/>
    <w:rsid w:val="000A4798"/>
    <w:rsid w:val="000A64CF"/>
    <w:rsid w:val="000D5520"/>
    <w:rsid w:val="000E0657"/>
    <w:rsid w:val="00110B8F"/>
    <w:rsid w:val="00111A16"/>
    <w:rsid w:val="00113F85"/>
    <w:rsid w:val="0012724F"/>
    <w:rsid w:val="0013016C"/>
    <w:rsid w:val="0013093E"/>
    <w:rsid w:val="00157D31"/>
    <w:rsid w:val="001602C9"/>
    <w:rsid w:val="0016530C"/>
    <w:rsid w:val="001673A5"/>
    <w:rsid w:val="00173343"/>
    <w:rsid w:val="001B01DD"/>
    <w:rsid w:val="001B42F9"/>
    <w:rsid w:val="001C0D00"/>
    <w:rsid w:val="001C3560"/>
    <w:rsid w:val="001C5F19"/>
    <w:rsid w:val="001D69D6"/>
    <w:rsid w:val="001F51BC"/>
    <w:rsid w:val="001F7F63"/>
    <w:rsid w:val="00203CAB"/>
    <w:rsid w:val="00203F5F"/>
    <w:rsid w:val="00215140"/>
    <w:rsid w:val="00220CDD"/>
    <w:rsid w:val="0022511A"/>
    <w:rsid w:val="002278B4"/>
    <w:rsid w:val="00231021"/>
    <w:rsid w:val="002501CE"/>
    <w:rsid w:val="00264944"/>
    <w:rsid w:val="00265619"/>
    <w:rsid w:val="002856E5"/>
    <w:rsid w:val="002864A5"/>
    <w:rsid w:val="002C0766"/>
    <w:rsid w:val="002C36A6"/>
    <w:rsid w:val="002D5B5D"/>
    <w:rsid w:val="002E3F96"/>
    <w:rsid w:val="002F3BE7"/>
    <w:rsid w:val="003140F3"/>
    <w:rsid w:val="0032428F"/>
    <w:rsid w:val="003257EF"/>
    <w:rsid w:val="0033519E"/>
    <w:rsid w:val="00346E22"/>
    <w:rsid w:val="00351E1E"/>
    <w:rsid w:val="00357DC0"/>
    <w:rsid w:val="00361255"/>
    <w:rsid w:val="00361751"/>
    <w:rsid w:val="003630B8"/>
    <w:rsid w:val="00365474"/>
    <w:rsid w:val="00381018"/>
    <w:rsid w:val="003847C8"/>
    <w:rsid w:val="003877EB"/>
    <w:rsid w:val="00390DF7"/>
    <w:rsid w:val="0039128A"/>
    <w:rsid w:val="0039662C"/>
    <w:rsid w:val="003A3742"/>
    <w:rsid w:val="003B1314"/>
    <w:rsid w:val="003D64D8"/>
    <w:rsid w:val="003E17B6"/>
    <w:rsid w:val="003E1B89"/>
    <w:rsid w:val="003E6170"/>
    <w:rsid w:val="003F4CC5"/>
    <w:rsid w:val="00407DD1"/>
    <w:rsid w:val="00411DC9"/>
    <w:rsid w:val="00415527"/>
    <w:rsid w:val="00432937"/>
    <w:rsid w:val="004403EC"/>
    <w:rsid w:val="00447B57"/>
    <w:rsid w:val="00455B63"/>
    <w:rsid w:val="00460370"/>
    <w:rsid w:val="00461943"/>
    <w:rsid w:val="00472762"/>
    <w:rsid w:val="004A00A8"/>
    <w:rsid w:val="004A7BFC"/>
    <w:rsid w:val="004A7CAD"/>
    <w:rsid w:val="004B4753"/>
    <w:rsid w:val="004B7346"/>
    <w:rsid w:val="004C3F67"/>
    <w:rsid w:val="004E6916"/>
    <w:rsid w:val="00514121"/>
    <w:rsid w:val="00522637"/>
    <w:rsid w:val="00527867"/>
    <w:rsid w:val="00527AA5"/>
    <w:rsid w:val="005314D7"/>
    <w:rsid w:val="00533FA6"/>
    <w:rsid w:val="005458D4"/>
    <w:rsid w:val="005515BD"/>
    <w:rsid w:val="00556500"/>
    <w:rsid w:val="00563B4C"/>
    <w:rsid w:val="0059143B"/>
    <w:rsid w:val="005A2829"/>
    <w:rsid w:val="005A570D"/>
    <w:rsid w:val="005B5886"/>
    <w:rsid w:val="005C1523"/>
    <w:rsid w:val="005E1ABB"/>
    <w:rsid w:val="005F2581"/>
    <w:rsid w:val="00614FFD"/>
    <w:rsid w:val="00626A98"/>
    <w:rsid w:val="006274BB"/>
    <w:rsid w:val="00634EFA"/>
    <w:rsid w:val="00635D43"/>
    <w:rsid w:val="006367B9"/>
    <w:rsid w:val="00644D88"/>
    <w:rsid w:val="0066249C"/>
    <w:rsid w:val="0067375D"/>
    <w:rsid w:val="00674E25"/>
    <w:rsid w:val="00676F03"/>
    <w:rsid w:val="006906AF"/>
    <w:rsid w:val="006931B2"/>
    <w:rsid w:val="00693BA3"/>
    <w:rsid w:val="006A11CC"/>
    <w:rsid w:val="006B3F12"/>
    <w:rsid w:val="006B4FEB"/>
    <w:rsid w:val="006C1B31"/>
    <w:rsid w:val="006F29FA"/>
    <w:rsid w:val="0070324C"/>
    <w:rsid w:val="0071171B"/>
    <w:rsid w:val="007120FD"/>
    <w:rsid w:val="007130E1"/>
    <w:rsid w:val="00716545"/>
    <w:rsid w:val="00717E59"/>
    <w:rsid w:val="0073796B"/>
    <w:rsid w:val="0074723E"/>
    <w:rsid w:val="00750D01"/>
    <w:rsid w:val="007643A0"/>
    <w:rsid w:val="007669A3"/>
    <w:rsid w:val="00770375"/>
    <w:rsid w:val="00781345"/>
    <w:rsid w:val="00784E57"/>
    <w:rsid w:val="00790CD7"/>
    <w:rsid w:val="0079749C"/>
    <w:rsid w:val="007A6460"/>
    <w:rsid w:val="007B0ADD"/>
    <w:rsid w:val="007B515F"/>
    <w:rsid w:val="007C21FB"/>
    <w:rsid w:val="007E198F"/>
    <w:rsid w:val="007E3A62"/>
    <w:rsid w:val="007F5D6B"/>
    <w:rsid w:val="007F6EF7"/>
    <w:rsid w:val="008220A3"/>
    <w:rsid w:val="008244C0"/>
    <w:rsid w:val="008308A5"/>
    <w:rsid w:val="008336E7"/>
    <w:rsid w:val="00836E94"/>
    <w:rsid w:val="00847AD3"/>
    <w:rsid w:val="00851FE1"/>
    <w:rsid w:val="008624E8"/>
    <w:rsid w:val="008A16D8"/>
    <w:rsid w:val="008B6738"/>
    <w:rsid w:val="008B7AF2"/>
    <w:rsid w:val="008C4231"/>
    <w:rsid w:val="008D49BD"/>
    <w:rsid w:val="00905C96"/>
    <w:rsid w:val="009174DA"/>
    <w:rsid w:val="00933061"/>
    <w:rsid w:val="00933087"/>
    <w:rsid w:val="00945B27"/>
    <w:rsid w:val="009540E4"/>
    <w:rsid w:val="00954DF7"/>
    <w:rsid w:val="00961AF2"/>
    <w:rsid w:val="00974186"/>
    <w:rsid w:val="00983241"/>
    <w:rsid w:val="009900DE"/>
    <w:rsid w:val="009A41AA"/>
    <w:rsid w:val="009C2C98"/>
    <w:rsid w:val="009C2D77"/>
    <w:rsid w:val="009C562E"/>
    <w:rsid w:val="009D10D1"/>
    <w:rsid w:val="009F37F4"/>
    <w:rsid w:val="009F4DB0"/>
    <w:rsid w:val="00A06971"/>
    <w:rsid w:val="00A21A2E"/>
    <w:rsid w:val="00A30052"/>
    <w:rsid w:val="00A34FC4"/>
    <w:rsid w:val="00A36C9A"/>
    <w:rsid w:val="00A445DF"/>
    <w:rsid w:val="00A5415F"/>
    <w:rsid w:val="00A60A37"/>
    <w:rsid w:val="00A60FBF"/>
    <w:rsid w:val="00A65B48"/>
    <w:rsid w:val="00A67305"/>
    <w:rsid w:val="00A73018"/>
    <w:rsid w:val="00A7412B"/>
    <w:rsid w:val="00AA55A0"/>
    <w:rsid w:val="00AB1DC2"/>
    <w:rsid w:val="00AD1AFD"/>
    <w:rsid w:val="00AD59DC"/>
    <w:rsid w:val="00AE6CD6"/>
    <w:rsid w:val="00AF5FC8"/>
    <w:rsid w:val="00B022E5"/>
    <w:rsid w:val="00B06E57"/>
    <w:rsid w:val="00B47F61"/>
    <w:rsid w:val="00B53594"/>
    <w:rsid w:val="00B602CF"/>
    <w:rsid w:val="00B60F58"/>
    <w:rsid w:val="00B64128"/>
    <w:rsid w:val="00B70F5B"/>
    <w:rsid w:val="00B753A8"/>
    <w:rsid w:val="00B77319"/>
    <w:rsid w:val="00B82BDB"/>
    <w:rsid w:val="00B84862"/>
    <w:rsid w:val="00B84A1C"/>
    <w:rsid w:val="00B863C1"/>
    <w:rsid w:val="00B903E5"/>
    <w:rsid w:val="00BA743D"/>
    <w:rsid w:val="00BB1111"/>
    <w:rsid w:val="00BB73C0"/>
    <w:rsid w:val="00BC2AFD"/>
    <w:rsid w:val="00BC4304"/>
    <w:rsid w:val="00BC6385"/>
    <w:rsid w:val="00BD4632"/>
    <w:rsid w:val="00BE5C43"/>
    <w:rsid w:val="00C3152B"/>
    <w:rsid w:val="00C354D9"/>
    <w:rsid w:val="00C365A8"/>
    <w:rsid w:val="00C458C2"/>
    <w:rsid w:val="00C666AC"/>
    <w:rsid w:val="00C97F7B"/>
    <w:rsid w:val="00CA5624"/>
    <w:rsid w:val="00CA752D"/>
    <w:rsid w:val="00CC3123"/>
    <w:rsid w:val="00CC37B3"/>
    <w:rsid w:val="00CE21D5"/>
    <w:rsid w:val="00CE3D56"/>
    <w:rsid w:val="00CE45D7"/>
    <w:rsid w:val="00D01342"/>
    <w:rsid w:val="00D10EB4"/>
    <w:rsid w:val="00D1494B"/>
    <w:rsid w:val="00D14EEC"/>
    <w:rsid w:val="00D22282"/>
    <w:rsid w:val="00D60A92"/>
    <w:rsid w:val="00D64FA4"/>
    <w:rsid w:val="00D650E2"/>
    <w:rsid w:val="00D7373E"/>
    <w:rsid w:val="00D85532"/>
    <w:rsid w:val="00D9208E"/>
    <w:rsid w:val="00D95BC6"/>
    <w:rsid w:val="00D966FF"/>
    <w:rsid w:val="00D97B4B"/>
    <w:rsid w:val="00DA3B4D"/>
    <w:rsid w:val="00DA3BD5"/>
    <w:rsid w:val="00DA5C0D"/>
    <w:rsid w:val="00DA5D7A"/>
    <w:rsid w:val="00DB55BA"/>
    <w:rsid w:val="00DD5966"/>
    <w:rsid w:val="00DE199D"/>
    <w:rsid w:val="00DE1B54"/>
    <w:rsid w:val="00DE27BA"/>
    <w:rsid w:val="00E02AB3"/>
    <w:rsid w:val="00E05EEE"/>
    <w:rsid w:val="00E14AAE"/>
    <w:rsid w:val="00E20351"/>
    <w:rsid w:val="00E2036F"/>
    <w:rsid w:val="00E3207D"/>
    <w:rsid w:val="00E3507E"/>
    <w:rsid w:val="00E7132A"/>
    <w:rsid w:val="00E83E60"/>
    <w:rsid w:val="00E86C78"/>
    <w:rsid w:val="00E874AD"/>
    <w:rsid w:val="00E948BD"/>
    <w:rsid w:val="00E9795E"/>
    <w:rsid w:val="00EC012E"/>
    <w:rsid w:val="00ED3123"/>
    <w:rsid w:val="00EE35F8"/>
    <w:rsid w:val="00EF1263"/>
    <w:rsid w:val="00F01966"/>
    <w:rsid w:val="00F17053"/>
    <w:rsid w:val="00F20884"/>
    <w:rsid w:val="00F21123"/>
    <w:rsid w:val="00F21419"/>
    <w:rsid w:val="00F21BAD"/>
    <w:rsid w:val="00F23144"/>
    <w:rsid w:val="00F240E9"/>
    <w:rsid w:val="00F27AC4"/>
    <w:rsid w:val="00F32FE8"/>
    <w:rsid w:val="00F462C7"/>
    <w:rsid w:val="00F92545"/>
    <w:rsid w:val="00F93A56"/>
    <w:rsid w:val="00FA02B6"/>
    <w:rsid w:val="00FA792D"/>
    <w:rsid w:val="00FC2D38"/>
    <w:rsid w:val="00FC6145"/>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paragraph" w:styleId="Naslov3">
    <w:name w:val="heading 3"/>
    <w:basedOn w:val="Navaden"/>
    <w:next w:val="Navaden"/>
    <w:link w:val="Naslov3Znak"/>
    <w:uiPriority w:val="9"/>
    <w:unhideWhenUsed/>
    <w:qFormat/>
    <w:rsid w:val="00A65B4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customStyle="1" w:styleId="Naslov3Znak">
    <w:name w:val="Naslov 3 Znak"/>
    <w:basedOn w:val="Privzetapisavaodstavka"/>
    <w:link w:val="Naslov3"/>
    <w:uiPriority w:val="9"/>
    <w:rsid w:val="00A65B48"/>
    <w:rPr>
      <w:rFonts w:asciiTheme="majorHAnsi" w:eastAsiaTheme="majorEastAsia" w:hAnsiTheme="majorHAnsi" w:cstheme="majorBidi"/>
      <w:color w:val="1F3763" w:themeColor="accent1" w:themeShade="7F"/>
      <w:sz w:val="24"/>
      <w:szCs w:val="24"/>
    </w:rPr>
  </w:style>
  <w:style w:type="paragraph" w:customStyle="1" w:styleId="Neotevilenodstavek">
    <w:name w:val="Neoštevilčen odstavek"/>
    <w:basedOn w:val="Navaden"/>
    <w:link w:val="NeotevilenodstavekZnak"/>
    <w:qFormat/>
    <w:rsid w:val="00265619"/>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265619"/>
    <w:rPr>
      <w:rFonts w:ascii="Arial" w:eastAsia="Times New Roman" w:hAnsi="Arial" w:cs="Times New Roman"/>
    </w:rPr>
  </w:style>
  <w:style w:type="character" w:styleId="Hiperpovezava">
    <w:name w:val="Hyperlink"/>
    <w:basedOn w:val="Privzetapisavaodstavka"/>
    <w:uiPriority w:val="99"/>
    <w:unhideWhenUsed/>
    <w:rsid w:val="002864A5"/>
    <w:rPr>
      <w:color w:val="0563C1" w:themeColor="hyperlink"/>
      <w:u w:val="single"/>
    </w:rPr>
  </w:style>
  <w:style w:type="character" w:styleId="Nerazreenaomemba">
    <w:name w:val="Unresolved Mention"/>
    <w:basedOn w:val="Privzetapisavaodstavka"/>
    <w:uiPriority w:val="99"/>
    <w:semiHidden/>
    <w:unhideWhenUsed/>
    <w:rsid w:val="0028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58595">
      <w:bodyDiv w:val="1"/>
      <w:marLeft w:val="0"/>
      <w:marRight w:val="0"/>
      <w:marTop w:val="0"/>
      <w:marBottom w:val="0"/>
      <w:divBdr>
        <w:top w:val="none" w:sz="0" w:space="0" w:color="auto"/>
        <w:left w:val="none" w:sz="0" w:space="0" w:color="auto"/>
        <w:bottom w:val="none" w:sz="0" w:space="0" w:color="auto"/>
        <w:right w:val="none" w:sz="0" w:space="0" w:color="auto"/>
      </w:divBdr>
    </w:div>
    <w:div w:id="1227298105">
      <w:bodyDiv w:val="1"/>
      <w:marLeft w:val="0"/>
      <w:marRight w:val="0"/>
      <w:marTop w:val="0"/>
      <w:marBottom w:val="0"/>
      <w:divBdr>
        <w:top w:val="none" w:sz="0" w:space="0" w:color="auto"/>
        <w:left w:val="none" w:sz="0" w:space="0" w:color="auto"/>
        <w:bottom w:val="none" w:sz="0" w:space="0" w:color="auto"/>
        <w:right w:val="none" w:sz="0" w:space="0" w:color="auto"/>
      </w:divBdr>
    </w:div>
    <w:div w:id="1496259455">
      <w:bodyDiv w:val="1"/>
      <w:marLeft w:val="0"/>
      <w:marRight w:val="0"/>
      <w:marTop w:val="0"/>
      <w:marBottom w:val="0"/>
      <w:divBdr>
        <w:top w:val="none" w:sz="0" w:space="0" w:color="auto"/>
        <w:left w:val="none" w:sz="0" w:space="0" w:color="auto"/>
        <w:bottom w:val="none" w:sz="0" w:space="0" w:color="auto"/>
        <w:right w:val="none" w:sz="0" w:space="0" w:color="auto"/>
      </w:divBdr>
    </w:div>
    <w:div w:id="19965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teme/romska-skupno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14417</Words>
  <Characters>82177</Characters>
  <Application>Microsoft Office Word</Application>
  <DocSecurity>0</DocSecurity>
  <Lines>684</Lines>
  <Paragraphs>192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2025-12-03T13:49:00Z</dcterms:created>
  <dcterms:modified xsi:type="dcterms:W3CDTF">2025-12-04T14:07:00Z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