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1823E92C" w:rsidR="0073796B" w:rsidRPr="0039662C" w:rsidRDefault="00D10EB4" w:rsidP="0039662C">
      <w:pPr>
        <w:pStyle w:val="Naslov1"/>
      </w:pPr>
      <w:r>
        <w:t>1</w:t>
      </w:r>
      <w:r w:rsidR="002856E5">
        <w:t>7</w:t>
      </w:r>
      <w:r w:rsidR="00F92545">
        <w:t>5</w:t>
      </w:r>
      <w:r w:rsidR="0073796B" w:rsidRPr="0039662C">
        <w:t>. redna seja Vlade Republike Slovenije</w:t>
      </w:r>
    </w:p>
    <w:p w14:paraId="27F30B92" w14:textId="2034059B" w:rsidR="0073796B" w:rsidRDefault="00693BA3" w:rsidP="008B7AF2">
      <w:pPr>
        <w:pStyle w:val="DatumSZJ"/>
      </w:pPr>
      <w:r>
        <w:t>1</w:t>
      </w:r>
      <w:r w:rsidR="00F92545">
        <w:t>6</w:t>
      </w:r>
      <w:r w:rsidR="002856E5">
        <w:t>.</w:t>
      </w:r>
      <w:r w:rsidR="008220A3">
        <w:t xml:space="preserve"> </w:t>
      </w:r>
      <w:r w:rsidR="006B3F12">
        <w:t>okto</w:t>
      </w:r>
      <w:r w:rsidR="006F29FA">
        <w:t>ber</w:t>
      </w:r>
      <w:r w:rsidR="00DA3B4D">
        <w:t xml:space="preserve"> </w:t>
      </w:r>
      <w:r w:rsidR="0073796B" w:rsidRPr="008B7AF2">
        <w:t>202</w:t>
      </w:r>
      <w:r w:rsidR="00F21123">
        <w:t>5</w:t>
      </w:r>
    </w:p>
    <w:p w14:paraId="423F6312" w14:textId="1B392C2B" w:rsidR="008C4C81" w:rsidRDefault="008C4C81" w:rsidP="008C4C81">
      <w:pPr>
        <w:pStyle w:val="Naslov2"/>
      </w:pPr>
      <w:r>
        <w:t>Vlada izdala Uredbo o javnih službah strokovnih nalog v proizvodnji kmetijskih rastlin za obdobje 2026–2028</w:t>
      </w:r>
    </w:p>
    <w:p w14:paraId="266800BD" w14:textId="77777777" w:rsidR="008C4C81" w:rsidRDefault="008C4C81" w:rsidP="008C4C81">
      <w:r>
        <w:t>Vlada je izdala Uredbo o javnih službah strokovnih nalog v proizvodnji kmetijskih rastlin za obdobje 2026–2028 in jo objavi v Uradnem listu Republike Slovenije.</w:t>
      </w:r>
    </w:p>
    <w:p w14:paraId="7EF128E6" w14:textId="77777777" w:rsidR="008C4C81" w:rsidRDefault="008C4C81" w:rsidP="008C4C81"/>
    <w:p w14:paraId="04BB0262" w14:textId="77777777" w:rsidR="008C4C81" w:rsidRDefault="008C4C81" w:rsidP="008C4C81">
      <w:r>
        <w:t xml:space="preserve">Uredba se sprejema za obdobje od 1. januarja 2026 do 31. decembra 2026 in določa naloge javnih služb na področju poljedelstva, vrtnarstva, sadjarstva, vinogradništva in oljkarstva. Določa tudi način, območje izvajanja nalog javnih služb, cilje in prednostne usmeritve, obveznosti, ki jih morajo izpolnjevati izvajalci javnih služb, programe dela, način financiranja in poročanje o izvajanju letnega programa dela posamezne javne službe. </w:t>
      </w:r>
    </w:p>
    <w:p w14:paraId="155722C6" w14:textId="77777777" w:rsidR="008C4C81" w:rsidRDefault="008C4C81" w:rsidP="008C4C81"/>
    <w:p w14:paraId="4ADDD01C" w14:textId="77777777" w:rsidR="008C4C81" w:rsidRDefault="008C4C81" w:rsidP="008C4C81">
      <w:r>
        <w:t>Naloge so vsebinsko določene v programih za področje poljedelstva, vrtnarstva, sadjarstva, vinogradništva in oljkarstva:</w:t>
      </w:r>
    </w:p>
    <w:p w14:paraId="3A859545" w14:textId="0F6DCEF3" w:rsidR="008C4C81" w:rsidRDefault="008C4C81" w:rsidP="008C4C81">
      <w:pPr>
        <w:pStyle w:val="Odstavekseznama"/>
        <w:numPr>
          <w:ilvl w:val="0"/>
          <w:numId w:val="10"/>
        </w:numPr>
      </w:pPr>
      <w:r>
        <w:t xml:space="preserve">Javna služba na področju poljedelstva zajema: žlahtnjenje poljščin, zagotavljanje izhodiščnega razmnoževalnega materiala poljščin, </w:t>
      </w:r>
      <w:proofErr w:type="gramStart"/>
      <w:r>
        <w:t>introdukcijo</w:t>
      </w:r>
      <w:proofErr w:type="gramEnd"/>
      <w:r>
        <w:t xml:space="preserve"> poljščin in ugotavljanje njihove vrednosti za predelavo, tehnologije pridelave poljščin.</w:t>
      </w:r>
    </w:p>
    <w:p w14:paraId="31BC3C67" w14:textId="51AA1F1A" w:rsidR="008C4C81" w:rsidRDefault="008C4C81" w:rsidP="008C4C81">
      <w:pPr>
        <w:pStyle w:val="Odstavekseznama"/>
        <w:numPr>
          <w:ilvl w:val="0"/>
          <w:numId w:val="10"/>
        </w:numPr>
      </w:pPr>
      <w:r>
        <w:t xml:space="preserve">Javna služba na področju vrtnarstva zajema: žlahtnjenje zelenjadnic, zagotavljanje izhodiščnega razmnoževalnega materiala zelenjadnic, </w:t>
      </w:r>
      <w:proofErr w:type="gramStart"/>
      <w:r>
        <w:t>introdukcijo</w:t>
      </w:r>
      <w:proofErr w:type="gramEnd"/>
      <w:r>
        <w:t xml:space="preserve"> zelenjadnic in ugotavljanje njihove vrednosti za predelavo, tehnologije pridelave zelenjadnic, selekcijo zelišč, introdukcijo in ekološko rajonizacijo zelišč ter ugotavljanje njihove vrednosti za predelavo in tehnologije pridelave zelišč.</w:t>
      </w:r>
    </w:p>
    <w:p w14:paraId="1D660812" w14:textId="084553FE" w:rsidR="008C4C81" w:rsidRDefault="008C4C81" w:rsidP="008C4C81">
      <w:pPr>
        <w:pStyle w:val="Odstavekseznama"/>
        <w:numPr>
          <w:ilvl w:val="0"/>
          <w:numId w:val="10"/>
        </w:numPr>
      </w:pPr>
      <w:r>
        <w:t xml:space="preserve">Javna služba na področju sadjarstva zajema: selekcijo sadnih rastlin, </w:t>
      </w:r>
      <w:proofErr w:type="gramStart"/>
      <w:r>
        <w:t>introdukcijo</w:t>
      </w:r>
      <w:proofErr w:type="gramEnd"/>
      <w:r>
        <w:t xml:space="preserve"> sadnih rastlin, tehnologije pridelave sadnih rastlin, zagotavljanje izhodiščnega razmnoževalnega materiala sadnih rastlin.</w:t>
      </w:r>
    </w:p>
    <w:p w14:paraId="6E506D68" w14:textId="6DB5AF89" w:rsidR="008C4C81" w:rsidRDefault="008C4C81" w:rsidP="008C4C81">
      <w:pPr>
        <w:pStyle w:val="Odstavekseznama"/>
        <w:numPr>
          <w:ilvl w:val="0"/>
          <w:numId w:val="10"/>
        </w:numPr>
      </w:pPr>
      <w:r>
        <w:t xml:space="preserve">Javna služba na področju vinogradništva zajema: selekcijo vinske trte, </w:t>
      </w:r>
      <w:proofErr w:type="gramStart"/>
      <w:r>
        <w:t>introdukcijo</w:t>
      </w:r>
      <w:proofErr w:type="gramEnd"/>
      <w:r>
        <w:t xml:space="preserve"> vinske trte, tehnologije pridelave vinske trte, zagotavljanje izhodiščnega razmnoževalnega materiala vinske trte.</w:t>
      </w:r>
    </w:p>
    <w:p w14:paraId="1E822AF1" w14:textId="539A4913" w:rsidR="008C4C81" w:rsidRDefault="008C4C81" w:rsidP="008C4C81">
      <w:pPr>
        <w:pStyle w:val="Odstavekseznama"/>
        <w:numPr>
          <w:ilvl w:val="0"/>
          <w:numId w:val="10"/>
        </w:numPr>
      </w:pPr>
      <w:r>
        <w:t xml:space="preserve">Javna služba na področju oljkarstva zajema: </w:t>
      </w:r>
      <w:proofErr w:type="gramStart"/>
      <w:r>
        <w:t>introdukcijo</w:t>
      </w:r>
      <w:proofErr w:type="gramEnd"/>
      <w:r>
        <w:t xml:space="preserve"> oljk, tehnologije pridelave oljk in ugotavljanje vrednosti oljk za predelavo. </w:t>
      </w:r>
    </w:p>
    <w:p w14:paraId="02B61248" w14:textId="77777777" w:rsidR="008C4C81" w:rsidRDefault="008C4C81" w:rsidP="008C4C81"/>
    <w:p w14:paraId="1DE80683" w14:textId="77777777" w:rsidR="008C4C81" w:rsidRDefault="008C4C81" w:rsidP="008C4C81">
      <w:r>
        <w:t xml:space="preserve">Programi javnih služb bodo pomembno prispevali k uresničevanju ciljev kmetijske politike in s tem dopolnili druge programe, podpore in ukrepe v kmetijstvu. S strokovnimi nalogami bodo programi javnih služb podprli cilje povečanja trajnosti slovenskega kmetijstva, zlasti prek prehoda v ekološko kmetijstvo. Osrednji cilji in poudarki the programov so prilagajanje na podnebne spremembe, saj bo to ključno za zagotavljanje dolgoročne odpornosti in stabilnosti kmetijske pridelave v zaostrenih podnebnih razmerah. </w:t>
      </w:r>
    </w:p>
    <w:p w14:paraId="2D7206CD" w14:textId="77777777" w:rsidR="008C4C81" w:rsidRDefault="008C4C81" w:rsidP="008C4C81"/>
    <w:p w14:paraId="694E8577" w14:textId="5229ECE6" w:rsidR="008C4C81" w:rsidRDefault="008C4C81" w:rsidP="008C4C81">
      <w:r>
        <w:t xml:space="preserve">Javne službe strokovnih nalog v proizvodnji kmetijskih rastlin bodo prek bolj ciljanih in nekaterih novih strokovnih nalog ter s koordiniranim pristopom prispevale k učinkovitejšim prenosom rezultatov nalog do javne službe kmetijskega svetovanja, pridelovalcev in druge </w:t>
      </w:r>
      <w:proofErr w:type="gramStart"/>
      <w:r>
        <w:t>zainteresirane</w:t>
      </w:r>
      <w:proofErr w:type="gramEnd"/>
      <w:r>
        <w:t xml:space="preserve"> javnosti.  </w:t>
      </w:r>
    </w:p>
    <w:p w14:paraId="6060BC90" w14:textId="046307B7" w:rsidR="009A1362" w:rsidRDefault="008C4C81" w:rsidP="008C4C81">
      <w:pPr>
        <w:pStyle w:val="Vir"/>
      </w:pPr>
      <w:r>
        <w:t>Vir: Ministrstvo za kmetijstvo, gozdarstvo in prehrano</w:t>
      </w:r>
    </w:p>
    <w:p w14:paraId="7A2ECD08" w14:textId="77777777" w:rsidR="009A1362" w:rsidRDefault="009A1362" w:rsidP="009A1362"/>
    <w:p w14:paraId="5458D7E7" w14:textId="7C492B5C" w:rsidR="00C466F6" w:rsidRDefault="00C466F6" w:rsidP="00C466F6">
      <w:pPr>
        <w:pStyle w:val="Naslov2"/>
      </w:pPr>
      <w:r>
        <w:lastRenderedPageBreak/>
        <w:t>Vlada izdala Uredbo o javni službi nalog rastlinske genske banke za obdobje 2026–2028</w:t>
      </w:r>
    </w:p>
    <w:p w14:paraId="46BA811D" w14:textId="77777777" w:rsidR="00C466F6" w:rsidRDefault="00C466F6" w:rsidP="00C466F6">
      <w:r>
        <w:t>Vlada je izdala Uredbo o javni službi nalog rastlinske genske banke za obdobje 2026–2028 in jo objavi v Uradnem listu Republike Slovenije.</w:t>
      </w:r>
    </w:p>
    <w:p w14:paraId="7BF80C4C" w14:textId="77777777" w:rsidR="00C466F6" w:rsidRDefault="00C466F6" w:rsidP="00C466F6"/>
    <w:p w14:paraId="75FCCCD9" w14:textId="77777777" w:rsidR="00C466F6" w:rsidRDefault="00C466F6" w:rsidP="00C466F6">
      <w:r>
        <w:t>Uredba o javni službi nalog rastlinske genske banke za obdobje 2026–2028 določa vsebino, način in območje izvajanja javne službe nalog rastlinske genske banke (v nadaljnjem besedilu: JSRGB), cilje in prioritetne usmeritve, obveznosti izvajalca, program dela, način financiranja ter sistem poročanja. Izhodišča za izvajanje nalog so vsebinsko opredeljena v programu JSRGB za obdobje 2026–2028, ki je sestavni del te uredbe.</w:t>
      </w:r>
    </w:p>
    <w:p w14:paraId="7E4B89CE" w14:textId="77777777" w:rsidR="00C466F6" w:rsidRDefault="00C466F6" w:rsidP="00C466F6"/>
    <w:p w14:paraId="32F2901C" w14:textId="77777777" w:rsidR="00C466F6" w:rsidRDefault="00C466F6" w:rsidP="00C466F6">
      <w:r>
        <w:t>Namen programa je zagotavljanje trajnega ohranjanja rastlinskih genskih virov (RGV) in njihove trajnostne rabe v kmetijstvu na strokovno utemeljen, enovit in učinkovit način.</w:t>
      </w:r>
    </w:p>
    <w:p w14:paraId="1E8F47C8" w14:textId="77777777" w:rsidR="00C466F6" w:rsidRDefault="00C466F6" w:rsidP="00C466F6"/>
    <w:p w14:paraId="79C193AD" w14:textId="77777777" w:rsidR="00C466F6" w:rsidRDefault="00C466F6" w:rsidP="00C466F6">
      <w:r>
        <w:t xml:space="preserve">RGV so pomembni s prehranskega, gospodarskega, </w:t>
      </w:r>
      <w:proofErr w:type="gramStart"/>
      <w:r>
        <w:t>okoljskega</w:t>
      </w:r>
      <w:proofErr w:type="gramEnd"/>
      <w:r>
        <w:t xml:space="preserve"> in podnebnega stališča. S svojo gensko raznovrstnostjo in prilagodljivostjo danim talnim in podnebnim razmeram so osnovni vir za žlahtnjenje novih sort, prilagojenih na spreminjajoče se razmere v okolju, tehnologije pridelovanja, kot sta integrirano in ekološko pridelovanje, in zahteve potrošnika (izboljšana prehranska vrednost). Hkrati so pomemben narodov zaklad, ki ga je treba ohraniti tudi za prihodnje rodove in potrebe človeštva, pomembni pa so tudi za raziskovalno dejavnost, za mednarodno povezovanje Republike Slovenije in vključitev slovenskih RGV v svetovno zakladnico genske raznovrstnosti, saj sta ugotovljena občutno zmanjševanje raznovrstnosti RGV in povečevanje genske erozije tako na svetovni kot na nacionalni ravni.</w:t>
      </w:r>
    </w:p>
    <w:p w14:paraId="124B53C1" w14:textId="77777777" w:rsidR="00C466F6" w:rsidRDefault="00C466F6" w:rsidP="00C466F6">
      <w:pPr>
        <w:pStyle w:val="Vir"/>
      </w:pPr>
      <w:r>
        <w:t>Vir: Ministrstvo za kmetijstvo, gozdarstvo in prehrano</w:t>
      </w:r>
    </w:p>
    <w:p w14:paraId="1745741A" w14:textId="3AB250C7" w:rsidR="00791CE2" w:rsidRDefault="00791CE2" w:rsidP="00791CE2">
      <w:pPr>
        <w:pStyle w:val="Naslov2"/>
      </w:pPr>
      <w:r>
        <w:t xml:space="preserve">Vlada izdala uredbo, ki varuje vodo v občini </w:t>
      </w:r>
      <w:proofErr w:type="gramStart"/>
      <w:r>
        <w:t>Loški potok</w:t>
      </w:r>
      <w:proofErr w:type="gramEnd"/>
      <w:r>
        <w:t xml:space="preserve"> </w:t>
      </w:r>
    </w:p>
    <w:p w14:paraId="500849DF" w14:textId="77777777" w:rsidR="00791CE2" w:rsidRDefault="00791CE2" w:rsidP="00791CE2">
      <w:r>
        <w:t xml:space="preserve">Vlada je izdala uredbo o vodovarstvenih območjih za javno oskrbo s pitno vodo v občini </w:t>
      </w:r>
      <w:proofErr w:type="gramStart"/>
      <w:r>
        <w:t>Loški potok</w:t>
      </w:r>
      <w:proofErr w:type="gramEnd"/>
      <w:r>
        <w:t>. Uredba določa vodovarstvena območja, območja zajetij, notranja vodovarstvena območja in vodovarstveni režim.</w:t>
      </w:r>
    </w:p>
    <w:p w14:paraId="6906CCB2" w14:textId="77777777" w:rsidR="00791CE2" w:rsidRDefault="00791CE2" w:rsidP="00791CE2"/>
    <w:p w14:paraId="44E7BCF4" w14:textId="77777777" w:rsidR="00791CE2" w:rsidRDefault="00791CE2" w:rsidP="00791CE2">
      <w:r>
        <w:t>Vlada določa vodovarstvena območja z namenom, da se zavaruje vodno telo, ki se uporablja za odvzem ali je namenjeno za javno oskrbo prebivalstva s pitno vodo pred onesnaževanjem ali drugimi vrstami obremenjevanja, ki bi lahko vplivalo na zdravstveno ustreznost voda ali na njeno količino. Z uredbo se na vodovarstvenih območjih določi vodovarstveni režim za posege v prostor, opravljanje dejavnosti ter prevoz blaga in ljudi.</w:t>
      </w:r>
    </w:p>
    <w:p w14:paraId="3BCF0947" w14:textId="0948B2E3" w:rsidR="009A1362" w:rsidRDefault="00791CE2" w:rsidP="00791CE2">
      <w:pPr>
        <w:pStyle w:val="Vir"/>
      </w:pPr>
      <w:r>
        <w:t>Vir: Ministrstvo za naravne vire in prostor</w:t>
      </w:r>
    </w:p>
    <w:p w14:paraId="134A9059" w14:textId="0D072F80" w:rsidR="008841B7" w:rsidRDefault="008841B7" w:rsidP="008841B7">
      <w:pPr>
        <w:pStyle w:val="Naslov2"/>
      </w:pPr>
      <w:r>
        <w:t>Vlada izdala odločbo za odvzem naplavin iz struge Tolminke</w:t>
      </w:r>
    </w:p>
    <w:p w14:paraId="1691BA74" w14:textId="77777777" w:rsidR="008841B7" w:rsidRDefault="008841B7" w:rsidP="008841B7">
      <w:r>
        <w:t xml:space="preserve">Vlada je izdala odločbo, s katero se koncesija za odvzem naplavin iz struge reke Tolminke – lovilna jama na Tolminki, podeljena podjetniku Aleš </w:t>
      </w:r>
      <w:proofErr w:type="spellStart"/>
      <w:r>
        <w:t>Zuza</w:t>
      </w:r>
      <w:proofErr w:type="spellEnd"/>
      <w:r>
        <w:t xml:space="preserve"> </w:t>
      </w:r>
      <w:proofErr w:type="gramStart"/>
      <w:r>
        <w:t>s.</w:t>
      </w:r>
      <w:proofErr w:type="gramEnd"/>
      <w:r>
        <w:t>p., Poljubinj 96, Tolmin, podaljša do 30. 6. 2026.</w:t>
      </w:r>
    </w:p>
    <w:p w14:paraId="7260B5B3" w14:textId="04D29D33" w:rsidR="009A1362" w:rsidRDefault="008841B7" w:rsidP="008841B7">
      <w:pPr>
        <w:pStyle w:val="Vir"/>
      </w:pPr>
      <w:r>
        <w:t>Vir: Ministrstvo za naravne vire in prostor</w:t>
      </w:r>
    </w:p>
    <w:p w14:paraId="638686BC" w14:textId="17912D59" w:rsidR="004426F1" w:rsidRDefault="004426F1" w:rsidP="004426F1">
      <w:pPr>
        <w:pStyle w:val="Naslov2"/>
      </w:pPr>
      <w:r>
        <w:t>Vlada sprejela sklep o izvedbi vaje državnega pomena Odziv na nesrečo z veliko poškodovanimi 2025</w:t>
      </w:r>
    </w:p>
    <w:p w14:paraId="00C9249D" w14:textId="77777777" w:rsidR="004426F1" w:rsidRDefault="004426F1" w:rsidP="004426F1">
      <w:r>
        <w:t>Z Načrtom vaj v obrambnem sistemu in sistemu varstva pred naravnimi in drugimi nesrečami v letu 2025 je bilo določeno, da se</w:t>
      </w:r>
      <w:proofErr w:type="gramStart"/>
      <w:r>
        <w:t xml:space="preserve"> kot</w:t>
      </w:r>
      <w:proofErr w:type="gramEnd"/>
      <w:r>
        <w:t xml:space="preserve"> vaja državnega pomena organizira enodnevna teoretična vaja na </w:t>
      </w:r>
      <w:r>
        <w:lastRenderedPageBreak/>
        <w:t xml:space="preserve">temo Odziva na nesrečo z veliko poškodovanimi. Vaja se bo izvedla 19. novembra 2025 v Izobraževalnem </w:t>
      </w:r>
      <w:proofErr w:type="gramStart"/>
      <w:r>
        <w:t>centru</w:t>
      </w:r>
      <w:proofErr w:type="gramEnd"/>
      <w:r>
        <w:t xml:space="preserve"> za zaščito in reševanje Republike Slovenije na Igu.</w:t>
      </w:r>
    </w:p>
    <w:p w14:paraId="3F8E4A04" w14:textId="77777777" w:rsidR="004426F1" w:rsidRDefault="004426F1" w:rsidP="004426F1"/>
    <w:p w14:paraId="50BA5106" w14:textId="77777777" w:rsidR="004426F1" w:rsidRDefault="004426F1" w:rsidP="004426F1">
      <w:r>
        <w:t xml:space="preserve">Namen vaje je preveriti odziv na </w:t>
      </w:r>
      <w:proofErr w:type="gramStart"/>
      <w:r>
        <w:t>dogodek</w:t>
      </w:r>
      <w:proofErr w:type="gramEnd"/>
      <w:r>
        <w:t xml:space="preserve"> večjega obsega z več poškodovanimi, umrlimi in drugimi prizadetimi osebami s psihosocialnimi posledicami ter izvajanje ustreznih ukrepov v skladu z državnim načrtom zaščite in reševanja ob uporabi orožij ali sredstev za množično uničevanje v teroristične namene oz. terorističnem napadu s klasičnimi sredstvi. Na vaji se bodo preverjali tudi komuniciranje med organi ob samem dogodku, koordinacija in vodenje odziva ter </w:t>
      </w:r>
      <w:proofErr w:type="gramStart"/>
      <w:r>
        <w:t>koncepti</w:t>
      </w:r>
      <w:proofErr w:type="gramEnd"/>
      <w:r>
        <w:t xml:space="preserve"> odziva na dogodek, in sicer v časovnih oknih 30 in 60 minut po dogodku.</w:t>
      </w:r>
    </w:p>
    <w:p w14:paraId="16C322C2" w14:textId="77777777" w:rsidR="004426F1" w:rsidRDefault="004426F1" w:rsidP="004426F1"/>
    <w:p w14:paraId="57191C34" w14:textId="77777777" w:rsidR="004426F1" w:rsidRDefault="004426F1" w:rsidP="004426F1">
      <w:r>
        <w:t>Na podlagi analize vaje bodo posamezni nosilci nalog iz načrtov zaščite in reševanja izboljšali načrtovanje zaščitnih ukrepov v okviru Državnega načrta zaščite in reševanja ob uporabi orožij ali sredstev za množično uničevanje v teroristične namene oziroma terorističnem napadu s klasičnimi sredstvi.</w:t>
      </w:r>
    </w:p>
    <w:p w14:paraId="1BDF61B0" w14:textId="795BEBC7" w:rsidR="009A1362" w:rsidRDefault="004426F1" w:rsidP="004426F1">
      <w:pPr>
        <w:pStyle w:val="Vir"/>
      </w:pPr>
      <w:r>
        <w:t>Vir: Ministrstvo za obrambo</w:t>
      </w:r>
    </w:p>
    <w:p w14:paraId="27978112" w14:textId="594C2E02" w:rsidR="006C6327" w:rsidRDefault="006C6327" w:rsidP="006C6327">
      <w:pPr>
        <w:pStyle w:val="Naslov2"/>
      </w:pPr>
      <w:r>
        <w:t>Vlada se je seznanila z informacijo o organizaciji in izvedbi obrambnega sejma SIDEC 2025 od 21. do 24. oktobra 2025 v Celju</w:t>
      </w:r>
    </w:p>
    <w:p w14:paraId="69313428" w14:textId="77777777" w:rsidR="006C6327" w:rsidRDefault="006C6327" w:rsidP="006C6327">
      <w:r>
        <w:t xml:space="preserve">Ministrstvo za obrambo Republike Slovenije in Grozd obrambne industrije Slovenije letos prvič soorganizirata obrambni sejem SIDEC, ki bo od 21. do 24. oktobra 2025 potekal na Celjskem sejmišču. </w:t>
      </w:r>
    </w:p>
    <w:p w14:paraId="1FAACB5C" w14:textId="77777777" w:rsidR="006C6327" w:rsidRDefault="006C6327" w:rsidP="006C6327"/>
    <w:p w14:paraId="76484051" w14:textId="77777777" w:rsidR="006C6327" w:rsidRDefault="006C6327" w:rsidP="006C6327">
      <w:r>
        <w:t xml:space="preserve">Od organizacije sejma pričakujemo številne koristi in pozitivne učinke za slovenski obrambni in varnostni sistem ter slovensko obrambno industrijo, sejem pa bo tudi priložnost za splošno in turistično promocijo naše države v svetu. </w:t>
      </w:r>
    </w:p>
    <w:p w14:paraId="4CD85099" w14:textId="77777777" w:rsidR="006C6327" w:rsidRDefault="006C6327" w:rsidP="006C6327"/>
    <w:p w14:paraId="2198CA16" w14:textId="77777777" w:rsidR="006C6327" w:rsidRDefault="006C6327" w:rsidP="006C6327">
      <w:r>
        <w:t xml:space="preserve">Sejem SIDEC bo ponudil tudi promocijo Grozda obrambne industrije Slovenije, v okviru razstavnega prostora SPIRIT pa bo predstavljenih več slovenskih manjših zagonskih podjetij, ki z naprednimi tehnologijami dvojne rabe razvijajo potenciale namembnosti za področja obrambe, varnosti in odpornosti. </w:t>
      </w:r>
    </w:p>
    <w:p w14:paraId="7D8D72EC" w14:textId="77777777" w:rsidR="006C6327" w:rsidRDefault="006C6327" w:rsidP="006C6327"/>
    <w:p w14:paraId="367ECC22" w14:textId="77777777" w:rsidR="006C6327" w:rsidRDefault="006C6327" w:rsidP="006C6327">
      <w:r>
        <w:t xml:space="preserve">Na sejmu se bo </w:t>
      </w:r>
      <w:proofErr w:type="gramStart"/>
      <w:r>
        <w:t>predstavilo</w:t>
      </w:r>
      <w:proofErr w:type="gramEnd"/>
      <w:r>
        <w:t xml:space="preserve"> okoli 130 vodilnih domačih in tujih podjetij obrambne industrije, vključno s podjetji Rheinmetall, Diehl </w:t>
      </w:r>
      <w:proofErr w:type="spellStart"/>
      <w:r>
        <w:t>Defence</w:t>
      </w:r>
      <w:proofErr w:type="spellEnd"/>
      <w:r>
        <w:t>, Safrane, Heckler &amp; Koch ipd. Sejemsko prireditev bo spremljal bogat konferenčni program, ki bo v okviru ločenih panelov naslovil napredne sodobne tehnologije, kibernetsko varnost, energetsko učinkovitost in odpornost ter umetno inteligenco. Osrednji sejemski panel bo namenjen javni predstavitvi in razpravi o nedavno sprejeti Strategiji razvoja obrambne industrije in tehnološke baze v Republiki Sloveniji.</w:t>
      </w:r>
    </w:p>
    <w:p w14:paraId="396A0CB1" w14:textId="77777777" w:rsidR="006C6327" w:rsidRDefault="006C6327" w:rsidP="006C6327"/>
    <w:p w14:paraId="3475C20F" w14:textId="77777777" w:rsidR="006C6327" w:rsidRDefault="006C6327" w:rsidP="006C6327">
      <w:r>
        <w:t xml:space="preserve">Dogodka se bodo predvidoma udeležile številne visoke delegacije iz tujine, saj sta Ministrstvo za obrambo in Slovenska vojska na dogodek povabila obrambne ministre, načelnike generalštabov in oborožitvene direktorje držav članic Nata in Evropske unije, držav v </w:t>
      </w:r>
      <w:proofErr w:type="gramStart"/>
      <w:r>
        <w:t>regiji</w:t>
      </w:r>
      <w:proofErr w:type="gramEnd"/>
      <w:r>
        <w:t xml:space="preserve"> Zahodnega Balkana ter nekaterih preostalih partneric Republike Slovenije na obrambno-varnostnem področju. </w:t>
      </w:r>
    </w:p>
    <w:p w14:paraId="75A18752" w14:textId="24A29889" w:rsidR="009A1362" w:rsidRDefault="006C6327" w:rsidP="006C6327">
      <w:pPr>
        <w:pStyle w:val="Vir"/>
      </w:pPr>
      <w:r>
        <w:t>Vir: Ministrstvo za obrambo</w:t>
      </w:r>
    </w:p>
    <w:p w14:paraId="5C7F664F" w14:textId="435A6710" w:rsidR="00A96E2A" w:rsidRDefault="00A96E2A" w:rsidP="00A96E2A">
      <w:pPr>
        <w:pStyle w:val="Naslov2"/>
      </w:pPr>
      <w:r>
        <w:t>Projekt LIFE – Vozlišča za financiranje energetske učinkovitosti vključen v načrt razvojnih programov</w:t>
      </w:r>
    </w:p>
    <w:p w14:paraId="66B0D8BE" w14:textId="77777777" w:rsidR="00A96E2A" w:rsidRDefault="00A96E2A" w:rsidP="00A96E2A">
      <w:r>
        <w:t xml:space="preserve">Vlada je sprejela sklep o uvrstitvi projekta LIFE – Vozlišča za financiranje energetske učinkovitosti v veljavni Načrt razvojnih programov 2025–2028. Projekt podpira prizadevanja Evropske unije za spodbujanje financiranja zelenega prehoda in večje energetske učinkovitosti. </w:t>
      </w:r>
    </w:p>
    <w:p w14:paraId="2977D02F" w14:textId="77777777" w:rsidR="00A96E2A" w:rsidRDefault="00A96E2A" w:rsidP="00A96E2A"/>
    <w:p w14:paraId="747A68C6" w14:textId="77777777" w:rsidR="00A96E2A" w:rsidRDefault="00A96E2A" w:rsidP="00A96E2A">
      <w:r>
        <w:t>Cilj projekta je ustvariti spodbudno okolje za naložbe v energetsko učinkovitost, okrepiti sodelovanje med javnim in zasebnim sektorjem ter povečati dostopnost finančnih instrumentov za podporo ciljem EU na področju energije in podnebja do let 2030 in 2050.</w:t>
      </w:r>
    </w:p>
    <w:p w14:paraId="17125BA2" w14:textId="77777777" w:rsidR="00A96E2A" w:rsidRDefault="00A96E2A" w:rsidP="00A96E2A"/>
    <w:p w14:paraId="36521850" w14:textId="77777777" w:rsidR="00A96E2A" w:rsidRDefault="00A96E2A" w:rsidP="00A96E2A">
      <w:r>
        <w:t>Slovenija bo v okviru projekta vzpostavila nacionalno vozlišče za financiranje energetske učinkovitosti, ki bo spodbujalo sodelovanje med državo, bankami in drugimi finančnimi institucijami ter zasebnim kapitalom pri vlaganjih v energetsko učinkovite projekte. Vozlišče bo delovalo kot središče za izmenjavo znanja, dobrih praks in razvoj novih finančnih mehanizmov ter bo organiziralo delavnice in posvete za deležnike iz različnih sektorjev.</w:t>
      </w:r>
    </w:p>
    <w:p w14:paraId="067B9353" w14:textId="77777777" w:rsidR="00A96E2A" w:rsidRDefault="00A96E2A" w:rsidP="00A96E2A"/>
    <w:p w14:paraId="4DCF9DF6" w14:textId="77777777" w:rsidR="00A96E2A" w:rsidRDefault="00A96E2A" w:rsidP="00A96E2A">
      <w:r>
        <w:t xml:space="preserve">Projekt LIFE23-CET-EEFINH poteka pod okriljem programa LIFE in povezuje partnerje iz 14 držav članic EU. Koordinator projekta je italijanska agencija </w:t>
      </w:r>
      <w:proofErr w:type="spellStart"/>
      <w:r>
        <w:t>Agenzia</w:t>
      </w:r>
      <w:proofErr w:type="spellEnd"/>
      <w:r>
        <w:t xml:space="preserve"> </w:t>
      </w:r>
      <w:proofErr w:type="spellStart"/>
      <w:proofErr w:type="gramStart"/>
      <w:r>
        <w:t>nazionale</w:t>
      </w:r>
      <w:proofErr w:type="spellEnd"/>
      <w:proofErr w:type="gramEnd"/>
      <w:r>
        <w:t xml:space="preserve"> per le </w:t>
      </w:r>
      <w:proofErr w:type="spellStart"/>
      <w:r>
        <w:t>nuove</w:t>
      </w:r>
      <w:proofErr w:type="spellEnd"/>
      <w:r>
        <w:t xml:space="preserve"> </w:t>
      </w:r>
      <w:proofErr w:type="spellStart"/>
      <w:r>
        <w:t>tecnologie</w:t>
      </w:r>
      <w:proofErr w:type="spellEnd"/>
      <w:r>
        <w:t>, l’</w:t>
      </w:r>
      <w:proofErr w:type="spellStart"/>
      <w:r>
        <w:t>energia</w:t>
      </w:r>
      <w:proofErr w:type="spellEnd"/>
      <w:r>
        <w:t xml:space="preserve"> e lo </w:t>
      </w:r>
      <w:proofErr w:type="spellStart"/>
      <w:r>
        <w:t>sviluppo</w:t>
      </w:r>
      <w:proofErr w:type="spellEnd"/>
      <w:r>
        <w:t xml:space="preserve"> </w:t>
      </w:r>
      <w:proofErr w:type="spellStart"/>
      <w:r>
        <w:t>economico</w:t>
      </w:r>
      <w:proofErr w:type="spellEnd"/>
      <w:r>
        <w:t xml:space="preserve"> </w:t>
      </w:r>
      <w:proofErr w:type="spellStart"/>
      <w:r>
        <w:t>sostenibile</w:t>
      </w:r>
      <w:proofErr w:type="spellEnd"/>
      <w:r>
        <w:t xml:space="preserve"> (ENEA). Skupna vrednost projekta znaša 3,67 milijona evrov, od tega Evropska unija prispeva 95</w:t>
      </w:r>
      <w:proofErr w:type="gramStart"/>
      <w:r>
        <w:t xml:space="preserve"> %</w:t>
      </w:r>
      <w:proofErr w:type="gramEnd"/>
      <w:r>
        <w:t xml:space="preserve"> sredstev.</w:t>
      </w:r>
    </w:p>
    <w:p w14:paraId="30EBB2CC" w14:textId="77777777" w:rsidR="00A96E2A" w:rsidRDefault="00A96E2A" w:rsidP="00A96E2A"/>
    <w:p w14:paraId="07D93B7E" w14:textId="5D36FA13" w:rsidR="009A1362" w:rsidRDefault="00A96E2A" w:rsidP="00A96E2A">
      <w:r>
        <w:t>Za Ministrstvo za okolje, podnebje in energijo je predviden znesek 282.266 evrov, pri čemer EU prispeva 268.152,70 evra, slovenska udeležba pa 14.113,30 evra. Projekt bo trajal 48 mesecev, predvideno obdobje izvajanja pa je do 31. julija 2029.</w:t>
      </w:r>
    </w:p>
    <w:p w14:paraId="18B05AA1" w14:textId="77777777" w:rsidR="00A96E2A" w:rsidRDefault="00A96E2A" w:rsidP="00A96E2A">
      <w:pPr>
        <w:pStyle w:val="Vir"/>
      </w:pPr>
      <w:r>
        <w:t>Vir: Ministrstvo za okolje, podnebje in energijo</w:t>
      </w:r>
    </w:p>
    <w:p w14:paraId="5699D1EA" w14:textId="47AFDE29" w:rsidR="00A96E2A" w:rsidRDefault="00A96E2A" w:rsidP="00A96E2A">
      <w:pPr>
        <w:pStyle w:val="Naslov2"/>
      </w:pPr>
      <w:r>
        <w:t>Podprli projekt finančnih spodbud za energetsko prenovo planinskih koč</w:t>
      </w:r>
    </w:p>
    <w:p w14:paraId="167A44F6" w14:textId="77777777" w:rsidR="00A96E2A" w:rsidRDefault="00A96E2A" w:rsidP="00A96E2A">
      <w:r>
        <w:t>Vlada je v Načrt razvojnih programov 2025–2028 uvrstila nov projekt »Finančne spodbude za prenovo planinskih koč«. Namen projekta je izboljšati energetsko učinkovitost in povečati rabo obnovljivih virov energije v planinskih kočah po Sloveniji. Ukrepi bodo pripomogli k zmanjšanju porabe energije, večji rabi lokalnih virov, nižjim obratovalnim stroškom in manjšemu vplivu na okolje.</w:t>
      </w:r>
    </w:p>
    <w:p w14:paraId="6BB45AA5" w14:textId="77777777" w:rsidR="00A96E2A" w:rsidRDefault="00A96E2A" w:rsidP="00A96E2A"/>
    <w:p w14:paraId="01065E83" w14:textId="77777777" w:rsidR="00A96E2A" w:rsidRDefault="00A96E2A" w:rsidP="00A96E2A">
      <w:r>
        <w:t xml:space="preserve">Preko Eko sklada bodo planinske koče lahko pridobile nepovratna sredstva do 70 odstotkov upravičenih stroškov naložbe, vključno z davkom na dodano vrednost. Koče, ki </w:t>
      </w:r>
      <w:proofErr w:type="gramStart"/>
      <w:r>
        <w:t>se nahajajo</w:t>
      </w:r>
      <w:proofErr w:type="gramEnd"/>
      <w:r>
        <w:t xml:space="preserve"> na območju Triglavskega narodnega parka, bodo zaradi zahtevnejših pogojev deležne povečane podpore do 95 odstotkov.</w:t>
      </w:r>
    </w:p>
    <w:p w14:paraId="6C6470B9" w14:textId="77777777" w:rsidR="00A96E2A" w:rsidRDefault="00A96E2A" w:rsidP="00A96E2A"/>
    <w:p w14:paraId="64455EB2" w14:textId="77777777" w:rsidR="00A96E2A" w:rsidRDefault="00A96E2A" w:rsidP="00A96E2A">
      <w:r>
        <w:t>Sredstva bodo namenjena izvedbi ukrepov, kot so izboljšanje toplotne izolacije fasad, streh in tal, zamenjava oken in vrat, vgradnja toplotnih črpalk ali kurilnih naprav na biomaso, prezračevalnih sistemov z vračanjem toplote, razsvetljave z večjo energetsko učinkovitostjo ter solarnih ogrevalnih sistemov in otočnih sončnih elektrarn.</w:t>
      </w:r>
    </w:p>
    <w:p w14:paraId="544EB0D9" w14:textId="77777777" w:rsidR="00A96E2A" w:rsidRDefault="00A96E2A" w:rsidP="00A96E2A"/>
    <w:p w14:paraId="69E35B08" w14:textId="77777777" w:rsidR="00A96E2A" w:rsidRDefault="00A96E2A" w:rsidP="00A96E2A">
      <w:r>
        <w:t>Skupna vrednost projekta znaša 2,15 milijona evrov, od tega je 1,5 milijona evrov nepovratnih sredstev iz Podnebnega sklada, 650 tisoč evrov pa bodo zagotovili prejemniki spodbud. Projekt se bo izvajal v letih 2025 in 2026, prijavi pa se bo lahko do 20 planinskih koč.</w:t>
      </w:r>
    </w:p>
    <w:p w14:paraId="522838D1" w14:textId="77777777" w:rsidR="00A96E2A" w:rsidRDefault="00A96E2A" w:rsidP="00A96E2A"/>
    <w:p w14:paraId="6C188DE1" w14:textId="77777777" w:rsidR="00A96E2A" w:rsidRDefault="00A96E2A" w:rsidP="00A96E2A">
      <w:r>
        <w:t>Projekt predstavlja pomemben korak k zeleni prenovi slovenskih gora, saj bo prispeval k zmanjšanju emisij toplogrednih plinov, učinkovitejši rabi energije in trajnostnemu razvoju gorskih območij.</w:t>
      </w:r>
    </w:p>
    <w:p w14:paraId="34CEBCCB" w14:textId="0507D66B" w:rsidR="009A1362" w:rsidRDefault="00A96E2A" w:rsidP="00A96E2A">
      <w:pPr>
        <w:pStyle w:val="Vir"/>
      </w:pPr>
      <w:r>
        <w:t>Vir: Ministrstvo za okolje, podnebje in energijo</w:t>
      </w:r>
    </w:p>
    <w:p w14:paraId="53C4C807" w14:textId="25C97E71" w:rsidR="002B4035" w:rsidRDefault="002B4035" w:rsidP="002B4035">
      <w:pPr>
        <w:pStyle w:val="Naslov2"/>
      </w:pPr>
      <w:r>
        <w:t xml:space="preserve">Vlada v Načrtu razvojnih programov spremenila projekt nakupa naprav za magnetno resonančno slikanje </w:t>
      </w:r>
    </w:p>
    <w:p w14:paraId="461024C8" w14:textId="77777777" w:rsidR="002B4035" w:rsidRDefault="002B4035" w:rsidP="002B4035">
      <w:r>
        <w:t xml:space="preserve">Vlada je na današnji seji dala soglasje za spremembo projekta Naprave za magnetno resonančno slikanje za več javnih zdravstvenih zavodov v veljavnem Načrtu razvojnih programov 2025-2028. </w:t>
      </w:r>
    </w:p>
    <w:p w14:paraId="745FD82E" w14:textId="77777777" w:rsidR="002B4035" w:rsidRDefault="002B4035" w:rsidP="002B4035">
      <w:r>
        <w:lastRenderedPageBreak/>
        <w:t xml:space="preserve">Vrednost in obseg projekta se spreminjata na podlagi novelacije </w:t>
      </w:r>
      <w:proofErr w:type="gramStart"/>
      <w:r>
        <w:t>investicijske</w:t>
      </w:r>
      <w:proofErr w:type="gramEnd"/>
      <w:r>
        <w:t xml:space="preserve"> dokumentacije zaradi prilagoditve obsegu projekta. Prvotni načrt je predvideval nabavo naprav za magnetno resonanco (</w:t>
      </w:r>
      <w:proofErr w:type="gramStart"/>
      <w:r>
        <w:t>MR</w:t>
      </w:r>
      <w:proofErr w:type="gramEnd"/>
      <w:r>
        <w:t>) za več javnih zdravstvenih zavodov, medtem ko novelirana dokumentacija predvideva nabavo MR naprav izključno za Univerzitetni klinični center (UKC) Ljubljana.</w:t>
      </w:r>
    </w:p>
    <w:p w14:paraId="49E2B805" w14:textId="77777777" w:rsidR="006464FC" w:rsidRDefault="006464FC" w:rsidP="002B4035"/>
    <w:p w14:paraId="1BF56083" w14:textId="6B698365" w:rsidR="002B4035" w:rsidRDefault="002B4035" w:rsidP="002B4035">
      <w:r>
        <w:t xml:space="preserve">Odločitev je bila sprejeta na podlagi ugotovljenih potreb, in sicer zaradi iztrošenih naprav in visokih stroškov najema </w:t>
      </w:r>
      <w:proofErr w:type="gramStart"/>
      <w:r>
        <w:t>začasnih MR</w:t>
      </w:r>
      <w:proofErr w:type="gramEnd"/>
      <w:r>
        <w:t xml:space="preserve"> naprav v UKC Ljubljana. Ker se število pregledov povečuje, </w:t>
      </w:r>
      <w:proofErr w:type="gramStart"/>
      <w:r>
        <w:t>istočasno</w:t>
      </w:r>
      <w:proofErr w:type="gramEnd"/>
      <w:r>
        <w:t xml:space="preserve"> pa poteka energetska sanacija in revitalizacija objekta </w:t>
      </w:r>
      <w:proofErr w:type="spellStart"/>
      <w:r>
        <w:t>Hospital</w:t>
      </w:r>
      <w:proofErr w:type="spellEnd"/>
      <w:r>
        <w:t xml:space="preserve"> UKC Ljubljana, se bo povečalo število postelj, kar bo pomenilo več hospitaliziranih pacientov in posledično večje potrebe po diagnostiki.</w:t>
      </w:r>
    </w:p>
    <w:p w14:paraId="2F84488C" w14:textId="77777777" w:rsidR="002B4035" w:rsidRDefault="002B4035" w:rsidP="002B4035">
      <w:r>
        <w:t xml:space="preserve">Trenutna vrednost projekta v Načrtu razvojnih programov znaša 48.846.360 evrov, nova vrednost pa 16.621.694,80 evra. </w:t>
      </w:r>
    </w:p>
    <w:p w14:paraId="004A90A9" w14:textId="77777777" w:rsidR="002B4035" w:rsidRDefault="002B4035" w:rsidP="002B4035"/>
    <w:p w14:paraId="00DFFD3A" w14:textId="6FBB5220" w:rsidR="002B4035" w:rsidRDefault="002B4035" w:rsidP="002B4035">
      <w:r>
        <w:t>Sredstva za izvedbo projekta so zagotovljena v sklopu finančnega načrta Urada za nadzor, kakovost in investicije v zdravstvu in UKC Ljubljana, ki krije stroške po-garancijskega vzdrževanja v višini na 2.945.494,80 evra. Zaključek projekta je predviden za prvo polovico leta 2026.</w:t>
      </w:r>
    </w:p>
    <w:p w14:paraId="5538E99D" w14:textId="77777777" w:rsidR="002B4035" w:rsidRDefault="002B4035" w:rsidP="002B4035"/>
    <w:p w14:paraId="2C024FCC" w14:textId="479C60C3" w:rsidR="002B4035" w:rsidRDefault="002B4035" w:rsidP="002B4035">
      <w:r>
        <w:t>Za ostale zavode so zagotovljeni viri bodisi kohezijske politike (vzhodna kohezijska regija)</w:t>
      </w:r>
      <w:proofErr w:type="gramStart"/>
      <w:r>
        <w:t xml:space="preserve"> bodisi</w:t>
      </w:r>
      <w:proofErr w:type="gramEnd"/>
      <w:r>
        <w:t xml:space="preserve"> se bo opremo kupovalo v sklopu namenskih projektov oziroma projektov prenov.</w:t>
      </w:r>
    </w:p>
    <w:p w14:paraId="4087A10E" w14:textId="6FBC01A6" w:rsidR="009A1362" w:rsidRDefault="002B4035" w:rsidP="002B4035">
      <w:pPr>
        <w:pStyle w:val="Vir"/>
      </w:pPr>
      <w:r>
        <w:t>Vir: Ministrstvo za zdravje</w:t>
      </w:r>
    </w:p>
    <w:p w14:paraId="76BA3758" w14:textId="53AD97D7" w:rsidR="00A05D28" w:rsidRDefault="00A05D28" w:rsidP="00A05D28">
      <w:pPr>
        <w:pStyle w:val="Naslov2"/>
      </w:pPr>
      <w:r>
        <w:t>Vlada sprejela odgovor na uradni opomin Evropske komisije glede javnega naročanja zdravil</w:t>
      </w:r>
    </w:p>
    <w:p w14:paraId="13DA3979" w14:textId="77777777" w:rsidR="00A05D28" w:rsidRDefault="00A05D28" w:rsidP="00A05D28">
      <w:r>
        <w:t xml:space="preserve">Vlada je na današnji seji sprejela odgovor Republike Slovenije v predsodnem postopku na uradni opomin Evropske komisije z dne </w:t>
      </w:r>
      <w:proofErr w:type="gramStart"/>
      <w:r>
        <w:t>18. 6. 2025</w:t>
      </w:r>
      <w:proofErr w:type="gramEnd"/>
      <w:r>
        <w:t xml:space="preserve"> zaradi očitane neskladnosti slovenske zakonodaje v zvezi z javnim naročanjem zdravil. Izjema glede javnega naročanja zdravil, ki je bila uvedena z novelo Zakona o lekarniški dejavnosti, po mnenju Evropske komisije predstavlja kršitev </w:t>
      </w:r>
      <w:proofErr w:type="gramStart"/>
      <w:r>
        <w:t>Direktive</w:t>
      </w:r>
      <w:proofErr w:type="gramEnd"/>
      <w:r>
        <w:t xml:space="preserve"> 2014/24/EU.   </w:t>
      </w:r>
    </w:p>
    <w:p w14:paraId="72FCDB57" w14:textId="77777777" w:rsidR="00A05D28" w:rsidRDefault="00A05D28" w:rsidP="00A05D28"/>
    <w:p w14:paraId="2BCC5358" w14:textId="77777777" w:rsidR="00A05D28" w:rsidRDefault="00A05D28" w:rsidP="00A05D28">
      <w:r>
        <w:t xml:space="preserve">Osnovni cilj, ki ga zasleduje Republika Slovenije pri urejanju trga zdravil, je zagotavljanje trajne in nemotene preskrbe prebivalstva z vsemi zdravili, ki jih javno zdravstvo in prebivalci potrebujejo. </w:t>
      </w:r>
    </w:p>
    <w:p w14:paraId="79A5B2A3" w14:textId="77777777" w:rsidR="00A05D28" w:rsidRDefault="00A05D28" w:rsidP="00A05D28"/>
    <w:p w14:paraId="35DB9D64" w14:textId="58A629FD" w:rsidR="00A05D28" w:rsidRDefault="00A05D28" w:rsidP="00A05D28">
      <w:r>
        <w:t xml:space="preserve">Novela Zakona o lekarniški dejavnosti v 14. členu določa postopek zagotavljanja ustreznih zalog zdravil, ki jih mora javni lekarniški zavod na primarni ravni zdravstvene dejavnosti zagotavljati po količini in vrsti zdravil glede na potrebe </w:t>
      </w:r>
      <w:proofErr w:type="gramStart"/>
      <w:r>
        <w:t>pacientov</w:t>
      </w:r>
      <w:proofErr w:type="gramEnd"/>
      <w:r>
        <w:t xml:space="preserve"> ter fizičnih in pravnih oseb, ki opravljajo zdravstveno dejavnost na njegovem območju. Lekarna namreč mora zagotoviti vsa zdravila, ki so na trgu v Republiki Sloveniji najpozneje v 24 urah od naročila oziroma naslednji delovni dan. S predmetnim členom se je v področni zakon prenesla vsebina interventnega Zakona o nujnih ukrepih za zagotavljanje nemotene nabave zdravil za leti 2023 in 2024. </w:t>
      </w:r>
    </w:p>
    <w:p w14:paraId="2A0A6558" w14:textId="77777777" w:rsidR="00A05D28" w:rsidRDefault="00A05D28" w:rsidP="00A05D28"/>
    <w:p w14:paraId="4531D547" w14:textId="64C30E59" w:rsidR="00A05D28" w:rsidRDefault="00A05D28" w:rsidP="00A05D28">
      <w:r>
        <w:t>Republika Slovenija vztraja, da država pri zagotavljanju preskrbe prebivalcev z zdravili v Republiki Sloveniji ne krši evropskih pravil o javnem naročanju. Pri presoji ravnanja Republike Slovenije je treba upoštevati vse okoliščine in posebnosti preskrbe trga z zdravili.</w:t>
      </w:r>
    </w:p>
    <w:p w14:paraId="3D5843C8" w14:textId="23CFD75E" w:rsidR="009A1362" w:rsidRDefault="00A05D28" w:rsidP="008B512C">
      <w:pPr>
        <w:pStyle w:val="Vir"/>
      </w:pPr>
      <w:r>
        <w:t>Vir: Ministrstvo za zdravje</w:t>
      </w:r>
    </w:p>
    <w:p w14:paraId="12920097" w14:textId="623ECF25" w:rsidR="00A40E3F" w:rsidRDefault="00A40E3F" w:rsidP="00A40E3F">
      <w:pPr>
        <w:pStyle w:val="Naslov2"/>
      </w:pPr>
      <w:r>
        <w:t>Vlada podprla podpis Sporazuma o digitalni trgovini med Evropsko unijo in Republiko Korejo</w:t>
      </w:r>
    </w:p>
    <w:p w14:paraId="134B5B17" w14:textId="77777777" w:rsidR="00A40E3F" w:rsidRDefault="00A40E3F" w:rsidP="00A40E3F">
      <w:r>
        <w:t>Vlada Republike Slovenije je na današnji seji sprejela stališče Republike Slovenije do Predloga sklepa Sveta EU o podpisu Sporazuma o digitalni trgovini med Evropsko unijo in Republiko Korejo, s katerim Slovenija podpira podpis in sklenitev tega sporazuma.</w:t>
      </w:r>
    </w:p>
    <w:p w14:paraId="2636721F" w14:textId="77777777" w:rsidR="00A40E3F" w:rsidRDefault="00A40E3F" w:rsidP="00A40E3F"/>
    <w:p w14:paraId="4CF237D4" w14:textId="6CCA4142" w:rsidR="00A40E3F" w:rsidRDefault="00A40E3F" w:rsidP="00A40E3F">
      <w:r>
        <w:lastRenderedPageBreak/>
        <w:t>Sporazum predstavlja pomemben korak k sodobnemu in ambicioznemu urejanju digitalne trgovine med EU in Korejo. Njegov cilj je olajšati digitalno trgovino z blagom in storitvami, zagotoviti varnost čezmejnih podatkovnih tokov, okrepiti varstvo potrošnikov na spletu ter zagotoviti večjo pravno predvidljivost za podjetja, zlasti mala in srednja podjetja.</w:t>
      </w:r>
    </w:p>
    <w:p w14:paraId="24235790" w14:textId="77777777" w:rsidR="001E2826" w:rsidRDefault="001E2826" w:rsidP="00A40E3F"/>
    <w:p w14:paraId="03549BE2" w14:textId="1E9DBB33" w:rsidR="00A40E3F" w:rsidRDefault="00A40E3F" w:rsidP="00A40E3F">
      <w:r>
        <w:t>Pogajanja med EU in Korejo so se začela oktobra 2023 in zaključila marca 2025. Gre za drugi samostojni sporazum o digitalni trgovini, ki ga EU sklepa s tretjo državo, po sporazumu s Singapurjem iz leta 2024. Novi sporazum nadgrajuje že obstoječi Sporazum o prosti trgovini med EU in Korejo, ki velja od leta 2011, in ga dopolnjuje z visokimi standardi za digitalno trgovino ter čezmejni pretok podatkov.</w:t>
      </w:r>
    </w:p>
    <w:p w14:paraId="460D8BB6" w14:textId="77777777" w:rsidR="00A40E3F" w:rsidRDefault="00A40E3F" w:rsidP="00A40E3F"/>
    <w:p w14:paraId="5FECD4BD" w14:textId="11C4CD88" w:rsidR="00A40E3F" w:rsidRDefault="00A40E3F" w:rsidP="00A40E3F">
      <w:r>
        <w:t>Sporazum vsebuje določbe, ki zagotavljajo svoboden in varen pretok podatkov, hkrati pa ohranjajo visoko raven varstva osebnih podatkov in zasebnosti v skladu z zakonodajo EU. Ureja tudi prepoved carin na elektronske prenose, pravno veljavnost elektronskih pogodb in podpisov, varstvo potrošnikov ter kibernetsko varnost. Poseben poudarek namenja digitalni vključenosti in podpori mikro, malim in srednjim podjetjem, ki bodo lažje sodelovala v mednarodnih digitalnih tokovih.</w:t>
      </w:r>
    </w:p>
    <w:p w14:paraId="1FDCCE7E" w14:textId="77777777" w:rsidR="00A40E3F" w:rsidRDefault="00A40E3F" w:rsidP="00A40E3F"/>
    <w:p w14:paraId="1BAA33E0" w14:textId="10B58C87" w:rsidR="00A40E3F" w:rsidRDefault="00A40E3F" w:rsidP="00A40E3F">
      <w:r>
        <w:t>Sporazum o digitalni trgovini bo prispeval k zelenemu in digitalnemu prehodu Evropske unije, saj spodbuja digitalno poslovanje, brezpapirno trgovino in uporabo elektronskih računov. Ne vpliva na pravni red ali proračun Republike Slovenije ter ne povzroča administrativnih obremenitev za javno upravo.</w:t>
      </w:r>
    </w:p>
    <w:p w14:paraId="6282AC81" w14:textId="77777777" w:rsidR="00A40E3F" w:rsidRDefault="00A40E3F" w:rsidP="00A40E3F"/>
    <w:p w14:paraId="499636C0" w14:textId="31C54BE9" w:rsidR="00A40E3F" w:rsidRDefault="00A40E3F" w:rsidP="00A40E3F">
      <w:r>
        <w:t xml:space="preserve">Za pripravo stališča Republike Slovenije je bilo pristojno Ministrstvo za gospodarstvo, turizem in šport, ki je stališče uskladilo z več resorji, med drugim z Ministrstvom za digitalno preobrazbo, Ministrstvom za finance, Ministrstvom za kulturo, Ministrstvom za pravosodje ter Ministrstvom za zunanje in evropske zadeve. </w:t>
      </w:r>
    </w:p>
    <w:p w14:paraId="6C4E051F" w14:textId="77777777" w:rsidR="00A40E3F" w:rsidRDefault="00A40E3F" w:rsidP="00A40E3F"/>
    <w:p w14:paraId="22BF43BC" w14:textId="620B732A" w:rsidR="00A40E3F" w:rsidRDefault="00A40E3F" w:rsidP="00A40E3F">
      <w:r>
        <w:t>S podpisom tega sporazuma EU in Koreja potrjujeta svojo zavezanost odprti, varni in trajnostni digitalni trgovini ter skupnim pravilom, ki spodbujajo konkurenčnost, inovacije in zaupanja vredno digitalno okolje.</w:t>
      </w:r>
    </w:p>
    <w:p w14:paraId="1E9650ED" w14:textId="77777777" w:rsidR="00A40E3F" w:rsidRDefault="00A40E3F" w:rsidP="00A40E3F"/>
    <w:p w14:paraId="2644774F" w14:textId="07AB4E78" w:rsidR="009A1362" w:rsidRDefault="00A40E3F" w:rsidP="00A40E3F">
      <w:r>
        <w:t>Vir: Ministrstvo za gospodarstvo, turizem in šport</w:t>
      </w:r>
    </w:p>
    <w:p w14:paraId="2BA1E240" w14:textId="77777777" w:rsidR="009A1362" w:rsidRDefault="009A1362" w:rsidP="009A1362"/>
    <w:p w14:paraId="376780E3" w14:textId="4243B3C6" w:rsidR="007D7D2B" w:rsidRDefault="007D7D2B" w:rsidP="007D7D2B">
      <w:pPr>
        <w:pStyle w:val="Naslov2"/>
      </w:pPr>
      <w:r>
        <w:t xml:space="preserve">Vlada se je seznanila s priporočilom o začetku pogajanj o sporazumu o digitalni trgovini </w:t>
      </w:r>
      <w:proofErr w:type="gramStart"/>
      <w:r>
        <w:t>z</w:t>
      </w:r>
      <w:proofErr w:type="gramEnd"/>
      <w:r>
        <w:t xml:space="preserve"> Kanado</w:t>
      </w:r>
    </w:p>
    <w:p w14:paraId="55F134E2" w14:textId="77777777" w:rsidR="007D7D2B" w:rsidRDefault="007D7D2B" w:rsidP="007D7D2B">
      <w:r>
        <w:t>Vlada se je danes seznanila s Priporočilom Sklepa Sveta EU o pooblastilu za začetek pogajanj o sporazumu o digitalni trgovini s Kanado in sprejela stališče Republike Slovenije, s katerim Slovenija podpira to pobudo.</w:t>
      </w:r>
    </w:p>
    <w:p w14:paraId="2186A60F" w14:textId="77777777" w:rsidR="007D7D2B" w:rsidRDefault="007D7D2B" w:rsidP="007D7D2B"/>
    <w:p w14:paraId="459D4CC3" w14:textId="77777777" w:rsidR="007D7D2B" w:rsidRDefault="007D7D2B" w:rsidP="007D7D2B">
      <w:r>
        <w:t>Digitalizacija gospodarstva vse bolj spreminja način mednarodnega poslovanja ter podjetjem, zlasti malim in srednje velikim, omogoča lažji dostop do globalnih trgov. Novi sporazum naj bi vzpostavil sodoben okvir za digitalno trgovino med Evropsko unijo in Kanado, ki bo temeljil na skupnih pravilih ter prispeval k večji pravni varnosti, preglednosti in zaupanju potrošnikov.</w:t>
      </w:r>
    </w:p>
    <w:p w14:paraId="3E96C156" w14:textId="77777777" w:rsidR="007D7D2B" w:rsidRDefault="007D7D2B" w:rsidP="007D7D2B"/>
    <w:p w14:paraId="3883DAAE" w14:textId="77777777" w:rsidR="007D7D2B" w:rsidRDefault="007D7D2B" w:rsidP="007D7D2B">
      <w:r>
        <w:t>Trenutno so trgovinski odnosi med EU in Kanado urejeni s sporazumom CETA, ki pa ne zajema vseh izzivov in priložnosti sodobne digitalne ekonomije. Na vrhu EU–Kanada junija 2025 sta se partnerici dogovorili o začetku pogajanj za poglobljen dogovor o digitalni trgovini.</w:t>
      </w:r>
    </w:p>
    <w:p w14:paraId="35692844" w14:textId="77777777" w:rsidR="007D7D2B" w:rsidRDefault="007D7D2B" w:rsidP="007D7D2B"/>
    <w:p w14:paraId="1E3A977D" w14:textId="77777777" w:rsidR="007D7D2B" w:rsidRDefault="007D7D2B" w:rsidP="007D7D2B">
      <w:r>
        <w:t xml:space="preserve">Pogajalske smernice bodo zajemale področja, kot so pretok podatkov, elektronsko poslovanje, brezpapirna trgovina, varstvo potrošnikov in zaščita osebnih podatkov, vse skladno s pravnim okvirom EU in Evropsko deklaracijo o digitalnih pravicah. Sporazum naj bi prispeval k večjemu zaupanju </w:t>
      </w:r>
      <w:r>
        <w:lastRenderedPageBreak/>
        <w:t>potrošnikov, znižanju stroškov digitalne trgovine ter krepitvi konkurenčnosti podjetij in gospodarskih odnosov med EU in Kanado.</w:t>
      </w:r>
    </w:p>
    <w:p w14:paraId="7C716ED6" w14:textId="4ADE87CB" w:rsidR="009A1362" w:rsidRDefault="007D7D2B" w:rsidP="007D7D2B">
      <w:pPr>
        <w:pStyle w:val="Vir"/>
      </w:pPr>
      <w:r>
        <w:t>Vir: Ministrstvo za gospodarstvo, turizem in šport</w:t>
      </w:r>
    </w:p>
    <w:p w14:paraId="4738CB95" w14:textId="23738A43" w:rsidR="0061443B" w:rsidRDefault="0061443B" w:rsidP="0061443B">
      <w:pPr>
        <w:pStyle w:val="Naslov2"/>
      </w:pPr>
      <w:r>
        <w:t>Vlada podpira širši sveženj sporazumov med EU in Švico</w:t>
      </w:r>
    </w:p>
    <w:p w14:paraId="7D65C00A" w14:textId="77777777" w:rsidR="0061443B" w:rsidRDefault="0061443B" w:rsidP="0061443B">
      <w:r>
        <w:t>Vlada je danes sprejela stališče, s katerim podpira podpis in sklenitev širšega svežnja sporazumov med Evropsko unijo in Švico. Sveženj bo posodobil, poglobil in razširil obstoječe odnose ter vzpostavil sodoben in celovit pravni okvir sodelovanja.</w:t>
      </w:r>
    </w:p>
    <w:p w14:paraId="43853A97" w14:textId="77777777" w:rsidR="0061443B" w:rsidRDefault="0061443B" w:rsidP="0061443B"/>
    <w:p w14:paraId="69258F8A" w14:textId="77777777" w:rsidR="0061443B" w:rsidRDefault="0061443B" w:rsidP="0061443B">
      <w:r>
        <w:t>Z novimi sporazumi se uvajajo enakopravni konkurenčni pogoji za podjetja iz EU in Švice, odpravljajo se oblike diskriminacije državljanov EU pri delu, študiju in bivanju v Švici, okrepljeno pa bo tudi sodelovanje na področjih raziskav, inovacij, zdravja, energije, prometa in varnosti hrane. Švica bo hkrati redno prispevala finančna sredstva k politikam ekonomske, socialne in teritorialne kohezije EU.</w:t>
      </w:r>
    </w:p>
    <w:p w14:paraId="6100956B" w14:textId="77777777" w:rsidR="0061443B" w:rsidRDefault="0061443B" w:rsidP="0061443B"/>
    <w:p w14:paraId="6E712679" w14:textId="77777777" w:rsidR="0061443B" w:rsidRDefault="0061443B" w:rsidP="0061443B">
      <w:r>
        <w:t>Za Slovenijo ima sveženj poseben pomen. Kot izrazito izvozno usmerjeno gospodarstvo ima Slovenija s Švico močne gospodarske vezi – ta je med večjimi trgovinskimi partnerji in tretji največji vlagatelj v Sloveniji. Novi, preglednejši in enotnejši pravni okvir bo slovenskim podjetjem zagotovil večjo stabilnost, zmanjšal administrativne ovire in povečal konkurenčnost, zlasti v farmacevtski, kemični in elektronski industriji.</w:t>
      </w:r>
    </w:p>
    <w:p w14:paraId="05DDF2C9" w14:textId="77777777" w:rsidR="0061443B" w:rsidRDefault="0061443B" w:rsidP="0061443B"/>
    <w:p w14:paraId="2EB7C231" w14:textId="77777777" w:rsidR="0061443B" w:rsidRDefault="0061443B" w:rsidP="0061443B">
      <w:r>
        <w:t>Koristi bodo občutili tudi slovenski državljani, ki živijo, delajo ali študirajo v Švici, saj bodo imeli zagotovljen enak dostop do zaposlitve, socialne varnosti in izobraževanja. Posebej pomembna je odprava razlik v šolninah ter večja mobilnost delovne sile. Na področju kmetijstva in varnosti hrane bodo enotni standardi olajšali izvoz slovenskih izdelkov v Švico, hkrati pa ohranili visoke standarde varnosti in kakovosti.</w:t>
      </w:r>
    </w:p>
    <w:p w14:paraId="5AA19BFA" w14:textId="77777777" w:rsidR="0061443B" w:rsidRDefault="0061443B" w:rsidP="0061443B"/>
    <w:p w14:paraId="04E9BF48" w14:textId="77777777" w:rsidR="0061443B" w:rsidRDefault="0061443B" w:rsidP="0061443B">
      <w:r>
        <w:t>Sveženj omogoča tudi ponovno vključitev Švice v programe Obzorje Evropa in Erasmus+, kar bo slovenskim raziskovalcem, univerzam in študentom odprlo dodatne priložnosti za sodelovanje v mednarodnih projektih. Finančni prispevki Švice k evropski koheziji pa bodo posredno koristili tudi Sloveniji pri izvajanju razvojnih in infrastrukturnih projektov.</w:t>
      </w:r>
    </w:p>
    <w:p w14:paraId="77AFE3DB" w14:textId="77777777" w:rsidR="00D47781" w:rsidRDefault="00D47781" w:rsidP="0061443B"/>
    <w:p w14:paraId="165BF17E" w14:textId="6FA713CF" w:rsidR="0061443B" w:rsidRDefault="0061443B" w:rsidP="0061443B">
      <w:r>
        <w:t>Z novim svežnjem sporazumov EU in Švica utrjujeta dolgoročno partnerstvo, ki temelji na skupnih vrednotah, prostem pretoku znanja, ljudi in kapitala ter na skupnem interesu za krepitev gospodarske in družbene odpornosti.</w:t>
      </w:r>
    </w:p>
    <w:p w14:paraId="67909777" w14:textId="77777777" w:rsidR="0061443B" w:rsidRDefault="0061443B" w:rsidP="0061443B">
      <w:pPr>
        <w:pStyle w:val="Vir"/>
      </w:pPr>
      <w:r>
        <w:t>Vir: Ministrstvo za gospodarstvo, turizem in šport</w:t>
      </w:r>
    </w:p>
    <w:p w14:paraId="70E48DD3" w14:textId="38AAF59C" w:rsidR="00555CE6" w:rsidRDefault="00555CE6" w:rsidP="00555CE6">
      <w:pPr>
        <w:pStyle w:val="Naslov2"/>
      </w:pPr>
      <w:r>
        <w:t>Krepitev regionalnega sodelovanja pri upravljanju migracij na Zahodnem Balkanu</w:t>
      </w:r>
    </w:p>
    <w:p w14:paraId="2A7174C1" w14:textId="77777777" w:rsidR="00555CE6" w:rsidRDefault="00555CE6" w:rsidP="00555CE6">
      <w:r>
        <w:t xml:space="preserve">Vlada Republike Slovenije je sprejela Informacijo o vključitvi Republike Slovenije v projekt Krepitev regionalnega sodelovanja pri upravljanju migracij med državami Zahodnega Balkana in sosednjimi državami članicami EU v skladu z </w:t>
      </w:r>
      <w:proofErr w:type="gramStart"/>
      <w:r>
        <w:t>EU zakonodajo</w:t>
      </w:r>
      <w:proofErr w:type="gramEnd"/>
      <w:r>
        <w:t xml:space="preserve"> in mednarodnimi standardi – MIRCO. Vlada soglaša, da Ministrstvo za notranje zadeve sodeluje pri projektu kot sodelujoči partner.</w:t>
      </w:r>
    </w:p>
    <w:p w14:paraId="5D98E77A" w14:textId="77777777" w:rsidR="00555CE6" w:rsidRDefault="00555CE6" w:rsidP="00555CE6"/>
    <w:p w14:paraId="4DF52B94" w14:textId="77777777" w:rsidR="00555CE6" w:rsidRDefault="00555CE6" w:rsidP="00555CE6">
      <w:r>
        <w:t>Slovenija je prejela povabilo k sodelovanju v projektu od Švedske agencije za migracije, ki je vodilna v konzorciju. Švedska agencija za migracije je projekt začela izvajati maja 2024, zaključil se bo maja 2026. Prispeval bo k okrepljenemu regionalnemu sodelovanju pri upravljanju migracij, krepitvi dobrososedskih odnosov in izvajanju zunanje razsežnosti skupnega evropskega azilnega sistema na Zahodnem Balkanu. Projekt je sofinanciran s sredstvi EU in sodelovanje Slovenije ne bo pomenilo finančnega bremena za državni proračun.</w:t>
      </w:r>
    </w:p>
    <w:p w14:paraId="5195BB0F" w14:textId="77777777" w:rsidR="00555CE6" w:rsidRDefault="00555CE6" w:rsidP="00555CE6"/>
    <w:p w14:paraId="783616AC" w14:textId="77777777" w:rsidR="00555CE6" w:rsidRDefault="00555CE6" w:rsidP="00555CE6">
      <w:r>
        <w:t>Upravičenci projekta so Ministrstvo za notranje zadeve Črne gore, Ministrstvo za varnost Bosne in Hercegovine, Ministrstvo za notranje zadeve Severne Makedonije in Komisariat za begunce in migracije Republike Srbije. Vključeni instituciji držav članic EU sta poleg slovenskega notranjega ministrstva in Švedske agencije za migracije še Ministrstvo za notranje zadeve Avstrije in Ministrstvo za migracije in azil Grčije.</w:t>
      </w:r>
    </w:p>
    <w:p w14:paraId="11FD4A31" w14:textId="4E10B7B9" w:rsidR="009A1362" w:rsidRDefault="00555CE6" w:rsidP="00555CE6">
      <w:pPr>
        <w:pStyle w:val="Vir"/>
      </w:pPr>
      <w:r>
        <w:t>Vir: Ministrstvo za notranje zadeve</w:t>
      </w:r>
    </w:p>
    <w:p w14:paraId="6876FA1E" w14:textId="626E757B" w:rsidR="00EE44A4" w:rsidRDefault="00EE44A4" w:rsidP="00EE44A4">
      <w:pPr>
        <w:pStyle w:val="Naslov2"/>
      </w:pPr>
      <w:r>
        <w:t>Vlada o posodobitvi sporazuma z Medameriško razvojno banko glede podpore projektom v Latinski Ameriki in na Karibih</w:t>
      </w:r>
    </w:p>
    <w:p w14:paraId="67D28BB0" w14:textId="77777777" w:rsidR="00EE44A4" w:rsidRDefault="00EE44A4" w:rsidP="00EE44A4">
      <w:r>
        <w:t>Vlada se je danes seznanila z informacijo o nameravanem podpisu dopolnjenega upravnega sporazuma z Medameriško razvojno banko glede prispevka banki za projekte tehničnega sodelovanja v Latinski Ameriki in na Karibih.</w:t>
      </w:r>
    </w:p>
    <w:p w14:paraId="1345D9BF" w14:textId="77777777" w:rsidR="00EE44A4" w:rsidRDefault="00EE44A4" w:rsidP="00EE44A4"/>
    <w:p w14:paraId="79BF430F" w14:textId="77777777" w:rsidR="00EE44A4" w:rsidRDefault="00EE44A4" w:rsidP="00EE44A4">
      <w:r>
        <w:t xml:space="preserve">Minister za finance Klemen Boštjančič in predsednik Medameriške razvojne banke Ilan </w:t>
      </w:r>
      <w:proofErr w:type="spellStart"/>
      <w:r>
        <w:t>Goldfajn</w:t>
      </w:r>
      <w:proofErr w:type="spellEnd"/>
      <w:r>
        <w:t xml:space="preserve"> sta na letnem zasedanju Medameriške razvojne banke v Čilu marca letos podpisala upravni sporazum, skladno</w:t>
      </w:r>
      <w:proofErr w:type="gramStart"/>
      <w:r>
        <w:t xml:space="preserve"> s</w:t>
      </w:r>
      <w:proofErr w:type="gramEnd"/>
      <w:r>
        <w:t xml:space="preserve"> katerim bi Slovenija sofinancirala projekte razvojnega sodelovanja v regiji Latinske Amerike in Karibov v skupni višini 1,25 milijona evrov. Gre za področja prometa in upravljanja z vodnimi viri, kjer slovenska podjetja izstopajo s svojimi rešitvami. </w:t>
      </w:r>
    </w:p>
    <w:p w14:paraId="397C8C03" w14:textId="77777777" w:rsidR="00EE44A4" w:rsidRDefault="00EE44A4" w:rsidP="00EE44A4"/>
    <w:p w14:paraId="7A1428C7" w14:textId="77777777" w:rsidR="00EE44A4" w:rsidRDefault="00EE44A4" w:rsidP="00EE44A4">
      <w:r>
        <w:t xml:space="preserve">V postopku potrjevanja projektov na organih upravljanja Medameriške razvojne banke je bilo glede projekta podpore upravljanju z vodnimi viri in okoljem s pomočjo daljinskega zaznavanja in digitalnih dvojčkov ugotovljeno, da bi projekt večje učinke in </w:t>
      </w:r>
      <w:proofErr w:type="spellStart"/>
      <w:proofErr w:type="gramStart"/>
      <w:r>
        <w:t>željene</w:t>
      </w:r>
      <w:proofErr w:type="spellEnd"/>
      <w:proofErr w:type="gramEnd"/>
      <w:r>
        <w:t xml:space="preserve"> rezultate dosegel ob povečanem obsegu. Z dopolnitvijo podpisanega upravnega sporazuma bomo tako okrepili financiranje omenjenega projekta z dodatnimi sredstvi v višini 300.000 evrov.</w:t>
      </w:r>
    </w:p>
    <w:p w14:paraId="42C1749A" w14:textId="726D4464" w:rsidR="009A1362" w:rsidRDefault="00EE44A4" w:rsidP="00EE44A4">
      <w:pPr>
        <w:pStyle w:val="Vir"/>
      </w:pPr>
      <w:r>
        <w:t>Vir: Ministrstvo za finance</w:t>
      </w:r>
    </w:p>
    <w:p w14:paraId="4CAE2C2F" w14:textId="4648643B" w:rsidR="00DA0548" w:rsidRDefault="00DA0548" w:rsidP="00DA0548">
      <w:pPr>
        <w:pStyle w:val="Naslov2"/>
      </w:pPr>
      <w:r>
        <w:t>Informacija o nameravanem podpisu Skupne izjave med Vlado Republike Slovenije in Vlado Hašemitske kraljevine Jordanije</w:t>
      </w:r>
    </w:p>
    <w:p w14:paraId="50E1D3F3" w14:textId="77777777" w:rsidR="00DA0548" w:rsidRDefault="00DA0548" w:rsidP="00DA0548">
      <w:r>
        <w:t>Vlada Republike Slovenije je sprejela Informacijo o nameravanem podpisu Skupne izjave med Vlado Republike Slovenije in Vlade Hašemitske kraljevine Jordanije.</w:t>
      </w:r>
    </w:p>
    <w:p w14:paraId="662DCCA6" w14:textId="77777777" w:rsidR="00DA0548" w:rsidRDefault="00DA0548" w:rsidP="00DA0548"/>
    <w:p w14:paraId="028CF90F" w14:textId="36794A8D" w:rsidR="00DA0548" w:rsidRDefault="00DA0548" w:rsidP="00DA0548">
      <w:r>
        <w:t>S podpisom Skupne izjave vladi Slovenije in Jordanije izražata skupno pripravljenost za nadaljnjo krepitev dvostranskih odnosov in poglobitev sodelovanja na področjih skupnega interesa. Izjava temelji na priznanju obstoječih dobrih političnih in gospodarskih odnosov med državama ter skupni zavezanosti k razvoju dolgoročnega, trajnostnega in vzajemno koristnega partnerstva. Poseben pomen se pripisuje sodelovanju na področju obrambe in varnosti, ki pomembno prispevata k miru, stabilnosti in blaginji.</w:t>
      </w:r>
    </w:p>
    <w:p w14:paraId="54BF5861" w14:textId="77777777" w:rsidR="00DA0548" w:rsidRDefault="00DA0548" w:rsidP="00DA0548"/>
    <w:p w14:paraId="753B5783" w14:textId="0610FCD0" w:rsidR="00DA0548" w:rsidRDefault="00DA0548" w:rsidP="00DA0548">
      <w:r>
        <w:t>Prednostna področja sodelovanja, opredeljena v izjavi, vključujejo varnostno in gospodarsko sodelovanje, z osredotočenostjo na spodbujanju trgovine in naložb na področjih vode in vodnega gospodarstva, turizma, trajnostne energije, digitalne preobrazbe in zdravstvenih storitev. Izjava se bo dotaknila tudi sodelovanja pri ravnanju z vodnimi viri, razsoljevanju, krožnem gospodarstvu in obnovljivih virih energije. V okviru izjave se bosta podpisnici zavezali h krepitvi akademske, znanstvene in kulturne izmenjave</w:t>
      </w:r>
      <w:proofErr w:type="gramStart"/>
      <w:r>
        <w:t>,</w:t>
      </w:r>
      <w:proofErr w:type="gramEnd"/>
      <w:r>
        <w:t xml:space="preserve"> ter k sodelovanju med univerzami, raziskovalnimi ustanovami in podjetji.</w:t>
      </w:r>
    </w:p>
    <w:p w14:paraId="00993D19" w14:textId="77777777" w:rsidR="00DA0548" w:rsidRDefault="00DA0548" w:rsidP="00DA0548">
      <w:r>
        <w:t>Izjavo bo predvidoma podpisala ministrica za zunanje in evropske zadeve Tanja Fajon ob robu obiska kralja Abdulaha II. Jordanskega v Sloveniji med 19. in 20. oktobrom 2025.</w:t>
      </w:r>
    </w:p>
    <w:p w14:paraId="1213FE8B" w14:textId="7F08471E" w:rsidR="009A1362" w:rsidRDefault="00DA0548" w:rsidP="00DA0548">
      <w:pPr>
        <w:pStyle w:val="Vir"/>
      </w:pPr>
      <w:r>
        <w:lastRenderedPageBreak/>
        <w:t>Vir: Ministrstvo za zunanje in evropske zadeve</w:t>
      </w:r>
    </w:p>
    <w:p w14:paraId="6D8B6115" w14:textId="2C43D702" w:rsidR="00505162" w:rsidRDefault="00505162" w:rsidP="00505162">
      <w:pPr>
        <w:pStyle w:val="Naslov2"/>
      </w:pPr>
      <w:r>
        <w:t xml:space="preserve">Vlada se je seznanila s </w:t>
      </w:r>
      <w:proofErr w:type="gramStart"/>
      <w:r>
        <w:t>predlogom</w:t>
      </w:r>
      <w:r w:rsidR="00C2405D">
        <w:t xml:space="preserve"> </w:t>
      </w:r>
      <w:r>
        <w:t>Zakona</w:t>
      </w:r>
      <w:proofErr w:type="gramEnd"/>
      <w:r>
        <w:t xml:space="preserve"> o izplačilu zimskega prejemka</w:t>
      </w:r>
    </w:p>
    <w:p w14:paraId="58C94D46" w14:textId="0A7E3EC8" w:rsidR="006F1340" w:rsidRDefault="006F1340" w:rsidP="006F1340">
      <w:r>
        <w:t xml:space="preserve">Vlada Republike Slovenije se je danes seznanila z besedilom </w:t>
      </w:r>
      <w:proofErr w:type="gramStart"/>
      <w:r>
        <w:t>p</w:t>
      </w:r>
      <w:r>
        <w:t xml:space="preserve">redloga </w:t>
      </w:r>
      <w:r>
        <w:t>Z</w:t>
      </w:r>
      <w:r>
        <w:t>akona</w:t>
      </w:r>
      <w:proofErr w:type="gramEnd"/>
      <w:r>
        <w:t xml:space="preserve"> o izplačilu zimskega prejemka in ga bo posredovala v obravnavo Ekonomsko-socialnemu svetu (ESS). </w:t>
      </w:r>
    </w:p>
    <w:p w14:paraId="001F09A0" w14:textId="77777777" w:rsidR="006F1340" w:rsidRDefault="006F1340" w:rsidP="006F1340"/>
    <w:p w14:paraId="3DA66A58" w14:textId="283B259F" w:rsidR="006F1340" w:rsidRPr="006F1340" w:rsidRDefault="006F1340" w:rsidP="006F1340">
      <w:pPr>
        <w:rPr>
          <w:u w:val="single"/>
        </w:rPr>
      </w:pPr>
      <w:r w:rsidRPr="006F1340">
        <w:rPr>
          <w:u w:val="single"/>
        </w:rPr>
        <w:t>Nova delovnopravna pravica – zimski prejemek</w:t>
      </w:r>
    </w:p>
    <w:p w14:paraId="21BD7468" w14:textId="77777777" w:rsidR="006F1340" w:rsidRDefault="006F1340" w:rsidP="006F1340"/>
    <w:p w14:paraId="344A8BBC" w14:textId="61A949C7" w:rsidR="006F1340" w:rsidRDefault="006F1340" w:rsidP="006F1340">
      <w:r>
        <w:t xml:space="preserve">Predlog zakona uvaja novo delovnopravno pravico – pravico delavcev do zimskega prejemka – ter ureja davčno in </w:t>
      </w:r>
      <w:proofErr w:type="spellStart"/>
      <w:r>
        <w:t>prispe</w:t>
      </w:r>
      <w:r>
        <w:t>vč</w:t>
      </w:r>
      <w:r>
        <w:t>no</w:t>
      </w:r>
      <w:proofErr w:type="spellEnd"/>
      <w:r>
        <w:t xml:space="preserve"> obravnavo tega prejemka. Namen uvedbe zimskega prejemka je zagotoviti, da bodo vsi zaposleni</w:t>
      </w:r>
      <w:r>
        <w:t xml:space="preserve"> delavci</w:t>
      </w:r>
      <w:r>
        <w:t xml:space="preserve"> prejeli dodatni prejemek v posameznem koledarskem letu, s čimer se spodbuja večje zadovoljstvo in motivacija zaposlenih.</w:t>
      </w:r>
    </w:p>
    <w:p w14:paraId="6AA62E02" w14:textId="77777777" w:rsidR="006F1340" w:rsidRDefault="006F1340" w:rsidP="006F1340"/>
    <w:p w14:paraId="2ADF7601" w14:textId="027C03B0" w:rsidR="006F1340" w:rsidRDefault="006F1340" w:rsidP="006F1340">
      <w:r>
        <w:t>Zimski prejemek se veže na status zaposlenega delavca, njegova višina pa je po predlogu določena v znesku polovice minimalne plače v Republiki Sloveniji, kar trenutno znaša 639 evrov bruto.</w:t>
      </w:r>
    </w:p>
    <w:p w14:paraId="23E60DDB" w14:textId="77777777" w:rsidR="006F1340" w:rsidRDefault="006F1340" w:rsidP="006F1340"/>
    <w:p w14:paraId="59BEBB82" w14:textId="4BAE61B3" w:rsidR="006F1340" w:rsidRDefault="006F1340" w:rsidP="006F1340">
      <w:r>
        <w:t>Prejemek se v prvem letu ne bo štel v dohodek</w:t>
      </w:r>
      <w:r>
        <w:t>,</w:t>
      </w:r>
      <w:r>
        <w:t xml:space="preserve"> upoštevan pri uveljavljanju pravic po zakonu, ki ureja uveljavljanje pravic iz javnih sredstev, kar pomeni, da ne bo vplival na socialne transferje gospodinjstev.</w:t>
      </w:r>
    </w:p>
    <w:p w14:paraId="6613CAE5" w14:textId="77777777" w:rsidR="006F1340" w:rsidRDefault="006F1340" w:rsidP="006F1340"/>
    <w:p w14:paraId="052C5E72" w14:textId="7BE6F361" w:rsidR="006F1340" w:rsidRPr="006F1340" w:rsidRDefault="006F1340" w:rsidP="006F1340">
      <w:pPr>
        <w:rPr>
          <w:u w:val="single"/>
        </w:rPr>
      </w:pPr>
      <w:r w:rsidRPr="006F1340">
        <w:rPr>
          <w:u w:val="single"/>
        </w:rPr>
        <w:t>Roki in način izplačila</w:t>
      </w:r>
    </w:p>
    <w:p w14:paraId="753DE68E" w14:textId="77777777" w:rsidR="006F1340" w:rsidRDefault="006F1340" w:rsidP="006F1340"/>
    <w:p w14:paraId="122FE454" w14:textId="205B9A5F" w:rsidR="006F1340" w:rsidRDefault="006F1340" w:rsidP="006F1340">
      <w:r>
        <w:t xml:space="preserve">Skrajni rok za izplačilo zimskega prejemka je določen najkasneje 18 dni po preteku plačilnega obdobja za izplačilo plače za mesec november tekočega leta, torej najkasneje do </w:t>
      </w:r>
      <w:proofErr w:type="gramStart"/>
      <w:r>
        <w:t>18.12.2025</w:t>
      </w:r>
      <w:proofErr w:type="gramEnd"/>
      <w:r>
        <w:t>.</w:t>
      </w:r>
    </w:p>
    <w:p w14:paraId="525724BC" w14:textId="77777777" w:rsidR="006F1340" w:rsidRDefault="006F1340" w:rsidP="006F1340">
      <w:r>
        <w:t>Če je plačilni dan dela prost dan, mora biti izplačilo izvedeno najkasneje prvi naslednji delovni dan.</w:t>
      </w:r>
    </w:p>
    <w:p w14:paraId="74291F4E" w14:textId="77777777" w:rsidR="006F1340" w:rsidRDefault="006F1340" w:rsidP="006F1340"/>
    <w:p w14:paraId="68A2D976" w14:textId="77777777" w:rsidR="006F1340" w:rsidRDefault="006F1340" w:rsidP="006F1340">
      <w:pPr>
        <w:rPr>
          <w:u w:val="single"/>
        </w:rPr>
      </w:pPr>
      <w:r w:rsidRPr="006F1340">
        <w:rPr>
          <w:u w:val="single"/>
        </w:rPr>
        <w:t>Izjeme za podjetja z likvidnostnimi težavami</w:t>
      </w:r>
    </w:p>
    <w:p w14:paraId="743C39B8" w14:textId="77777777" w:rsidR="006F1340" w:rsidRPr="006F1340" w:rsidRDefault="006F1340" w:rsidP="006F1340">
      <w:pPr>
        <w:rPr>
          <w:u w:val="single"/>
        </w:rPr>
      </w:pPr>
    </w:p>
    <w:p w14:paraId="4A7D73E2" w14:textId="77777777" w:rsidR="006F1340" w:rsidRDefault="006F1340" w:rsidP="006F1340">
      <w:r>
        <w:t>Vlada je pri pripravi predloga upoštevala pripombe delodajalcev, ki so opozarjali na težave z likvidnostjo podjetij. V primeru nelikvidnosti lahko po tem predlogu delodajalec izjemoma določi kasnejši rok izplačila, vendar ne pozneje kot do 31. marca naslednjega koledarskega leta. Enak način prilagoditve delodajalcev velja za izplačilo regresa.</w:t>
      </w:r>
    </w:p>
    <w:p w14:paraId="3F634173" w14:textId="77777777" w:rsidR="006F1340" w:rsidRDefault="006F1340" w:rsidP="006F1340"/>
    <w:p w14:paraId="49D39425" w14:textId="457F4ABE" w:rsidR="006F1340" w:rsidRDefault="006F1340" w:rsidP="006F1340">
      <w:r>
        <w:t xml:space="preserve">Dodatno predlog zakona predvideva posebne izjeme v prvem letu veljavnosti ukrepa. Delodajalci bodo za leto 2025 pod določenimi pogoji lahko izplačali zimski prejemek v višini ene osmine minimalne plače.  </w:t>
      </w:r>
    </w:p>
    <w:p w14:paraId="78D8B506" w14:textId="77777777" w:rsidR="006F1340" w:rsidRDefault="006F1340" w:rsidP="006F1340"/>
    <w:p w14:paraId="54E7309F" w14:textId="5DD2BE3B" w:rsidR="006F1340" w:rsidRDefault="006F1340" w:rsidP="006F1340">
      <w:r>
        <w:t xml:space="preserve">Delodajalci, ki bodo imeli težave s tehnično prilagoditvijo na sistem izplačil zimskega prejemka, pa bodo izjemoma plačilo lahko izvedli najkasneje do 31.3 2025. </w:t>
      </w:r>
    </w:p>
    <w:p w14:paraId="6644B81D" w14:textId="77777777" w:rsidR="006F1340" w:rsidRDefault="006F1340" w:rsidP="006F1340"/>
    <w:p w14:paraId="44413427" w14:textId="2CA58DFC" w:rsidR="006F1340" w:rsidRPr="006F1340" w:rsidRDefault="006F1340" w:rsidP="006F1340">
      <w:pPr>
        <w:rPr>
          <w:u w:val="single"/>
        </w:rPr>
      </w:pPr>
      <w:r w:rsidRPr="006F1340">
        <w:rPr>
          <w:u w:val="single"/>
        </w:rPr>
        <w:t>Sorazmernost pri krajšem delovnem času</w:t>
      </w:r>
    </w:p>
    <w:p w14:paraId="1FB5F659" w14:textId="77777777" w:rsidR="006F1340" w:rsidRDefault="006F1340" w:rsidP="006F1340"/>
    <w:p w14:paraId="147AA7B1" w14:textId="402D31B1" w:rsidR="006F1340" w:rsidRDefault="006F1340" w:rsidP="006F1340">
      <w:r>
        <w:t>Delavcem, ki delajo s krajšim delovnim časom, se pravica do zimskega prejemka zagotovi v sorazmernem delu.</w:t>
      </w:r>
    </w:p>
    <w:p w14:paraId="407FFDE1" w14:textId="77777777" w:rsidR="006F1340" w:rsidRDefault="006F1340" w:rsidP="006F1340"/>
    <w:p w14:paraId="093B6CA5" w14:textId="77777777" w:rsidR="006F1340" w:rsidRDefault="006F1340" w:rsidP="006F1340">
      <w:pPr>
        <w:rPr>
          <w:u w:val="single"/>
        </w:rPr>
      </w:pPr>
      <w:r w:rsidRPr="006F1340">
        <w:rPr>
          <w:u w:val="single"/>
        </w:rPr>
        <w:t xml:space="preserve">Davčna obravnava </w:t>
      </w:r>
    </w:p>
    <w:p w14:paraId="1A2242F7" w14:textId="77777777" w:rsidR="006F1340" w:rsidRPr="006F1340" w:rsidRDefault="006F1340" w:rsidP="006F1340">
      <w:pPr>
        <w:rPr>
          <w:u w:val="single"/>
        </w:rPr>
      </w:pPr>
    </w:p>
    <w:p w14:paraId="47C3A97E" w14:textId="77777777" w:rsidR="006F1340" w:rsidRDefault="006F1340" w:rsidP="006F1340">
      <w:r>
        <w:t>Predlog zakona določa oprostitev plačila davkov in prispevkov za socialno varnost do višine polovice minimalne plače.</w:t>
      </w:r>
    </w:p>
    <w:p w14:paraId="384A1F6A" w14:textId="77777777" w:rsidR="006F1340" w:rsidRDefault="006F1340" w:rsidP="006F1340"/>
    <w:p w14:paraId="61BC836C" w14:textId="48E4DFB2" w:rsidR="006F1340" w:rsidRDefault="006F1340" w:rsidP="006F1340">
      <w:pPr>
        <w:pStyle w:val="Vir"/>
      </w:pPr>
      <w:r>
        <w:t>Vir:</w:t>
      </w:r>
      <w:r>
        <w:t xml:space="preserve"> </w:t>
      </w:r>
      <w:r>
        <w:t>Ministrstvo za delo, družino, socialne zadeve in enake možnosti</w:t>
      </w:r>
      <w:r>
        <w:t xml:space="preserve"> in </w:t>
      </w:r>
      <w:r>
        <w:t>Ministrstvo za finance</w:t>
      </w:r>
    </w:p>
    <w:p w14:paraId="0E233ECB" w14:textId="67EFB1CC" w:rsidR="001F6E13" w:rsidRDefault="00B330B0" w:rsidP="001F6E13">
      <w:pPr>
        <w:pStyle w:val="Naslov2"/>
      </w:pPr>
      <w:r>
        <w:lastRenderedPageBreak/>
        <w:t>Predlog n</w:t>
      </w:r>
      <w:r w:rsidR="001F6E13">
        <w:t>ovel</w:t>
      </w:r>
      <w:r>
        <w:t>e</w:t>
      </w:r>
      <w:r w:rsidR="001F6E13">
        <w:t xml:space="preserve"> Zakona o </w:t>
      </w:r>
      <w:r w:rsidR="001F6E13" w:rsidRPr="001F6E13">
        <w:t xml:space="preserve">socialnem varstvu </w:t>
      </w:r>
    </w:p>
    <w:p w14:paraId="3909CD0D" w14:textId="1D13058D" w:rsidR="001F6E13" w:rsidRDefault="001F6E13" w:rsidP="001F6E13">
      <w:r w:rsidRPr="001F6E13">
        <w:t>Vlada je potrdila predlog sprememb in dopolnitev Zakona o socialnem varstvu, s katerim se v slovenski pravni red prvič uvaja nova socialnovarstvena storitev – podpora v skupnosti. Zakon o socialnem varstvu hkrati ureja tudi področje podpore družinam z otroki s posebnimi potrebami, ki se dodaja kot nova skupina upravičencev.</w:t>
      </w:r>
    </w:p>
    <w:p w14:paraId="175341D4" w14:textId="6E01E84C" w:rsidR="001F6E13" w:rsidRPr="001F6E13" w:rsidRDefault="001F6E13" w:rsidP="001F6E13">
      <w:pPr>
        <w:pStyle w:val="Vir"/>
      </w:pPr>
      <w:r w:rsidRPr="001F6E13">
        <w:t>Vir: Ministrstvo za solidarno prihodnost</w:t>
      </w:r>
    </w:p>
    <w:p w14:paraId="73BD4A4C" w14:textId="72E4AD2A" w:rsidR="00FF0612" w:rsidRDefault="00FF0612" w:rsidP="00FF0612">
      <w:pPr>
        <w:pStyle w:val="Naslov2"/>
      </w:pPr>
      <w:r>
        <w:t>Vlada sprejela Strategijo razvoja kvantnih tehnologij v Sloveniji do leta 2035</w:t>
      </w:r>
    </w:p>
    <w:p w14:paraId="2366F3F8" w14:textId="08131625" w:rsidR="00FF0612" w:rsidRDefault="00FF0612" w:rsidP="00FF0612">
      <w:r>
        <w:t>Ministrstvo za visoko šolstvo, znanost in inovacije (MVZI) je Vladi Republike Slovenije v sprejem predlagalo Strategijo razvoja kvantnih tehnologij v Sloveniji do leta 2035 kot prvega nacionalnega strateškega dokumenta na tem področju. Vlada je na današnji seji Strategijo sprejela.</w:t>
      </w:r>
    </w:p>
    <w:p w14:paraId="3FAA2E03" w14:textId="77777777" w:rsidR="00FF0612" w:rsidRDefault="00FF0612" w:rsidP="00FF0612"/>
    <w:p w14:paraId="7EB3F66A" w14:textId="3945DE54" w:rsidR="00FF0612" w:rsidRDefault="00FF0612" w:rsidP="00FF0612">
      <w:r>
        <w:t xml:space="preserve">Kvantne tehnologije (QT) predstavljajo ključno komponento tehnološke suverenosti in znanstvene odličnosti Evropske unije. Slovenija ima dolgoletno raziskovalno tradicijo in aktivno sodeluje v evropskih pobudah, kot so Quantum </w:t>
      </w:r>
      <w:proofErr w:type="spellStart"/>
      <w:r>
        <w:t>Flagship</w:t>
      </w:r>
      <w:proofErr w:type="spellEnd"/>
      <w:r>
        <w:t xml:space="preserve">, </w:t>
      </w:r>
      <w:proofErr w:type="spellStart"/>
      <w:r>
        <w:t>QuantERA</w:t>
      </w:r>
      <w:proofErr w:type="spellEnd"/>
      <w:r>
        <w:t xml:space="preserve">, </w:t>
      </w:r>
      <w:proofErr w:type="spellStart"/>
      <w:r>
        <w:t>EuroQCI</w:t>
      </w:r>
      <w:proofErr w:type="spellEnd"/>
      <w:r>
        <w:t>, EuroHPC in je podpisnica Evropske kvantne deklaracije. Strategija je celovit strateški dokument, saj vključuje raziskave, infrastrukturo, kadre, prenos znanja in podporne instrumente.</w:t>
      </w:r>
    </w:p>
    <w:p w14:paraId="59012BBB" w14:textId="77777777" w:rsidR="00FF0612" w:rsidRDefault="00FF0612" w:rsidP="00FF0612"/>
    <w:p w14:paraId="1CF77C14" w14:textId="77777777" w:rsidR="00FF0612" w:rsidRDefault="00FF0612" w:rsidP="00FF0612">
      <w:r>
        <w:t xml:space="preserve">Na podlagi sklepa vlade je bila januarja 2025 ustanovljena medresorska delovna skupina za pripravo predloga Strategije, ki jo koordinira MVZI. Ob njej je bila imenovana tudi posvetovalna skupina strokovnjakov iz slovenskega kvantnega ekosistema, s čimer je bilo zagotovljeno javno posvetovanje z </w:t>
      </w:r>
      <w:proofErr w:type="gramStart"/>
      <w:r>
        <w:t>zainteresirani</w:t>
      </w:r>
      <w:proofErr w:type="gramEnd"/>
      <w:r>
        <w:t xml:space="preserve"> deležniki. Strategija je usklajena z Resolucijo o znanstvenoraziskovalni in inovacijski strategiji Slovenije 2030 (ReZrIS30) in drugimi nacionalnimi dokumenti ter z evropskimi usmeritvami, vključno s strategijo digitalnega desetletja in Evropsko kvantno strategijo. Dokument vključuje analizo stanja, vizijo, razvojne cilje ter okvir za izvedbo </w:t>
      </w:r>
      <w:proofErr w:type="gramStart"/>
      <w:r>
        <w:t>aktivnosti</w:t>
      </w:r>
      <w:proofErr w:type="gramEnd"/>
      <w:r>
        <w:t xml:space="preserve"> in spremljanje učinkov. Strategija opredeljuje štiri razvojna področja in 13 neposrednih ukrepov z določenimi cilji, nosilci, kazalniki in finančnim načrtom. Ločeno so predstavljeni horizontalni sistemski mehanizmi. Spremljanje bo potekalo letno, predvidene so tudi tri fazne revizije oziroma evalvacije – v letih 2028, 2031 in 2035 -, saj gre za področje, v okviru katerega bo prihajalo do hitrih sprememb. </w:t>
      </w:r>
    </w:p>
    <w:p w14:paraId="5D5FC841" w14:textId="77777777" w:rsidR="00FF0612" w:rsidRDefault="00FF0612" w:rsidP="00FF0612"/>
    <w:p w14:paraId="3E926045" w14:textId="77777777" w:rsidR="00FF0612" w:rsidRDefault="00FF0612" w:rsidP="00FF0612">
      <w:r>
        <w:t xml:space="preserve">Strategija predstavlja sistemski odgovor na izzive in priložnosti razvoja QT, ki bodo v prihodnjem desetletju vplivale na znanost, gospodarstvo, varnost in tehnološko suverenost Slovenije ter Evropske unije. Z njenim izvajanjem bo Slovenija prepoznana kot vodilna na izbranih nišnih področjih in bo prispevala k izpostavitvi nacionalnih strateških prednosti ter k uresničevanju evropskih ciljev. </w:t>
      </w:r>
    </w:p>
    <w:p w14:paraId="174F8B30" w14:textId="10841E2C" w:rsidR="009A1362" w:rsidRDefault="00FF0612" w:rsidP="00FF0612">
      <w:pPr>
        <w:pStyle w:val="Vir"/>
      </w:pPr>
      <w:r>
        <w:t>Vir: Ministrstvo za visoko šolstvo, znanost in inovacije</w:t>
      </w:r>
    </w:p>
    <w:p w14:paraId="012F3CB2" w14:textId="6F239F62" w:rsidR="005D365F" w:rsidRDefault="005D365F" w:rsidP="005D365F">
      <w:pPr>
        <w:pStyle w:val="Naslov2"/>
      </w:pPr>
      <w:r>
        <w:t xml:space="preserve">Mednarodni logistični </w:t>
      </w:r>
      <w:proofErr w:type="gramStart"/>
      <w:r>
        <w:t>center</w:t>
      </w:r>
      <w:proofErr w:type="gramEnd"/>
      <w:r>
        <w:t xml:space="preserve"> Beltinci je zaradi gospodarskih, socialnih, kulturnih, varnostnih in varstvenih značilnosti, ki so pomembna za razvoj Republike Slovenije, prostorska ureditev državnega pomena</w:t>
      </w:r>
    </w:p>
    <w:p w14:paraId="63E7FCE5" w14:textId="32FC99CC" w:rsidR="005D365F" w:rsidRDefault="005D365F" w:rsidP="005D365F">
      <w:r>
        <w:t>Luka Koper, pristaniški in logistični sistem, d. d. (investitor) načrtuje investicijo v izgradnjo Mednarodnega logističnega centra Beltinci (MLC Beltinci)</w:t>
      </w:r>
      <w:proofErr w:type="gramStart"/>
      <w:r>
        <w:t xml:space="preserve">.  </w:t>
      </w:r>
      <w:proofErr w:type="gramEnd"/>
      <w:r>
        <w:t xml:space="preserve">MLC Beltinci bo predstavljal eno ključnih infrastrukturnih zasnov na področju logistike in </w:t>
      </w:r>
      <w:proofErr w:type="spellStart"/>
      <w:r>
        <w:t>intermodalnega</w:t>
      </w:r>
      <w:proofErr w:type="spellEnd"/>
      <w:r>
        <w:t xml:space="preserve"> pretoka blaga v Republiki Sloveniji. S svojo umeščenostjo, funkcionalnostjo in strateškim pomenom bo  MLC Beltinci pomembno prispeval k uresničevanju nacionalnih gospodarskih ciljev, regionalnega razvoja in povečevanju učinkovitosti logistične verige</w:t>
      </w:r>
      <w:proofErr w:type="gramStart"/>
      <w:r>
        <w:t xml:space="preserve"> povezane</w:t>
      </w:r>
      <w:proofErr w:type="gramEnd"/>
      <w:r>
        <w:t xml:space="preserve"> z delovanjem koprskega pristanišča  kot osrednjega nacionalnega pristanišča v Sloveniji.</w:t>
      </w:r>
    </w:p>
    <w:p w14:paraId="55DDBC29" w14:textId="77777777" w:rsidR="005D365F" w:rsidRDefault="005D365F" w:rsidP="005D365F"/>
    <w:p w14:paraId="368866AF" w14:textId="77777777" w:rsidR="005D365F" w:rsidRDefault="005D365F" w:rsidP="005D365F">
      <w:r>
        <w:lastRenderedPageBreak/>
        <w:t>Investitor strateško načrtuje in izvaja širitve in izboljšave na pretovoru in logistiki, vendar obalni prostor ne bo zadostoval za vse potrebe v prihodnosti zato je potrebno kapacitete površin povečati z novo infrastrukturno zasnovo MLC Beltinci</w:t>
      </w:r>
      <w:proofErr w:type="gramStart"/>
      <w:r>
        <w:t xml:space="preserve">,  </w:t>
      </w:r>
      <w:proofErr w:type="gramEnd"/>
      <w:r>
        <w:t>ter omogočiti rast pristanišča, povečanje zmogljivosti in izboljšanje konkurenčnosti.</w:t>
      </w:r>
    </w:p>
    <w:p w14:paraId="29D80FBB" w14:textId="77777777" w:rsidR="005D365F" w:rsidRDefault="005D365F" w:rsidP="005D365F"/>
    <w:p w14:paraId="60E04FB3" w14:textId="1FA4F988" w:rsidR="005D365F" w:rsidRDefault="005D365F" w:rsidP="005D365F">
      <w:r>
        <w:t xml:space="preserve">Interes investitorja izhaja iz aktualnih prostorskih, operativnih in tržnih razmer v pristanišču Koper ter dolgoročne razvojne usmeritve in krepitve slovenskega logističnega sistema. V projektu prepoznava ključni infrastrukturni odgovor na omejitve, s katerimi se sooča obstoječa pristaniška platforma, in obenem zaznava novo priložnost za širitev ponudbe logističnih storitev. V pristanišču Koper je prostorska obremenjenost že danes izrazita, saj večina terminalov obratuje na zgornji meji zmogljivosti. Kljub načrtovanim širitvam in infrastrukturnim izboljšavam je jasno, da obalni prostor ne omogoča dolgoročne </w:t>
      </w:r>
      <w:proofErr w:type="gramStart"/>
      <w:r>
        <w:t>absorpcije</w:t>
      </w:r>
      <w:proofErr w:type="gramEnd"/>
      <w:r>
        <w:t xml:space="preserve"> vsega prihodnjega povpraševanja po pristaniških in logističnih storitvah. Površine, ki so trenutno v postopku gradnje ali prostorskega urejanja, so v veliki meri že dodeljene </w:t>
      </w:r>
      <w:proofErr w:type="gramStart"/>
      <w:r>
        <w:t>bodočim</w:t>
      </w:r>
      <w:proofErr w:type="gramEnd"/>
      <w:r>
        <w:t xml:space="preserve"> poslovnim uporabnikom, še preden so infrastrukturno dokončane. Posledično se presežno povpraševanje vse pogosteje preusmerja v konkurenčna pristanišča v širši </w:t>
      </w:r>
      <w:proofErr w:type="gramStart"/>
      <w:r>
        <w:t>regiji</w:t>
      </w:r>
      <w:proofErr w:type="gramEnd"/>
      <w:r>
        <w:t xml:space="preserve"> (npr. Trst, Reka, severnonemška pristanišča), kar zmanjšuje nacionalno konkurenčnost in vpliv slovenskega logističnega prostora. Poleg prostorske zasičenosti pristanišče omejuje tudi operativna dinamika, ki narekuje hitro obdelavo tovora, kot so </w:t>
      </w:r>
      <w:proofErr w:type="gramStart"/>
      <w:r>
        <w:t>sortiranje</w:t>
      </w:r>
      <w:proofErr w:type="gramEnd"/>
      <w:r>
        <w:t xml:space="preserve">, sestavljanje, pretovarjanje zbirnih pošiljk, ter skladiščenje za daljše obdobje. Ti poslovni modeli zahtevajo dodatne površine, drugačno opremo in procese ter večjo operativno ter funkcionalno </w:t>
      </w:r>
      <w:proofErr w:type="gramStart"/>
      <w:r>
        <w:t>fleksibilnost</w:t>
      </w:r>
      <w:proofErr w:type="gramEnd"/>
      <w:r>
        <w:t xml:space="preserve">, kar je mogoče doseči le z zalednimi logističnimi rešitvami. Zaledni </w:t>
      </w:r>
      <w:proofErr w:type="gramStart"/>
      <w:r>
        <w:t xml:space="preserve">terminal  </w:t>
      </w:r>
      <w:proofErr w:type="gramEnd"/>
      <w:r>
        <w:t>MLC Beltinci bo odpravil vse naštete ovire tako, da se bo pristanišče  lažje prilagajalo rastočim potrebam logistike in trga ter ohranilo svojo konkurenčnost tudi v prihodnje.</w:t>
      </w:r>
    </w:p>
    <w:p w14:paraId="185E6CE8" w14:textId="77777777" w:rsidR="005D365F" w:rsidRDefault="005D365F" w:rsidP="005D365F"/>
    <w:p w14:paraId="7984C2D0" w14:textId="1705A8C1" w:rsidR="005D365F" w:rsidRDefault="005D365F" w:rsidP="005D365F">
      <w:r>
        <w:t xml:space="preserve">Celotno </w:t>
      </w:r>
      <w:proofErr w:type="gramStart"/>
      <w:r>
        <w:t>investicijo</w:t>
      </w:r>
      <w:proofErr w:type="gramEnd"/>
      <w:r>
        <w:t xml:space="preserve"> bo financiral investitor Luka Koper d. d. z lastnimi finančnimi sredstvi. Vrednostni obseg stroškov zajema vse ključne segmente, potrebne za pripravo in izvedbo prostorske ureditve, kar v grobem zajema: pripravo in izdelavo prostorske in projektne dokumentacije (vključno s prostorskim aktom, idejnimi zasnovami in projektno dokumentacijo), zemeljska dela, ureditev zemljišč in parcelacije, izgradnjo cestnega omrežja in prometnih priključkov, vključno z ureditvijo dostopov</w:t>
      </w:r>
      <w:proofErr w:type="gramStart"/>
      <w:r>
        <w:t xml:space="preserve">,  </w:t>
      </w:r>
      <w:proofErr w:type="gramEnd"/>
      <w:r>
        <w:t>izgradnjo komunalne infrastrukture (vodovod, fekalna in meteorna kanalizacija, električno in telekomunikacijsko omrežje),  izgradnjo in ureditev logističnega centra.</w:t>
      </w:r>
    </w:p>
    <w:p w14:paraId="0A8B7B38" w14:textId="7532B127" w:rsidR="005D365F" w:rsidRDefault="005D365F" w:rsidP="005D365F">
      <w:pPr>
        <w:pStyle w:val="Vir"/>
      </w:pPr>
      <w:r>
        <w:t>Vir: Ministrstvo za infrastrukturo</w:t>
      </w:r>
    </w:p>
    <w:p w14:paraId="00390EE9" w14:textId="0076B397" w:rsidR="00365D18" w:rsidRDefault="00365D18" w:rsidP="00365D18">
      <w:pPr>
        <w:pStyle w:val="Naslov2"/>
      </w:pPr>
      <w:r>
        <w:t>Vlada dala soglasje k Rebalansu finančnega načrta Zavoda za zdravstveno zavarovanje Slovenije za leto 2025</w:t>
      </w:r>
    </w:p>
    <w:p w14:paraId="4A80E01C" w14:textId="77777777" w:rsidR="00365D18" w:rsidRDefault="00365D18" w:rsidP="00365D18">
      <w:r>
        <w:t xml:space="preserve">Vlada Republike Slovenije je na današnji seji dala soglasje k Rebalansu finančnega načrta Zavoda za zdravstveno zavarovanje Slovenije (ZZZS) za leto 2025, ki ga ZZZS </w:t>
      </w:r>
      <w:proofErr w:type="gramStart"/>
      <w:r>
        <w:t>sprejel</w:t>
      </w:r>
      <w:proofErr w:type="gramEnd"/>
      <w:r>
        <w:t xml:space="preserve"> na seji skupščine 10. septembra 2025. </w:t>
      </w:r>
    </w:p>
    <w:p w14:paraId="4E6979B9" w14:textId="77777777" w:rsidR="00365D18" w:rsidRDefault="00365D18" w:rsidP="00365D18"/>
    <w:p w14:paraId="4D225EF9" w14:textId="44C82CBF" w:rsidR="00365D18" w:rsidRDefault="00365D18" w:rsidP="00365D18">
      <w:r>
        <w:t>ZZZS je rebalans finančnega načrta za leto 2025 pripravil zaradi spremenjenih okoliščin poslovanja, novele Zakona o dolgotrajni oskrbi in odstopanj v realizaciji leta 2024. Rebalans predvideva povečanje prihodkov za 28 milijonov evrov in odhodkov za 179,2 milijona evrov, s čimer nastane primanjkljaj v višini 3,3 milijona evrov, ki bo krit iz presežkov preteklih let.</w:t>
      </w:r>
    </w:p>
    <w:p w14:paraId="32F43ADB" w14:textId="77777777" w:rsidR="00365D18" w:rsidRDefault="00365D18" w:rsidP="00365D18"/>
    <w:p w14:paraId="3AA25744" w14:textId="3F6F7BFC" w:rsidR="00365D18" w:rsidRDefault="00365D18" w:rsidP="00365D18">
      <w:r>
        <w:t>Prihodki obveznega zdravstvenega zavarovanja (OZZ) so načrtovani v višini 5,78 milijarde evrov, odhodki pa 5,87 milijarde evrov. Največji porast odhodkov je pri zdravstvenih storitvah zaradi vpliva plačne reforme, sprememb programov storitev in dražjih bolnišničnih zdravil. Primanjkljaj prihodkov nad odhodki OZZ znaša 87,7 milijona evrov in bo krit iz presežkov preteklih let.</w:t>
      </w:r>
    </w:p>
    <w:p w14:paraId="5489D330" w14:textId="77777777" w:rsidR="00365D18" w:rsidRDefault="00365D18" w:rsidP="00365D18"/>
    <w:p w14:paraId="00FA9942" w14:textId="5E82A1E6" w:rsidR="00365D18" w:rsidRDefault="00365D18" w:rsidP="00365D18">
      <w:r>
        <w:t>Pri obveznem zavarovanju za dolgotrajno oskrbo so prihodki</w:t>
      </w:r>
      <w:proofErr w:type="gramStart"/>
      <w:r>
        <w:t xml:space="preserve"> načrtovani</w:t>
      </w:r>
      <w:proofErr w:type="gramEnd"/>
      <w:r>
        <w:t xml:space="preserve"> v višini 255,4 milijona evrov, odhodki pa 171 milijonov evrov. Načrtovan je presežek v višini 84,4 milijona evrov, pri čemer rebalans </w:t>
      </w:r>
      <w:r>
        <w:lastRenderedPageBreak/>
        <w:t>upošteva novo ureditev povračil sredstev Zavodu za pokojninsko in invalidsko zavarovanje ter zagotavljanje sredstev izvajalcem storitev dolgotrajne oskrbe.</w:t>
      </w:r>
    </w:p>
    <w:p w14:paraId="619B7B10" w14:textId="28D62C61" w:rsidR="009A1362" w:rsidRDefault="00365D18" w:rsidP="00C12E1A">
      <w:pPr>
        <w:pStyle w:val="Vir"/>
      </w:pPr>
      <w:r>
        <w:t>Vir: Ministrstvo za zdravje</w:t>
      </w:r>
    </w:p>
    <w:p w14:paraId="2BECDFE3" w14:textId="791D3098" w:rsidR="00C12E1A" w:rsidRPr="00EB10EE" w:rsidRDefault="00C12E1A" w:rsidP="00C12E1A">
      <w:pPr>
        <w:pStyle w:val="Naslov2"/>
      </w:pPr>
      <w:r w:rsidRPr="00EB10EE">
        <w:t>Vlada se je seznanila z informacijo o financiranju področja obrambe, varnosti in odpornosti</w:t>
      </w:r>
    </w:p>
    <w:p w14:paraId="34EA16AC" w14:textId="3E8857BF" w:rsidR="00B529EF" w:rsidRDefault="00B529EF" w:rsidP="00B529EF">
      <w:pPr>
        <w:pStyle w:val="Vir"/>
      </w:pPr>
      <w:r>
        <w:t>Na podlagi sklepa vlade ob seznanitvi z Informacijo o implementaciji Resolucije o splošnem dolgoročnem programu razvoja in opremljanja slovenske vojske do leta 2040 na področju obrambnih izdatkov je vlada pripravila gradivo s pregledom porabe sredstev za leto 2025 po kategorijah.</w:t>
      </w:r>
    </w:p>
    <w:p w14:paraId="2AFE1B46" w14:textId="13290C1C" w:rsidR="00C12E1A" w:rsidRDefault="00C12E1A" w:rsidP="00C12E1A">
      <w:pPr>
        <w:pStyle w:val="Vir"/>
      </w:pPr>
      <w:r>
        <w:t>Ministrstvo za obrambo bo za konkretno opredelitev obrambnih izdatkov, predstavljenih v tej informaciji, vse pristojne državne organe in nosilce obrambnega načrtovanja zaprosilo za podatke, na podlagi katerih bo pripravilo natančne podatke o višini obrambnih izdatkov in jih</w:t>
      </w:r>
      <w:r w:rsidR="00B529EF">
        <w:t xml:space="preserve"> bo</w:t>
      </w:r>
      <w:r>
        <w:t xml:space="preserve"> posredovalo Vladi Republike Slovenije v seznanitev. Namen te informacije je prikazati metodološki pristop, ki bo pri tem uporabljen.</w:t>
      </w:r>
    </w:p>
    <w:p w14:paraId="67DD0E88" w14:textId="77777777" w:rsidR="00C12E1A" w:rsidRDefault="00C12E1A" w:rsidP="00C12E1A">
      <w:pPr>
        <w:pStyle w:val="Vir"/>
      </w:pPr>
      <w:r>
        <w:t>Odpornost je podlaga za neprekinjeno delovanje države in družbe, pri čemer so ključni pristop celotne družbe, sodelovanje na vseh ravneh, od posameznika in družbe do oblasti in gospodarstva</w:t>
      </w:r>
      <w:proofErr w:type="gramStart"/>
      <w:r>
        <w:t>,</w:t>
      </w:r>
      <w:proofErr w:type="gramEnd"/>
      <w:r>
        <w:t xml:space="preserve"> ter medinstitucionalno in medresorsko usklajevanje. Povečanje obrambnih izdatkov in sredstev za krepitev obrambe, varnosti in odpornosti temelji na skrbnem in finančno smotrnem načrtovanju </w:t>
      </w:r>
      <w:proofErr w:type="gramStart"/>
      <w:r>
        <w:t>modernizacije</w:t>
      </w:r>
      <w:proofErr w:type="gramEnd"/>
      <w:r>
        <w:t xml:space="preserve"> Slovenske vojske ter višjem financiranju širših vidikov obrambe, varnosti in odpornosti države in družbe.</w:t>
      </w:r>
    </w:p>
    <w:p w14:paraId="1B2BFD62" w14:textId="77777777" w:rsidR="00C12E1A" w:rsidRDefault="00C12E1A" w:rsidP="00C12E1A">
      <w:pPr>
        <w:pStyle w:val="Vir"/>
      </w:pPr>
      <w:r>
        <w:t xml:space="preserve">Republika Slovenija ima za zagotavljanje nacionalne varnosti vzpostavljen sistem nacionalne varnosti, ki temelji na političnih, pravnih, gospodarskih, </w:t>
      </w:r>
      <w:proofErr w:type="gramStart"/>
      <w:r>
        <w:t>socialno-zdravstvenih</w:t>
      </w:r>
      <w:proofErr w:type="gramEnd"/>
      <w:r>
        <w:t xml:space="preserve">, informacijskih, infrastrukturnih, znanstveno-tehnoloških, izobraževalnih ter drugih temeljih in zmogljivostih države. </w:t>
      </w:r>
    </w:p>
    <w:p w14:paraId="18CD9882" w14:textId="77777777" w:rsidR="00C12E1A" w:rsidRDefault="00C12E1A" w:rsidP="00C12E1A">
      <w:pPr>
        <w:pStyle w:val="Vir"/>
      </w:pPr>
      <w:r>
        <w:t xml:space="preserve">Obrambni izdatki v Republiki Sloveniji vključujejo sredstva za financiranje obrambnega sistema (upravnega dela Ministrstva za obrambo, Slovenske vojske in Inšpektorata Republike Slovenije za obrambo), sredstva za vojaške pokojnine, ki jih Zavod Republike Slovenije za pokojninsko in invalidsko zavarovanje prejema neposredno iz državnega proračuna oz. Ministrstva za finance, ter sredstva Urada Vlade Republike Slovenije za varovanje tajnih podatkov. </w:t>
      </w:r>
    </w:p>
    <w:p w14:paraId="6767E387" w14:textId="77777777" w:rsidR="00C12E1A" w:rsidRDefault="00C12E1A" w:rsidP="00C12E1A">
      <w:pPr>
        <w:pStyle w:val="Vir"/>
      </w:pPr>
      <w:r>
        <w:t xml:space="preserve">Financiranje na področju (širše) obrambe zajema tudi druge ključne </w:t>
      </w:r>
      <w:proofErr w:type="gramStart"/>
      <w:r>
        <w:t>investicije</w:t>
      </w:r>
      <w:proofErr w:type="gramEnd"/>
      <w:r>
        <w:t xml:space="preserve"> za potrebe Slovenske vojske in zavezništva na področju Republike Slovenije, ki se financirajo iz sredstev nosilcev obrambnega načrtovanja, torej drugih proračunskih uporabnikov, sredstev lokalnih skupnosti ter proračunov zavodov in gospodarskih družb, katerih dejavnost je posebnega pomena za obrambo, ki so večinoma v državni lasti. </w:t>
      </w:r>
    </w:p>
    <w:p w14:paraId="2242DCFF" w14:textId="77777777" w:rsidR="00C12E1A" w:rsidRDefault="00C12E1A" w:rsidP="00C12E1A">
      <w:pPr>
        <w:pStyle w:val="Vir"/>
      </w:pPr>
      <w:r>
        <w:t xml:space="preserve">Sredstva so namenjena za infrastrukturne </w:t>
      </w:r>
      <w:proofErr w:type="gramStart"/>
      <w:r>
        <w:t>investicije</w:t>
      </w:r>
      <w:proofErr w:type="gramEnd"/>
      <w:r>
        <w:t xml:space="preserve"> na področju blagovnih rezerv za vzpostavitev novih in nadgradnjo obstoječih lastnih zmogljivosti za skladiščenje žita iz naslova državnih blagovnih rezerv. Upravljavci </w:t>
      </w:r>
      <w:proofErr w:type="gramStart"/>
      <w:r>
        <w:t>kritične infrastrukture</w:t>
      </w:r>
      <w:proofErr w:type="gramEnd"/>
      <w:r>
        <w:t xml:space="preserve"> Republike Slovenije so investirali v izboljšanje zaščite in odpornosti kritične infrastrukture, ki jo upravljajo, tako fizične zaščite in varovanja kot tudi zaščite informacijsko-komunikacijskih omrežij in sistemov, zagotavljanje neprekinjenega delovanja, vzpostavitev redundance, nadomestnih lokacij ipd. </w:t>
      </w:r>
    </w:p>
    <w:p w14:paraId="7225A8FB" w14:textId="77777777" w:rsidR="00C12E1A" w:rsidRDefault="00C12E1A" w:rsidP="00C12E1A">
      <w:pPr>
        <w:pStyle w:val="Vir"/>
      </w:pPr>
      <w:r>
        <w:t xml:space="preserve">Predvidene so </w:t>
      </w:r>
      <w:proofErr w:type="gramStart"/>
      <w:r>
        <w:t>investicije</w:t>
      </w:r>
      <w:proofErr w:type="gramEnd"/>
      <w:r>
        <w:t>, ki bodo okrepile zmogljivosti vojaškega in civilnega zdravstva, kot je vzpostavitev nacionalnega centra za izredne razmere, izgradnja geografsko razpršenih rezervnih bolnišničnih oddelkov in heliportov pri obstoječih bolnicah ter en dodatni modularni bolnišnični oddelek. Predvidena je priprava načrta izvajanja zdravstvene oskrbe (tako za civilno prebivalstvo kot za vojaško osebje) v izrednem stanju in vojni.</w:t>
      </w:r>
    </w:p>
    <w:p w14:paraId="000CA677" w14:textId="5112058B" w:rsidR="00C12E1A" w:rsidRDefault="00C12E1A" w:rsidP="00C12E1A">
      <w:pPr>
        <w:pStyle w:val="Vir"/>
      </w:pPr>
      <w:r>
        <w:t>Vir: Ministrstvo za obrambo</w:t>
      </w:r>
    </w:p>
    <w:p w14:paraId="026D8994" w14:textId="359ECD43" w:rsidR="0057530B" w:rsidRDefault="0057530B" w:rsidP="0057530B">
      <w:pPr>
        <w:pStyle w:val="Naslov2"/>
      </w:pPr>
      <w:r>
        <w:lastRenderedPageBreak/>
        <w:t>Vlada prerazporeja sredstva državnega proračuna</w:t>
      </w:r>
    </w:p>
    <w:p w14:paraId="1E8A4A04" w14:textId="77777777" w:rsidR="0057530B" w:rsidRDefault="0057530B" w:rsidP="0057530B">
      <w:r>
        <w:t>Vlada je na današnji seji odločila o prerazporeditvah pravic porabe v letošnjem državnem proračunu.</w:t>
      </w:r>
    </w:p>
    <w:p w14:paraId="3A462F74" w14:textId="77777777" w:rsidR="0057530B" w:rsidRDefault="0057530B" w:rsidP="0057530B"/>
    <w:p w14:paraId="3197513B" w14:textId="77777777" w:rsidR="0057530B" w:rsidRDefault="0057530B" w:rsidP="0057530B">
      <w:r>
        <w:t>Ministrstvo za kmetijstvo, gozdarstvo in prehrano prerazporeja pravice porabe v okviru svojega finančnega načrta v višini 4 milijone evrov za izplačila upravičencem v okviru izvajanja Programa razvoja podeželja 2014 - 2020, ki se letos zaključuje. Poleg tega prerazporeja še pravice porabe v okviru finančnih načrtov proračunskih uporabnikov, ki so v njegovi pristojnosti v skupni višini 1,7 milijona evrov za nakup zadostne količine cepiva za preprečevanje in obvladovanje širjenja bolezni modrikastega jezika za izvedbo cepljenj goveda in drobnice v letu 2026.</w:t>
      </w:r>
    </w:p>
    <w:p w14:paraId="3B7647AB" w14:textId="77777777" w:rsidR="0057530B" w:rsidRDefault="0057530B" w:rsidP="0057530B"/>
    <w:p w14:paraId="43A84496" w14:textId="77777777" w:rsidR="0057530B" w:rsidRDefault="0057530B" w:rsidP="0057530B">
      <w:r>
        <w:t xml:space="preserve">Direkcija RS za infrastrukturo prerazporeja pravice porabe v okviru svojega finančnega načrta. Sredstva v višini 22 milijonov evrov prerazporeja za plačilo nadomestila železniškim prevoznikom zaradi ovir v prometu, do katerih prihaja zaradi izvajanja </w:t>
      </w:r>
      <w:proofErr w:type="gramStart"/>
      <w:r>
        <w:t>investicijskih</w:t>
      </w:r>
      <w:proofErr w:type="gramEnd"/>
      <w:r>
        <w:t xml:space="preserve"> del (gradenj in nadgradenj) na JŽI. Sredstva v višini 7 milijonov evrov pa prerazporeja za vračilo sredstev Skladu NOO za že izvedena plačila v letu 2024.</w:t>
      </w:r>
    </w:p>
    <w:p w14:paraId="295C03B0" w14:textId="77777777" w:rsidR="0057530B" w:rsidRDefault="0057530B" w:rsidP="0057530B"/>
    <w:p w14:paraId="4A063E92" w14:textId="77777777" w:rsidR="0057530B" w:rsidRDefault="0057530B" w:rsidP="0057530B">
      <w:r>
        <w:t>Ministrstvo za gospodarstvo, turizem in šport, Ministrstvo za infrastrukturo, Direkcija Republike Slovenije za infrastrukturo, Uprava Republike Slovenije za pomorstvo ter Vrhovno sodišče (v okviru finančnih načrtov neposrednih uporabnikov, ki so v njegovi pristojnosti) prerazporejajo pravice porabe na Ministrstvo za delo, družino, socialne zadeve in enake možnosti v skupni višini 17,7 milijona evrov za plačilo obveznosti na podlagi Zakona o starševskem varstvu in družinskih prejemkih (ZSDP-1) za starševska nadomestila.</w:t>
      </w:r>
    </w:p>
    <w:p w14:paraId="37FB6B3C" w14:textId="190F60B1" w:rsidR="00A17AEB" w:rsidRDefault="0057530B" w:rsidP="0057530B">
      <w:pPr>
        <w:pStyle w:val="Vir"/>
      </w:pPr>
      <w:r>
        <w:t>Vir: Ministrstvo za finance</w:t>
      </w:r>
    </w:p>
    <w:p w14:paraId="3DCED0DB" w14:textId="6F1DCAC7" w:rsidR="004024C1" w:rsidRDefault="004024C1" w:rsidP="004024C1">
      <w:pPr>
        <w:pStyle w:val="Naslov2"/>
      </w:pPr>
      <w:r>
        <w:t>Podpis memoranduma o soglasju med Slovenijo in Jordanijo na področju digitalne preobrazbe</w:t>
      </w:r>
    </w:p>
    <w:p w14:paraId="422F2B97" w14:textId="62F8541D" w:rsidR="004024C1" w:rsidRDefault="004024C1" w:rsidP="004024C1">
      <w:r>
        <w:t>Vlada Republike Slovenije se je seznanila z informacijo o nameravanem podpisu Memoranduma o soglasju med Ministrstvom za digitalno preobrazbo Republike Slovenije in Ministrstvom za digitalno gospodarstvo in podjetništvo Hašemitske kraljevine Jordanije o sodelovanju na področju digitalne preobrazbe.</w:t>
      </w:r>
    </w:p>
    <w:p w14:paraId="26A80504" w14:textId="77777777" w:rsidR="004024C1" w:rsidRDefault="004024C1" w:rsidP="004024C1"/>
    <w:p w14:paraId="16D53708" w14:textId="77777777" w:rsidR="004024C1" w:rsidRDefault="004024C1" w:rsidP="004024C1">
      <w:r>
        <w:t>Memorandum bo podpisan 19. oktobra 2025 ob obisku njegovega veličanstva kralja Abdullaha II, kralja Hašemitske kraljevine Jordanije, v Sloveniji. Na slovenski strani ga bo podpisala ministrica za zunanje in evropske zadeve Tanja Fajon.</w:t>
      </w:r>
    </w:p>
    <w:p w14:paraId="4CC218F4" w14:textId="77777777" w:rsidR="004024C1" w:rsidRDefault="004024C1" w:rsidP="004024C1"/>
    <w:p w14:paraId="18922F4F" w14:textId="435FC980" w:rsidR="00A17AEB" w:rsidRDefault="004024C1" w:rsidP="004024C1">
      <w:r>
        <w:t>Sodelovanje na podlagi memoranduma bo usmerjeno v izmenjavo dobrih praks in znanja na področju digitalizacije javne uprave, zdravstva, izobraževanja, pravosodja, kmetijstva in gospodarstva, v razvoj učinkovitih digitalnih storitev, digitalizacijo javnega sektorja, krepitev digitalnih veščin ter spodbujanje sodelovanja med javnim in zasebnim sektorjem na področju informacijske tehnologije in e-rešitev.</w:t>
      </w:r>
    </w:p>
    <w:p w14:paraId="49955E3C" w14:textId="7292EAEF" w:rsidR="004024C1" w:rsidRDefault="004024C1" w:rsidP="004024C1">
      <w:pPr>
        <w:pStyle w:val="Vir"/>
      </w:pPr>
      <w:r w:rsidRPr="004024C1">
        <w:t>Vir: Ministrstvo za digitalno preobrazbo</w:t>
      </w:r>
    </w:p>
    <w:p w14:paraId="758DB482" w14:textId="6448BB8D" w:rsidR="000F3B9B" w:rsidRDefault="000F3B9B" w:rsidP="000F3B9B">
      <w:pPr>
        <w:pStyle w:val="Naslov2"/>
      </w:pPr>
      <w:r>
        <w:t>Vlada nasprotuje predlogu sprememb Zakona o prevozih v cestnem prometu</w:t>
      </w:r>
    </w:p>
    <w:p w14:paraId="7AE59839" w14:textId="058911F7" w:rsidR="000F3B9B" w:rsidRDefault="000F3B9B" w:rsidP="000F3B9B">
      <w:r>
        <w:t xml:space="preserve">Vlada je sprejela </w:t>
      </w:r>
      <w:r>
        <w:t>m</w:t>
      </w:r>
      <w:r>
        <w:t xml:space="preserve">nenje o </w:t>
      </w:r>
      <w:r>
        <w:t>p</w:t>
      </w:r>
      <w:r>
        <w:t>redlogu zakona o spremembah in dopolnitvah Zakona o prevozih v cestnem prometu, ki ga je Državnemu zboru predložila skupina poslank in poslancev s prvopodpisano Jelko Godec.</w:t>
      </w:r>
    </w:p>
    <w:p w14:paraId="550DC754" w14:textId="77777777" w:rsidR="000F3B9B" w:rsidRDefault="000F3B9B" w:rsidP="000F3B9B"/>
    <w:p w14:paraId="0CA4CED7" w14:textId="77777777" w:rsidR="000F3B9B" w:rsidRDefault="000F3B9B" w:rsidP="000F3B9B">
      <w:r>
        <w:t xml:space="preserve">Predlog zakona med drugim predvideva uvedbo nove vrste prevoza — najem vozila z voznikom, uporabo elektronskih </w:t>
      </w:r>
      <w:proofErr w:type="gramStart"/>
      <w:r>
        <w:t>aplikacij</w:t>
      </w:r>
      <w:proofErr w:type="gramEnd"/>
      <w:r>
        <w:t xml:space="preserve"> za izvajanje teh prevozov ter možnost uporabe aplikacij tudi namesto taksimetra v avtotaksi dejavnosti.</w:t>
      </w:r>
    </w:p>
    <w:p w14:paraId="299FC21B" w14:textId="77777777" w:rsidR="000F3B9B" w:rsidRDefault="000F3B9B" w:rsidP="000F3B9B"/>
    <w:p w14:paraId="70E661E5" w14:textId="77777777" w:rsidR="000F3B9B" w:rsidRDefault="000F3B9B" w:rsidP="000F3B9B">
      <w:r>
        <w:t>Vlada predlogu nasprotuje, saj meni, da bi bilo pred uvedbo nove oblike prevoza in s tem povezanih elektronskih platform treba temeljito preučiti širše posledice takšne ureditve, zlasti z vidika varnosti, delovnopravnih razmerij in poštene konkurence v sektorju prevozov.</w:t>
      </w:r>
    </w:p>
    <w:p w14:paraId="27A3FA14" w14:textId="51467119" w:rsidR="001933D5" w:rsidRDefault="000F3B9B" w:rsidP="000F3B9B">
      <w:pPr>
        <w:pStyle w:val="Vir"/>
      </w:pPr>
      <w:r>
        <w:t>Vir: Ministrstvo za okolje, podnebje in energijo</w:t>
      </w:r>
    </w:p>
    <w:p w14:paraId="1AD8B9D5" w14:textId="0218B461" w:rsidR="0050758C" w:rsidRDefault="0050758C" w:rsidP="0050758C">
      <w:pPr>
        <w:pStyle w:val="Naslov2"/>
      </w:pPr>
      <w:r>
        <w:t>Vlada sprejela mnenje o zahtevi Državnega sveta, da Državni zbor ponovno odloča o Zakonu o spremembah in dopolnitvah Zakona o vrtcih</w:t>
      </w:r>
    </w:p>
    <w:p w14:paraId="3921A15D" w14:textId="0D55A17A" w:rsidR="0050758C" w:rsidRDefault="0050758C" w:rsidP="0050758C">
      <w:r>
        <w:t xml:space="preserve">Državni zbor Republike Slovenije je na 114. izredni seji 6. oktobra 2025 sprejel Zakon o spremembah in dopolnitvah Zakona o vrtcih. Državni svet Republike je na 21. izredni seji dne 9. oktobra 2025 sprejel zahtevo, da Državni zbor ponovno odloča o Zakonu o spremembah in dopolnitvah Zakona o vrtcih. </w:t>
      </w:r>
    </w:p>
    <w:p w14:paraId="5A384845" w14:textId="77777777" w:rsidR="0050758C" w:rsidRDefault="0050758C" w:rsidP="0050758C"/>
    <w:p w14:paraId="3C3976F4" w14:textId="5D739F88" w:rsidR="0050758C" w:rsidRDefault="0050758C" w:rsidP="0050758C">
      <w:r>
        <w:t>Vlada ugotavlja, da zakon pomembno izboljšuje sedanji sistem predšolske vzgoje ter prinaša rešitve, s katerimi se omogoča kakovostno in sistemsko urejeno izvajanje javne službe ter popestritev</w:t>
      </w:r>
      <w:proofErr w:type="gramStart"/>
      <w:r>
        <w:t xml:space="preserve"> in</w:t>
      </w:r>
      <w:proofErr w:type="gramEnd"/>
      <w:r>
        <w:t xml:space="preserve"> povečana raznolikost ponudbe programov za predšolske otroke v vrtcih. Vlada Državnemu zboru predlaga, da ob ponovnem odločanju spremembe Zakona o vrtcih podpre. </w:t>
      </w:r>
    </w:p>
    <w:p w14:paraId="03953A19" w14:textId="77777777" w:rsidR="0050758C" w:rsidRDefault="0050758C" w:rsidP="0050758C">
      <w:pPr>
        <w:pStyle w:val="Vir"/>
      </w:pPr>
      <w:r>
        <w:t>Vir: Ministrstvo za vzgojo in izobraževanje</w:t>
      </w:r>
    </w:p>
    <w:p w14:paraId="5CA662EB" w14:textId="7F9A2E46" w:rsidR="00251DED" w:rsidRDefault="00251DED" w:rsidP="00251DED">
      <w:pPr>
        <w:pStyle w:val="Naslov2"/>
      </w:pPr>
      <w:r>
        <w:t>Vlada soglaša s predlogi amandmajev k Predlogu zakona o spremembah in dopolnitvah Zakona o odpravi posledic naravnih nesreč (ZOPNN-G)</w:t>
      </w:r>
    </w:p>
    <w:p w14:paraId="4DF07001" w14:textId="77777777" w:rsidR="00251DED" w:rsidRDefault="00251DED" w:rsidP="00251DED">
      <w:r>
        <w:t>V novem gradivu je popravljena obrazložitev k členom 1., 5. in 10. ter preoblikovan 9. člen, ki pa vsebinsko ni spremenjen.</w:t>
      </w:r>
    </w:p>
    <w:p w14:paraId="41E13693" w14:textId="1F89713D" w:rsidR="001933D5" w:rsidRDefault="00251DED" w:rsidP="00251DED">
      <w:pPr>
        <w:pStyle w:val="Vir"/>
      </w:pPr>
      <w:r>
        <w:t>Vir: Ministrstvo za naravne vire in prostor</w:t>
      </w:r>
    </w:p>
    <w:p w14:paraId="265877E7" w14:textId="75D05172" w:rsidR="0097633F" w:rsidRDefault="0097633F" w:rsidP="0097633F">
      <w:pPr>
        <w:pStyle w:val="Naslov2"/>
      </w:pPr>
      <w:r>
        <w:t>Imenovanje generalnega direktorja Direktorata za gospodarsko, kulturno in znanstveno diplomacijo v Ministrstvu za zunanje in evropske zadeve</w:t>
      </w:r>
    </w:p>
    <w:p w14:paraId="2AFCA113" w14:textId="227B87C9" w:rsidR="0097633F" w:rsidRDefault="0097633F" w:rsidP="0097633F">
      <w:r>
        <w:t>Vlada Republike Slovenije je izdala odločbo o imenovanju Petra Japlja za generalnega direktorja Direktorata za gospodarsko, kulturno in znanstveno diplomacijo v Ministrstvu za zunanje in evropske zadeve za mandatno dobo petih let, in sicer od 20. oktobra 2025 do 19. oktobra 2030, z možnostjo ponovnega imenovanja.</w:t>
      </w:r>
    </w:p>
    <w:p w14:paraId="713FCDD3" w14:textId="260A8300" w:rsidR="009A1362" w:rsidRDefault="0097633F" w:rsidP="0097633F">
      <w:pPr>
        <w:pStyle w:val="Vir"/>
      </w:pPr>
      <w:r>
        <w:t>Vir: Ministrstvo za zunanje in evropske zadeve</w:t>
      </w:r>
    </w:p>
    <w:p w14:paraId="040CB241" w14:textId="31F5CBC0" w:rsidR="0055729E" w:rsidRDefault="0055729E" w:rsidP="0055729E">
      <w:pPr>
        <w:pStyle w:val="Naslov2"/>
      </w:pPr>
      <w:r>
        <w:t>Imenovanje vršilke dolžnosti generalnega direktorja Direktorata za kmetijstvo v Ministrstvu za kmetijstvo, gozdarstvo in prehrano</w:t>
      </w:r>
    </w:p>
    <w:p w14:paraId="20EF2395" w14:textId="77777777" w:rsidR="0055729E" w:rsidRDefault="0055729E" w:rsidP="0055729E">
      <w:r>
        <w:t xml:space="preserve">Vlada je izdala odločbo o imenovanju Simone Vrevc za vršilko dolžnosti generalnega direktorja Direktorata za kmetijstvo na Ministrstvu za kmetijstvo, gozdarstvo in prehrano, in sicer do imenovanja novega generalnega direktorja, vendar največ za šest mesecev, to je najdlje do 30. aprila 2026. </w:t>
      </w:r>
    </w:p>
    <w:p w14:paraId="1134DB15" w14:textId="77777777" w:rsidR="0055729E" w:rsidRDefault="0055729E" w:rsidP="0055729E"/>
    <w:p w14:paraId="33C560D6" w14:textId="77777777" w:rsidR="0055729E" w:rsidRDefault="0055729E" w:rsidP="0055729E">
      <w:r>
        <w:t xml:space="preserve">Simona Vrevc je diplomirana inženirka rastlinske proizvodnje z delovnimi in vodstvenimi izkušnjami na področju kmetijstva, trenutno na delovnem mestu vršilka dolžnosti generalnega direktorja Direktorata za kmetijstvo. Odlično pozna delovanje celotnega ministrstva, še posebej Direktorata za kmetijstvo. Simona Vrevc ima tudi bogate mednarodne izkušnje kot svetovalka za kmetijstvo na Stalnem predstavništvu RS v Bruslju in kot namestnica generalnega sekretarja Alpske konvencije. </w:t>
      </w:r>
    </w:p>
    <w:p w14:paraId="37C7FBC2" w14:textId="3620D207" w:rsidR="009A1362" w:rsidRDefault="0055729E" w:rsidP="0055729E">
      <w:pPr>
        <w:pStyle w:val="Vir"/>
      </w:pPr>
      <w:r>
        <w:lastRenderedPageBreak/>
        <w:t>Vir: Ministrstvo za kmetijstvo, gozdarstvo in prehrano</w:t>
      </w:r>
    </w:p>
    <w:p w14:paraId="6EE640EF" w14:textId="4D8FF74E" w:rsidR="0088223F" w:rsidRDefault="0088223F" w:rsidP="0088223F">
      <w:pPr>
        <w:pStyle w:val="Naslov2"/>
      </w:pPr>
      <w:r>
        <w:t>Sklep o uvrstitvi območij, na katerih javnim uslužbencem, ki opravljajo delo v tujini, pripada dodatek za posebne življenjske razmere v tujini</w:t>
      </w:r>
    </w:p>
    <w:p w14:paraId="05FB635E" w14:textId="77777777" w:rsidR="0088223F" w:rsidRDefault="0088223F" w:rsidP="0088223F">
      <w:r>
        <w:t>Vlada Republike Slovenije je sprejela Sklep o uvrstitvi območij, na katerih javnim uslužbencem, ki opravljajo delo v tujini, pripada dodatek za posebne življenjske razmere v tujini, in ga objavi v Uradnem listu Republike Slovenije.</w:t>
      </w:r>
    </w:p>
    <w:p w14:paraId="75817D74" w14:textId="77777777" w:rsidR="007C0154" w:rsidRDefault="007C0154" w:rsidP="0088223F"/>
    <w:p w14:paraId="181FBB75" w14:textId="35818942" w:rsidR="0088223F" w:rsidRDefault="0088223F" w:rsidP="0088223F">
      <w:r>
        <w:t>16. člen Uredbe o plačah in drugih prejemkih javnih uslužbencev za delo v tujini določa, da javnim uslužbencem v tujini, ki opravljajo naloge na območjih, na katerih so življenjske razmere posebno težke, pripada dodatek za posebne življenjske razmere v tujini glede na območje</w:t>
      </w:r>
      <w:proofErr w:type="gramStart"/>
      <w:r>
        <w:t xml:space="preserve"> v</w:t>
      </w:r>
      <w:proofErr w:type="gramEnd"/>
      <w:r>
        <w:t xml:space="preserve"> katerem opravljajo naloge. Območja, razdeljena v tri skupine, s sklepom najmanj enkrat letno določi vlada na predlog ministrstva za zunanje in evropske zadeve. Pri določanju dodatka se upoštevajo merila</w:t>
      </w:r>
      <w:proofErr w:type="gramStart"/>
      <w:r>
        <w:t xml:space="preserve"> ki</w:t>
      </w:r>
      <w:proofErr w:type="gramEnd"/>
      <w:r>
        <w:t xml:space="preserve"> jih določa uredba. Pri razvrstitvi </w:t>
      </w:r>
      <w:proofErr w:type="gramStart"/>
      <w:r>
        <w:t xml:space="preserve">območij  </w:t>
      </w:r>
      <w:proofErr w:type="gramEnd"/>
      <w:r>
        <w:t>je MZEZ upošteval različne vire, zlasti ureditev v Evropski službi za zunanje delovanje (</w:t>
      </w:r>
      <w:proofErr w:type="spellStart"/>
      <w:r>
        <w:t>European</w:t>
      </w:r>
      <w:proofErr w:type="spellEnd"/>
      <w:r>
        <w:t xml:space="preserve"> </w:t>
      </w:r>
      <w:proofErr w:type="spellStart"/>
      <w:r>
        <w:t>External</w:t>
      </w:r>
      <w:proofErr w:type="spellEnd"/>
      <w:r>
        <w:t xml:space="preserve"> </w:t>
      </w:r>
      <w:proofErr w:type="spellStart"/>
      <w:r>
        <w:t>Action</w:t>
      </w:r>
      <w:proofErr w:type="spellEnd"/>
      <w:r>
        <w:t xml:space="preserve"> Service: EEAS) glede dodatka za življenjske pogoje, ki ga prejemajo njeni uslužbenci (Living </w:t>
      </w:r>
      <w:proofErr w:type="spellStart"/>
      <w:r>
        <w:t>Conditions</w:t>
      </w:r>
      <w:proofErr w:type="spellEnd"/>
      <w:r>
        <w:t xml:space="preserve"> </w:t>
      </w:r>
      <w:proofErr w:type="spellStart"/>
      <w:r>
        <w:t>Allowance</w:t>
      </w:r>
      <w:proofErr w:type="spellEnd"/>
      <w:r>
        <w:t xml:space="preserve">: LCA), ter poročila predstavništev RS v tujini in ostale. </w:t>
      </w:r>
    </w:p>
    <w:p w14:paraId="146734B9" w14:textId="77777777" w:rsidR="0088223F" w:rsidRDefault="0088223F" w:rsidP="0088223F"/>
    <w:p w14:paraId="565E600B" w14:textId="77777777" w:rsidR="0088223F" w:rsidRDefault="0088223F" w:rsidP="0088223F">
      <w:r>
        <w:t>Območja se razdelijo v tri skupine, kamor so na novo uvrščene države:</w:t>
      </w:r>
    </w:p>
    <w:p w14:paraId="7D9760BB" w14:textId="6BCDDF45" w:rsidR="0088223F" w:rsidRDefault="0088223F" w:rsidP="0088223F">
      <w:pPr>
        <w:pStyle w:val="Odstavekseznama"/>
        <w:numPr>
          <w:ilvl w:val="0"/>
          <w:numId w:val="13"/>
        </w:numPr>
      </w:pPr>
      <w:r>
        <w:t xml:space="preserve">Območja z izjemno težkimi življenjskimi razmerami (dodatek 1.080,11 </w:t>
      </w:r>
      <w:proofErr w:type="gramStart"/>
      <w:r>
        <w:t>evrov</w:t>
      </w:r>
      <w:proofErr w:type="gramEnd"/>
      <w:r>
        <w:t>):</w:t>
      </w:r>
    </w:p>
    <w:p w14:paraId="6CD9D9C7" w14:textId="77777777" w:rsidR="0088223F" w:rsidRDefault="0088223F" w:rsidP="0088223F"/>
    <w:p w14:paraId="3366E4DD" w14:textId="12F533B6" w:rsidR="0088223F" w:rsidRDefault="0088223F" w:rsidP="0088223F">
      <w:r>
        <w:t>Alžirija, Egipt, Etiopija, Filipini, Indija, Iran, Kitajska, Palestina, Rusija in Ukrajina</w:t>
      </w:r>
    </w:p>
    <w:p w14:paraId="0423D29D" w14:textId="77777777" w:rsidR="0088223F" w:rsidRDefault="0088223F" w:rsidP="0088223F"/>
    <w:p w14:paraId="0D66C0BD" w14:textId="58E84EB5" w:rsidR="0088223F" w:rsidRDefault="0088223F" w:rsidP="0088223F">
      <w:pPr>
        <w:pStyle w:val="Odstavekseznama"/>
        <w:numPr>
          <w:ilvl w:val="0"/>
          <w:numId w:val="13"/>
        </w:numPr>
      </w:pPr>
      <w:r>
        <w:t xml:space="preserve">Območja z zelo težkimi življenjskimi razmerami (dodatek 324,03 </w:t>
      </w:r>
      <w:proofErr w:type="gramStart"/>
      <w:r>
        <w:t>evrov</w:t>
      </w:r>
      <w:proofErr w:type="gramEnd"/>
      <w:r>
        <w:t xml:space="preserve">): </w:t>
      </w:r>
    </w:p>
    <w:p w14:paraId="39A1D528" w14:textId="77777777" w:rsidR="0088223F" w:rsidRDefault="0088223F" w:rsidP="0088223F"/>
    <w:p w14:paraId="39FCCCF4" w14:textId="5DD3B880" w:rsidR="0088223F" w:rsidRDefault="0088223F" w:rsidP="0088223F">
      <w:r>
        <w:t>Albanija, Argentina, Bosna in Hercegovina, Brazilija, Gruzija, Izrael, Kosovo, Moldavija, Turčija in Združeni arabski emirati</w:t>
      </w:r>
    </w:p>
    <w:p w14:paraId="620FC649" w14:textId="77777777" w:rsidR="0088223F" w:rsidRDefault="0088223F" w:rsidP="0088223F"/>
    <w:p w14:paraId="324F929F" w14:textId="03A192F3" w:rsidR="0088223F" w:rsidRDefault="0088223F" w:rsidP="0088223F">
      <w:pPr>
        <w:pStyle w:val="Odstavekseznama"/>
        <w:numPr>
          <w:ilvl w:val="0"/>
          <w:numId w:val="13"/>
        </w:numPr>
      </w:pPr>
      <w:r>
        <w:t xml:space="preserve">Območja s težkimi življenjskimi razmerami (dodatek 216,02 </w:t>
      </w:r>
      <w:proofErr w:type="gramStart"/>
      <w:r>
        <w:t>evrov</w:t>
      </w:r>
      <w:proofErr w:type="gramEnd"/>
      <w:r>
        <w:t xml:space="preserve">): </w:t>
      </w:r>
    </w:p>
    <w:p w14:paraId="5B8D0D96" w14:textId="77777777" w:rsidR="0088223F" w:rsidRDefault="0088223F" w:rsidP="0088223F"/>
    <w:p w14:paraId="31B89968" w14:textId="7CD46F2C" w:rsidR="0088223F" w:rsidRDefault="0088223F" w:rsidP="0088223F">
      <w:r>
        <w:t>Črna gora, Japonska, Južna Koreja, Maroko, Severna Makedonija in Srbija</w:t>
      </w:r>
    </w:p>
    <w:p w14:paraId="11E1F4BD" w14:textId="77777777" w:rsidR="0088223F" w:rsidRDefault="0088223F" w:rsidP="0088223F"/>
    <w:p w14:paraId="0EDCCBE8" w14:textId="7CB9F8E5" w:rsidR="008A7DF8" w:rsidRDefault="0088223F" w:rsidP="0088223F">
      <w:pPr>
        <w:pStyle w:val="Vir"/>
      </w:pPr>
      <w:r>
        <w:t>Vir: Ministrstvo za zunanje in evropske zadeve</w:t>
      </w:r>
    </w:p>
    <w:p w14:paraId="4F20D2B6" w14:textId="1AE2D687" w:rsidR="009A1362" w:rsidRDefault="002A498C" w:rsidP="00186F73">
      <w:pPr>
        <w:pStyle w:val="Naslov2"/>
      </w:pPr>
      <w:r>
        <w:t>S</w:t>
      </w:r>
      <w:r w:rsidR="008A7DF8">
        <w:t>prememb</w:t>
      </w:r>
      <w:r>
        <w:t>a</w:t>
      </w:r>
      <w:r w:rsidR="008A7DF8">
        <w:t xml:space="preserve"> </w:t>
      </w:r>
      <w:r>
        <w:t>s</w:t>
      </w:r>
      <w:r w:rsidR="008A7DF8">
        <w:t>klepa o ustanovitvi, nalogah in sestavi Komisije Vlade Republike Slovenije za administrativne zadeve in imenovanja</w:t>
      </w:r>
    </w:p>
    <w:p w14:paraId="5D6B7C8E" w14:textId="77777777" w:rsidR="002A498C" w:rsidRDefault="002A498C" w:rsidP="002A498C">
      <w:r>
        <w:t>Vlada Republike Slovenije je na današnji seji sprejela Sklep o spremembah Sklepa o ustanovitvi, nalogah in sestavi Komisije Vlade Republike Slovenije za administrativne zadeve in imenovanja.</w:t>
      </w:r>
    </w:p>
    <w:p w14:paraId="7F9648C5" w14:textId="77777777" w:rsidR="002A498C" w:rsidRDefault="002A498C" w:rsidP="002A498C"/>
    <w:p w14:paraId="4372B111" w14:textId="6A09C448" w:rsidR="002A498C" w:rsidRDefault="002A498C" w:rsidP="002A498C">
      <w:r>
        <w:t xml:space="preserve">S predlaganimi spremembami se Sklep o ustanovitvi, nalogah in sestavi Komisije Vlade Republike Slovenije za administrativne zadeve in imenovanja usklajuje z novim Zakonom o funkcionarjih, saj v skladu s 4. členom Zakona o funkcionarjih o pravicah funkcionarjev odloča organ, v katerem funkcionar opravlja </w:t>
      </w:r>
      <w:proofErr w:type="gramStart"/>
      <w:r>
        <w:t>funkcijo</w:t>
      </w:r>
      <w:proofErr w:type="gramEnd"/>
      <w:r>
        <w:t>, vlada pa je izrecno pristojna za odločanje o nadomestilu plače po prenehanju funkcije za predsednika vlade, ministre in druge funkcionarje, ki jih imenuje sama.</w:t>
      </w:r>
    </w:p>
    <w:p w14:paraId="21FFAAA0" w14:textId="77777777" w:rsidR="002A498C" w:rsidRDefault="002A498C" w:rsidP="002A498C"/>
    <w:p w14:paraId="6841809B" w14:textId="77777777" w:rsidR="002A498C" w:rsidRDefault="002A498C" w:rsidP="002A498C">
      <w:r>
        <w:t xml:space="preserve">Doslej so člani komisije dokončno odločali o nadomestilih po prenehanju funkcije funkcionarjev, po novem o tem komisija odloča predhodno, vlada pa sprejme sklep. </w:t>
      </w:r>
    </w:p>
    <w:p w14:paraId="28FB1C11" w14:textId="77777777" w:rsidR="002A498C" w:rsidRDefault="002A498C" w:rsidP="002A498C"/>
    <w:p w14:paraId="39406935" w14:textId="13BBDC32" w:rsidR="009A1362" w:rsidRDefault="002A498C" w:rsidP="002A498C">
      <w:r>
        <w:t xml:space="preserve">Izpolnjevanje pogojev za pridobitev pravic o nadomestilu za ločeno življenje funkcionarjev, ki jih imenuje vlada, o določitvi letnega dopusta funkcionarjem, ki jih imenuje vlada in o določitvi odpravnine </w:t>
      </w:r>
      <w:r>
        <w:lastRenderedPageBreak/>
        <w:t xml:space="preserve">ob upokojitvi funkcionarjev, ki jih imenuje vlada, po novem v skladu z zakonom ugotavlja in zagotavlja organ, v katerem funkcionar opravlja </w:t>
      </w:r>
      <w:proofErr w:type="gramStart"/>
      <w:r>
        <w:t>funkcijo</w:t>
      </w:r>
      <w:proofErr w:type="gramEnd"/>
      <w:r>
        <w:t xml:space="preserve"> oziroma s sklepom odloči organ, v katerem funkcionar opravlja funkcijo.</w:t>
      </w:r>
    </w:p>
    <w:p w14:paraId="69E0DA8C" w14:textId="37B0C60F" w:rsidR="00DE1B54" w:rsidRDefault="002A498C" w:rsidP="00C2405D">
      <w:pPr>
        <w:pStyle w:val="Vir"/>
      </w:pPr>
      <w:r>
        <w:t>Vir: Generalni sekretariat vlade</w:t>
      </w:r>
    </w:p>
    <w:sectPr w:rsidR="00DE1B54"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4E4CCF"/>
    <w:multiLevelType w:val="hybridMultilevel"/>
    <w:tmpl w:val="E6528328"/>
    <w:lvl w:ilvl="0" w:tplc="725C9272">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1C05A76"/>
    <w:multiLevelType w:val="hybridMultilevel"/>
    <w:tmpl w:val="610207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B1521EB"/>
    <w:multiLevelType w:val="hybridMultilevel"/>
    <w:tmpl w:val="00D2BA68"/>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DF02250"/>
    <w:multiLevelType w:val="hybridMultilevel"/>
    <w:tmpl w:val="808873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76576364">
    <w:abstractNumId w:val="10"/>
  </w:num>
  <w:num w:numId="2" w16cid:durableId="984821814">
    <w:abstractNumId w:val="7"/>
  </w:num>
  <w:num w:numId="3" w16cid:durableId="150218247">
    <w:abstractNumId w:val="0"/>
  </w:num>
  <w:num w:numId="4" w16cid:durableId="1026903286">
    <w:abstractNumId w:val="8"/>
  </w:num>
  <w:num w:numId="5" w16cid:durableId="231817878">
    <w:abstractNumId w:val="3"/>
  </w:num>
  <w:num w:numId="6" w16cid:durableId="2110814889">
    <w:abstractNumId w:val="11"/>
  </w:num>
  <w:num w:numId="7" w16cid:durableId="695153758">
    <w:abstractNumId w:val="4"/>
  </w:num>
  <w:num w:numId="8" w16cid:durableId="853298866">
    <w:abstractNumId w:val="6"/>
  </w:num>
  <w:num w:numId="9" w16cid:durableId="1789348953">
    <w:abstractNumId w:val="2"/>
  </w:num>
  <w:num w:numId="10" w16cid:durableId="1080834022">
    <w:abstractNumId w:val="5"/>
  </w:num>
  <w:num w:numId="11" w16cid:durableId="504903166">
    <w:abstractNumId w:val="1"/>
  </w:num>
  <w:num w:numId="12" w16cid:durableId="1610770123">
    <w:abstractNumId w:val="9"/>
  </w:num>
  <w:num w:numId="13" w16cid:durableId="1746993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76DF7"/>
    <w:rsid w:val="00085D04"/>
    <w:rsid w:val="00087069"/>
    <w:rsid w:val="00087A14"/>
    <w:rsid w:val="00097B85"/>
    <w:rsid w:val="000D5520"/>
    <w:rsid w:val="000E0657"/>
    <w:rsid w:val="000F3B9B"/>
    <w:rsid w:val="00110B8F"/>
    <w:rsid w:val="00113F85"/>
    <w:rsid w:val="0012724F"/>
    <w:rsid w:val="0013016C"/>
    <w:rsid w:val="001602C9"/>
    <w:rsid w:val="00164AAC"/>
    <w:rsid w:val="0016530C"/>
    <w:rsid w:val="001673A5"/>
    <w:rsid w:val="00173343"/>
    <w:rsid w:val="00186F73"/>
    <w:rsid w:val="001933D5"/>
    <w:rsid w:val="00194065"/>
    <w:rsid w:val="001B01DD"/>
    <w:rsid w:val="001B42F9"/>
    <w:rsid w:val="001C3560"/>
    <w:rsid w:val="001C5F19"/>
    <w:rsid w:val="001D2399"/>
    <w:rsid w:val="001E2826"/>
    <w:rsid w:val="001F51BC"/>
    <w:rsid w:val="001F6E13"/>
    <w:rsid w:val="001F7F63"/>
    <w:rsid w:val="00203F5F"/>
    <w:rsid w:val="00215140"/>
    <w:rsid w:val="00220CDD"/>
    <w:rsid w:val="0022511A"/>
    <w:rsid w:val="00231021"/>
    <w:rsid w:val="002501CE"/>
    <w:rsid w:val="00251DED"/>
    <w:rsid w:val="002856E5"/>
    <w:rsid w:val="002A498C"/>
    <w:rsid w:val="002B4035"/>
    <w:rsid w:val="002C0766"/>
    <w:rsid w:val="002C36A6"/>
    <w:rsid w:val="002D5B5D"/>
    <w:rsid w:val="002E3F96"/>
    <w:rsid w:val="002F3BE7"/>
    <w:rsid w:val="0032428F"/>
    <w:rsid w:val="00346E22"/>
    <w:rsid w:val="00351E1E"/>
    <w:rsid w:val="00357DC0"/>
    <w:rsid w:val="00361255"/>
    <w:rsid w:val="00365D18"/>
    <w:rsid w:val="00381018"/>
    <w:rsid w:val="003847C8"/>
    <w:rsid w:val="003877EB"/>
    <w:rsid w:val="00390DF7"/>
    <w:rsid w:val="0039662C"/>
    <w:rsid w:val="003A3742"/>
    <w:rsid w:val="003D64D8"/>
    <w:rsid w:val="003E17B6"/>
    <w:rsid w:val="003E1B89"/>
    <w:rsid w:val="003E6170"/>
    <w:rsid w:val="003F03C4"/>
    <w:rsid w:val="003F4CC5"/>
    <w:rsid w:val="004024C1"/>
    <w:rsid w:val="00415527"/>
    <w:rsid w:val="00432937"/>
    <w:rsid w:val="004403EC"/>
    <w:rsid w:val="004426F1"/>
    <w:rsid w:val="00447B57"/>
    <w:rsid w:val="00455B63"/>
    <w:rsid w:val="00460370"/>
    <w:rsid w:val="00472762"/>
    <w:rsid w:val="004A00A8"/>
    <w:rsid w:val="004A7BFC"/>
    <w:rsid w:val="004A7CAD"/>
    <w:rsid w:val="004B4753"/>
    <w:rsid w:val="004B7346"/>
    <w:rsid w:val="004E27AB"/>
    <w:rsid w:val="00505162"/>
    <w:rsid w:val="0050758C"/>
    <w:rsid w:val="00514121"/>
    <w:rsid w:val="00522637"/>
    <w:rsid w:val="00527867"/>
    <w:rsid w:val="00527AA5"/>
    <w:rsid w:val="005314D7"/>
    <w:rsid w:val="005515BD"/>
    <w:rsid w:val="00555CE6"/>
    <w:rsid w:val="0055729E"/>
    <w:rsid w:val="0057530B"/>
    <w:rsid w:val="0059143B"/>
    <w:rsid w:val="005A570D"/>
    <w:rsid w:val="005B41BA"/>
    <w:rsid w:val="005B5886"/>
    <w:rsid w:val="005C1523"/>
    <w:rsid w:val="005D365F"/>
    <w:rsid w:val="005E1ABB"/>
    <w:rsid w:val="0061443B"/>
    <w:rsid w:val="00614FFD"/>
    <w:rsid w:val="006274BB"/>
    <w:rsid w:val="00634EFA"/>
    <w:rsid w:val="00635D43"/>
    <w:rsid w:val="006464FC"/>
    <w:rsid w:val="00660D9F"/>
    <w:rsid w:val="0066249C"/>
    <w:rsid w:val="0067375D"/>
    <w:rsid w:val="00693BA3"/>
    <w:rsid w:val="006B3F12"/>
    <w:rsid w:val="006C1B31"/>
    <w:rsid w:val="006C6327"/>
    <w:rsid w:val="006D7805"/>
    <w:rsid w:val="006F1340"/>
    <w:rsid w:val="006F29FA"/>
    <w:rsid w:val="0070324C"/>
    <w:rsid w:val="0071171B"/>
    <w:rsid w:val="007120FD"/>
    <w:rsid w:val="007130E1"/>
    <w:rsid w:val="00716545"/>
    <w:rsid w:val="00717E59"/>
    <w:rsid w:val="0073796B"/>
    <w:rsid w:val="00750D01"/>
    <w:rsid w:val="007643A0"/>
    <w:rsid w:val="007669A3"/>
    <w:rsid w:val="00781345"/>
    <w:rsid w:val="00784E57"/>
    <w:rsid w:val="00791CE2"/>
    <w:rsid w:val="0079749C"/>
    <w:rsid w:val="007A6460"/>
    <w:rsid w:val="007B0ADD"/>
    <w:rsid w:val="007C0154"/>
    <w:rsid w:val="007C21FB"/>
    <w:rsid w:val="007D7D2B"/>
    <w:rsid w:val="007E198F"/>
    <w:rsid w:val="007F5D6B"/>
    <w:rsid w:val="007F6EF7"/>
    <w:rsid w:val="008220A3"/>
    <w:rsid w:val="008244C0"/>
    <w:rsid w:val="008336E7"/>
    <w:rsid w:val="00836E94"/>
    <w:rsid w:val="00847AD3"/>
    <w:rsid w:val="00851FE1"/>
    <w:rsid w:val="008624E8"/>
    <w:rsid w:val="0088223F"/>
    <w:rsid w:val="008841B7"/>
    <w:rsid w:val="008A7DF8"/>
    <w:rsid w:val="008B512C"/>
    <w:rsid w:val="008B6738"/>
    <w:rsid w:val="008B7AF2"/>
    <w:rsid w:val="008C4231"/>
    <w:rsid w:val="008C4C81"/>
    <w:rsid w:val="008D49BD"/>
    <w:rsid w:val="00905C96"/>
    <w:rsid w:val="009174DA"/>
    <w:rsid w:val="00933061"/>
    <w:rsid w:val="00933087"/>
    <w:rsid w:val="00945B27"/>
    <w:rsid w:val="009540E4"/>
    <w:rsid w:val="00974186"/>
    <w:rsid w:val="0097633F"/>
    <w:rsid w:val="00983241"/>
    <w:rsid w:val="00984AF2"/>
    <w:rsid w:val="009900DE"/>
    <w:rsid w:val="009A1362"/>
    <w:rsid w:val="009A41AA"/>
    <w:rsid w:val="009C2C98"/>
    <w:rsid w:val="009C2D77"/>
    <w:rsid w:val="009C562E"/>
    <w:rsid w:val="009D10D1"/>
    <w:rsid w:val="009F244A"/>
    <w:rsid w:val="00A05D28"/>
    <w:rsid w:val="00A06971"/>
    <w:rsid w:val="00A17AEB"/>
    <w:rsid w:val="00A30052"/>
    <w:rsid w:val="00A34FC4"/>
    <w:rsid w:val="00A40E3F"/>
    <w:rsid w:val="00A445DF"/>
    <w:rsid w:val="00A5415F"/>
    <w:rsid w:val="00A60A37"/>
    <w:rsid w:val="00A60FBF"/>
    <w:rsid w:val="00A67305"/>
    <w:rsid w:val="00A72A12"/>
    <w:rsid w:val="00A7412B"/>
    <w:rsid w:val="00A96E2A"/>
    <w:rsid w:val="00AB1DC2"/>
    <w:rsid w:val="00AD1AFD"/>
    <w:rsid w:val="00AE6CD6"/>
    <w:rsid w:val="00AF5FC8"/>
    <w:rsid w:val="00B022E5"/>
    <w:rsid w:val="00B330B0"/>
    <w:rsid w:val="00B47F61"/>
    <w:rsid w:val="00B529EF"/>
    <w:rsid w:val="00B602CF"/>
    <w:rsid w:val="00B60F58"/>
    <w:rsid w:val="00B70F5B"/>
    <w:rsid w:val="00B753A8"/>
    <w:rsid w:val="00B84862"/>
    <w:rsid w:val="00B903E5"/>
    <w:rsid w:val="00BA743D"/>
    <w:rsid w:val="00BB1111"/>
    <w:rsid w:val="00BB73C0"/>
    <w:rsid w:val="00BE5C43"/>
    <w:rsid w:val="00C12E1A"/>
    <w:rsid w:val="00C2405D"/>
    <w:rsid w:val="00C3152B"/>
    <w:rsid w:val="00C354D9"/>
    <w:rsid w:val="00C365A8"/>
    <w:rsid w:val="00C458C2"/>
    <w:rsid w:val="00C466F6"/>
    <w:rsid w:val="00C666AC"/>
    <w:rsid w:val="00C97F7B"/>
    <w:rsid w:val="00CA5624"/>
    <w:rsid w:val="00CC3123"/>
    <w:rsid w:val="00CC37B3"/>
    <w:rsid w:val="00D10EB4"/>
    <w:rsid w:val="00D14EEC"/>
    <w:rsid w:val="00D22282"/>
    <w:rsid w:val="00D47781"/>
    <w:rsid w:val="00D60A92"/>
    <w:rsid w:val="00D650E2"/>
    <w:rsid w:val="00D7373E"/>
    <w:rsid w:val="00D85532"/>
    <w:rsid w:val="00D9208E"/>
    <w:rsid w:val="00D95BC6"/>
    <w:rsid w:val="00D966FF"/>
    <w:rsid w:val="00DA0548"/>
    <w:rsid w:val="00DA3B4D"/>
    <w:rsid w:val="00DA5C0D"/>
    <w:rsid w:val="00DA5D7A"/>
    <w:rsid w:val="00DE199D"/>
    <w:rsid w:val="00DE1B54"/>
    <w:rsid w:val="00DE27BA"/>
    <w:rsid w:val="00E02AB3"/>
    <w:rsid w:val="00E05EEE"/>
    <w:rsid w:val="00E14AAE"/>
    <w:rsid w:val="00E2036F"/>
    <w:rsid w:val="00E3207D"/>
    <w:rsid w:val="00E3507E"/>
    <w:rsid w:val="00E7132A"/>
    <w:rsid w:val="00E83E60"/>
    <w:rsid w:val="00E86C78"/>
    <w:rsid w:val="00E948BD"/>
    <w:rsid w:val="00EC012E"/>
    <w:rsid w:val="00EE35F8"/>
    <w:rsid w:val="00EE44A4"/>
    <w:rsid w:val="00EF1263"/>
    <w:rsid w:val="00F01966"/>
    <w:rsid w:val="00F20884"/>
    <w:rsid w:val="00F21123"/>
    <w:rsid w:val="00F21419"/>
    <w:rsid w:val="00F21BAD"/>
    <w:rsid w:val="00F23144"/>
    <w:rsid w:val="00F240E9"/>
    <w:rsid w:val="00F462C7"/>
    <w:rsid w:val="00F92545"/>
    <w:rsid w:val="00F93A56"/>
    <w:rsid w:val="00FA792D"/>
    <w:rsid w:val="00FC2D38"/>
    <w:rsid w:val="00FD6F18"/>
    <w:rsid w:val="00FE5604"/>
    <w:rsid w:val="00FF06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900">
      <w:bodyDiv w:val="1"/>
      <w:marLeft w:val="0"/>
      <w:marRight w:val="0"/>
      <w:marTop w:val="0"/>
      <w:marBottom w:val="0"/>
      <w:divBdr>
        <w:top w:val="none" w:sz="0" w:space="0" w:color="auto"/>
        <w:left w:val="none" w:sz="0" w:space="0" w:color="auto"/>
        <w:bottom w:val="none" w:sz="0" w:space="0" w:color="auto"/>
        <w:right w:val="none" w:sz="0" w:space="0" w:color="auto"/>
      </w:divBdr>
    </w:div>
    <w:div w:id="87053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7302</Words>
  <Characters>41622</Characters>
  <Application>Microsoft Office Word</Application>
  <DocSecurity>0</DocSecurity>
  <Lines>346</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2025-10-15T12:23:00Z</dcterms:created>
  <dcterms:modified xsi:type="dcterms:W3CDTF">2025-10-16T13:59:00Z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