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6F372343" w:rsidR="0073796B" w:rsidRPr="0039662C" w:rsidRDefault="00D10EB4" w:rsidP="0039662C">
      <w:pPr>
        <w:pStyle w:val="Naslov1"/>
      </w:pPr>
      <w:r>
        <w:t>1</w:t>
      </w:r>
      <w:r w:rsidR="002856E5">
        <w:t>7</w:t>
      </w:r>
      <w:r w:rsidR="003A3742">
        <w:t>3</w:t>
      </w:r>
      <w:r w:rsidR="0073796B" w:rsidRPr="0039662C">
        <w:t>. redna seja Vlade Republike Slovenije</w:t>
      </w:r>
    </w:p>
    <w:p w14:paraId="27F30B92" w14:textId="7F9CC001" w:rsidR="0073796B" w:rsidRDefault="003A3742" w:rsidP="008B7AF2">
      <w:pPr>
        <w:pStyle w:val="DatumSZJ"/>
      </w:pPr>
      <w:r>
        <w:t>9</w:t>
      </w:r>
      <w:r w:rsidR="002856E5">
        <w:t>.</w:t>
      </w:r>
      <w:r w:rsidR="008220A3">
        <w:t xml:space="preserve"> </w:t>
      </w:r>
      <w:r w:rsidR="006B3F12">
        <w:t>okto</w:t>
      </w:r>
      <w:r w:rsidR="006F29FA">
        <w:t>ber</w:t>
      </w:r>
      <w:r w:rsidR="00DA3B4D">
        <w:t xml:space="preserve"> </w:t>
      </w:r>
      <w:r w:rsidR="0073796B" w:rsidRPr="008B7AF2">
        <w:t>202</w:t>
      </w:r>
      <w:r w:rsidR="00F21123">
        <w:t>5</w:t>
      </w:r>
    </w:p>
    <w:p w14:paraId="6F654AA0" w14:textId="77777777" w:rsidR="008B1D72" w:rsidRDefault="008B1D72" w:rsidP="008B1D72"/>
    <w:p w14:paraId="1BECC2C8" w14:textId="57280FDF" w:rsidR="008B1D72" w:rsidRDefault="00870892" w:rsidP="00870892">
      <w:pPr>
        <w:pStyle w:val="Naslov2"/>
      </w:pPr>
      <w:r>
        <w:t>Vlada sprejela Ur</w:t>
      </w:r>
      <w:r w:rsidR="008B1D72">
        <w:t>edb</w:t>
      </w:r>
      <w:r>
        <w:t>o</w:t>
      </w:r>
      <w:r w:rsidR="008B1D72">
        <w:t xml:space="preserve"> o usposabljanju odgovornih oseb na področju obvladovanja tveganj informacijske in kibernetske varnosti</w:t>
      </w:r>
    </w:p>
    <w:p w14:paraId="0DAAB25C" w14:textId="53E3B866" w:rsidR="00870892" w:rsidRDefault="00870892" w:rsidP="00870892">
      <w:r>
        <w:t>Vlada Republike Slovenije je izdala Uredbo o usposabljanju odgovornih oseb na področju obvladovanja tveganj informacijske in kibernetske varnosti. Urad Vlade Republike Slovenije za informacijsko varnost (URSIV) je pripravil predlog Uredbe, pri čemer gre za podzakonski predpis, ki ga izda Vlada Republike Slovenije na podlagi šestega odstavka 20. člena Zakona o informacijski varnosti.</w:t>
      </w:r>
    </w:p>
    <w:p w14:paraId="68893C06" w14:textId="77777777" w:rsidR="00870892" w:rsidRDefault="00870892" w:rsidP="00870892"/>
    <w:p w14:paraId="73D0B2C1" w14:textId="77777777" w:rsidR="00870892" w:rsidRDefault="00870892" w:rsidP="00870892">
      <w:r>
        <w:t>Namen uredbe je določitev načina in postopka usposabljanja odgovornih oseb bistvenih in pomembnih subjektov na področju obvladovanja tveganj informacijske in kibernetske varnosti ter njihovega vpliva na dejavnosti oziroma storitve, ki jih izvaja subjekt, z namenom zagotavljanja visoke ravni varnosti omrežij in informacijskih sistemov ter zaščite pred kibernetskimi grožnjami. Uredba določa program in način usposabljanja odgovornih oseb bistvenih ali pomembnih subjektov iz prvega odstavka 20. člena Zakona o informacijski varnosti na področju obvladovanja tveganj informacijske in kibernetske varnosti ter njihovega vpliva na dejavnosti oziroma storitve, ki jih izvaja subjekt, z namenom zagotavljanja visoke ravni varnosti omrežij in informacijskih sistemov ter zaščite pred kibernetskimi grožnjami.</w:t>
      </w:r>
    </w:p>
    <w:p w14:paraId="28668AA1" w14:textId="77777777" w:rsidR="00870892" w:rsidRDefault="00870892" w:rsidP="00870892"/>
    <w:p w14:paraId="00E1075A" w14:textId="77777777" w:rsidR="00870892" w:rsidRDefault="00870892" w:rsidP="00870892">
      <w:r>
        <w:t xml:space="preserve">Uredba določa program usposabljanja, ki obsega šest vsebinskih sklopov, med drugim uvod v informacijsko in kibernetsko varnost, upravljanje tveganj, odzivanje na incidente, neprekinjeno poslovanje in varnost dobavnih verig in izvajanje dolžnega nadzorstva in pogoste ugotovitve neskladja s predpisi iz inšpekcijskih nadzorov. Usposabljanja bodo za udeležence brezplačna in bodo obsegala najmanj osem pedagoških ur, izvedena pa bodo v obliki predavanj ali delavnic, lahko tudi na daljavo. Po uspešno opravljenem programu bo udeleženec prejel elektronsko potrdilo o usposobljenosti, ki bo veljalo štiri leta. URSIV bo vodil evidenco izdanih potrdil in skrbel za razpis terminov usposabljanj. </w:t>
      </w:r>
    </w:p>
    <w:p w14:paraId="530DE5B3" w14:textId="7D8A6555" w:rsidR="00870892" w:rsidRDefault="00870892" w:rsidP="00870892">
      <w:pPr>
        <w:pStyle w:val="Vir"/>
      </w:pPr>
      <w:r w:rsidRPr="00870892">
        <w:t>Vir: Urad za informacijsko varnost</w:t>
      </w:r>
    </w:p>
    <w:p w14:paraId="2F9B3DC4" w14:textId="6FF3A503" w:rsidR="00424739" w:rsidRDefault="00424739" w:rsidP="00424739">
      <w:pPr>
        <w:pStyle w:val="Naslov2"/>
      </w:pPr>
      <w:r>
        <w:t xml:space="preserve">Vlada podaljšala ukrep za premostitev zaostrenih varnostnih razmer v zavodih za prestajanje kazni zapora </w:t>
      </w:r>
    </w:p>
    <w:p w14:paraId="3954C4E2" w14:textId="77777777" w:rsidR="00424739" w:rsidRDefault="00424739" w:rsidP="00424739">
      <w:r>
        <w:t>Vlada Republike Slovenije je na današnji dopisni seji izdala Odlok o podaljšanju trajanja začasnega ukrepa za premostitev zaostrenih varnostnih razmer zaradi kadrovskih težav v zavodih za prestajanje kazni zapora, in sicer za obdobje nadaljnjih treh mesecev – do 12. januarja 2026.</w:t>
      </w:r>
    </w:p>
    <w:p w14:paraId="0411D9F6" w14:textId="77777777" w:rsidR="00424739" w:rsidRDefault="00424739" w:rsidP="00424739">
      <w:r>
        <w:t xml:space="preserve">Ukrep omogoča, da lahko delavci Uprave za izvrševanje kazenskih sankcij (URSIKS), ki so bili v preteklosti zaposleni na delovnih mestih kot pravosodni policisti, začasno ponovno opravljajo naloge pravosodnih policistov. </w:t>
      </w:r>
    </w:p>
    <w:p w14:paraId="3BE36D43" w14:textId="77777777" w:rsidR="00424739" w:rsidRDefault="00424739" w:rsidP="00424739"/>
    <w:p w14:paraId="1EE37457" w14:textId="77777777" w:rsidR="00424739" w:rsidRDefault="00424739" w:rsidP="00424739">
      <w:r>
        <w:t xml:space="preserve">Uprava RS za izvrševanje kazenskih sankcij si bo v tem času še naprej prizadevala pridobiti dodatne kadre, predvsem pravosodne policiste. Potekajo intenzivne promocijske </w:t>
      </w:r>
      <w:proofErr w:type="gramStart"/>
      <w:r>
        <w:t>aktivnosti</w:t>
      </w:r>
      <w:proofErr w:type="gramEnd"/>
      <w:r>
        <w:t xml:space="preserve"> z novim sloganom »Varno. Odločno. Pravično.«, ki predstavljajo poklic pravosodnega policista kot odgovorno, zahtevno in spoštovano delo v službi varnosti in človekovega dostojanstva.</w:t>
      </w:r>
    </w:p>
    <w:p w14:paraId="445E41DA" w14:textId="16F2EEA5" w:rsidR="008B1D72" w:rsidRDefault="00424739" w:rsidP="00424739">
      <w:pPr>
        <w:pStyle w:val="Vir"/>
      </w:pPr>
      <w:r>
        <w:t>Vir: Ministrstvo za pravosodje</w:t>
      </w:r>
    </w:p>
    <w:p w14:paraId="30157071" w14:textId="366EF331" w:rsidR="00032C3D" w:rsidRDefault="00032C3D" w:rsidP="00032C3D">
      <w:pPr>
        <w:pStyle w:val="Naslov2"/>
      </w:pPr>
      <w:r>
        <w:lastRenderedPageBreak/>
        <w:t>Vlada sprejela končno oceno škode na stvareh zaradi posledic močnega deževja s poplavami in zemeljskimi plazovi v začetku julija 2025</w:t>
      </w:r>
    </w:p>
    <w:p w14:paraId="01F9B9C0" w14:textId="15636024" w:rsidR="00032C3D" w:rsidRDefault="00032C3D" w:rsidP="00032C3D">
      <w:r>
        <w:t xml:space="preserve">Poročilo obravnava končno oceno škode na stvareh zaradi močnega deževja s poplavami </w:t>
      </w:r>
      <w:proofErr w:type="gramStart"/>
      <w:r>
        <w:t>in</w:t>
      </w:r>
      <w:r w:rsidR="0040678F">
        <w:t xml:space="preserve"> </w:t>
      </w:r>
      <w:r>
        <w:t xml:space="preserve"> </w:t>
      </w:r>
      <w:proofErr w:type="gramEnd"/>
      <w:r>
        <w:t xml:space="preserve">zemeljskimi plazovi med 4. in 7. julijem 2025 v severnoprimorski in </w:t>
      </w:r>
      <w:proofErr w:type="spellStart"/>
      <w:r>
        <w:t>zahodnoštajerski</w:t>
      </w:r>
      <w:proofErr w:type="spellEnd"/>
      <w:r>
        <w:t xml:space="preserve"> regiji, ki skupno znaša 6.960.836,34 evra in jo je 18. septembra 2025 verificirala Državna komisija za ocenjevanje škode po naravnih in drugih nesrečah.</w:t>
      </w:r>
    </w:p>
    <w:p w14:paraId="6457AB60" w14:textId="77777777" w:rsidR="00032C3D" w:rsidRDefault="00032C3D" w:rsidP="00032C3D"/>
    <w:p w14:paraId="12567DA9" w14:textId="77777777" w:rsidR="00032C3D" w:rsidRDefault="00032C3D" w:rsidP="00032C3D">
      <w:r>
        <w:t>Od skupnega zneska neposredne škode znaša škoda na kmetijskih zemljiščih 22.751,10 evra, delna škoda na stavbah 49.738,95 evra, na gradbeno-inženirskih objektih 1.500.716,22 evra, na vodotokih 5.342.762,11 evra, na gozdnih cestah 29.099,83 evra in v gospodarstvu 15.768,13 evra.</w:t>
      </w:r>
    </w:p>
    <w:p w14:paraId="1B1F8993" w14:textId="77777777" w:rsidR="00032C3D" w:rsidRDefault="00032C3D" w:rsidP="00032C3D"/>
    <w:p w14:paraId="23ED8354" w14:textId="77777777" w:rsidR="00032C3D" w:rsidRDefault="00032C3D" w:rsidP="00032C3D">
      <w:r>
        <w:t xml:space="preserve">Ocenjena neposredna škoda občin in vodotokov presega 0,3 </w:t>
      </w:r>
      <w:proofErr w:type="gramStart"/>
      <w:r>
        <w:t>promila</w:t>
      </w:r>
      <w:proofErr w:type="gramEnd"/>
      <w:r>
        <w:t xml:space="preserve"> načrtovanih prihodkov državnega proračuna za leto 2025.</w:t>
      </w:r>
    </w:p>
    <w:p w14:paraId="69D3E675" w14:textId="77777777" w:rsidR="00032C3D" w:rsidRDefault="00032C3D" w:rsidP="00032C3D"/>
    <w:p w14:paraId="013D1882" w14:textId="77777777" w:rsidR="00032C3D" w:rsidRDefault="00032C3D" w:rsidP="00032C3D">
      <w:r>
        <w:t>Državna komisija za ocenjevanje škode ob naravnih nesrečah je potrdila stroške ocenjevanja škode, ki so jo opravile občinske komisije ter Uprava Republike Slovenije za zaščito in reševanje, v skupni višini 252 evrov, ki se pokrijejo iz proračunske rezerve.</w:t>
      </w:r>
    </w:p>
    <w:p w14:paraId="1FE1EC53" w14:textId="77777777" w:rsidR="00032C3D" w:rsidRDefault="00032C3D" w:rsidP="00032C3D"/>
    <w:p w14:paraId="3933EF5D" w14:textId="77777777" w:rsidR="00032C3D" w:rsidRDefault="00032C3D" w:rsidP="00032C3D">
      <w:r>
        <w:t>Pristojna ministrstva bodo pripravila program odprave posledic neposredne škode v skladu z določbami Zakona o odpravi posledic naravnih nesreč.</w:t>
      </w:r>
    </w:p>
    <w:p w14:paraId="5B942E69" w14:textId="1872A582" w:rsidR="008B1D72" w:rsidRDefault="00032C3D" w:rsidP="00A833B5">
      <w:pPr>
        <w:pStyle w:val="Vir"/>
      </w:pPr>
      <w:r>
        <w:t>Vir: Ministrstvo za obrambo</w:t>
      </w:r>
    </w:p>
    <w:p w14:paraId="54ECED96" w14:textId="52F736C3" w:rsidR="00EF3E57" w:rsidRDefault="00EF3E57" w:rsidP="00EF3E57">
      <w:pPr>
        <w:pStyle w:val="Naslov2"/>
      </w:pPr>
      <w:r>
        <w:t>Vlada je izdala Občini Šmarje pri Jelšah soglasje za pripravo občinskega podrobnega prostorskega načrta v območju Državnega prostorskega načrta za prenosni plinovod M 2/1</w:t>
      </w:r>
    </w:p>
    <w:p w14:paraId="20636F48" w14:textId="52F236A4" w:rsidR="00EF3E57" w:rsidRDefault="00EF3E57" w:rsidP="00EF3E57">
      <w:r>
        <w:t xml:space="preserve">Vlada Republike Slovenije je izdala Občini Šmarje pri Jelšah soglasje za pripravo občinskega podrobnega prostorskega načrta v območju Državnega prostorskega načrta za prenosni plinovod M 2/1 na odseku med Rogaško Slatino in Trojanami.  </w:t>
      </w:r>
    </w:p>
    <w:p w14:paraId="40EB252F" w14:textId="77777777" w:rsidR="00EF3E57" w:rsidRDefault="00EF3E57" w:rsidP="00EF3E57"/>
    <w:p w14:paraId="21B0E431" w14:textId="77777777" w:rsidR="00EF3E57" w:rsidRDefault="00EF3E57" w:rsidP="00EF3E57">
      <w:r>
        <w:t xml:space="preserve">Namen priprave OPPN je omogočiti pogoje za gradnjo prostostoječe stavbe satelitskega urgentnega </w:t>
      </w:r>
      <w:proofErr w:type="gramStart"/>
      <w:r>
        <w:t>centra</w:t>
      </w:r>
      <w:proofErr w:type="gramEnd"/>
      <w:r>
        <w:t xml:space="preserve"> in garažnega objekta s pripadajočimi komunalnimi priključki, prometno ureditvijo in manipulativnimi površinami. Na preostalih površinah se predvidi gradnja skladiščnih, poslovnih in storitvenih objektov s pripadajočo infrastrukturo.</w:t>
      </w:r>
    </w:p>
    <w:p w14:paraId="1138DA72" w14:textId="77777777" w:rsidR="00EF3E57" w:rsidRDefault="00EF3E57" w:rsidP="00EF3E57"/>
    <w:p w14:paraId="1A2EE6C6" w14:textId="17FE48BB" w:rsidR="00EF3E57" w:rsidRDefault="00EF3E57" w:rsidP="00EF3E57">
      <w:r>
        <w:t>Občina Šmarje pri Jelšah po sprejemu občinskega podrobnega prostorskega načrta iz prejšnje točke pošlje izvod tega akta Vladi Republike Slovenije.</w:t>
      </w:r>
    </w:p>
    <w:p w14:paraId="54A46436" w14:textId="39EA6DCE" w:rsidR="008B1D72" w:rsidRDefault="00EF3E57" w:rsidP="00EF3E57">
      <w:pPr>
        <w:pStyle w:val="Vir"/>
      </w:pPr>
      <w:r w:rsidRPr="00EF3E57">
        <w:t>Vir: Ministrstvo za naravne vire in prostor</w:t>
      </w:r>
    </w:p>
    <w:p w14:paraId="7DFCA5C3" w14:textId="71ABE428" w:rsidR="002C2931" w:rsidRDefault="002C2931" w:rsidP="002C2931">
      <w:pPr>
        <w:pStyle w:val="Naslov2"/>
      </w:pPr>
      <w:r>
        <w:t>Odgovor na poizvedbo Varuha človekovih pravic glede sistemske ureditve financiranja razvoja slovenskega znakovnega jezika</w:t>
      </w:r>
    </w:p>
    <w:p w14:paraId="495781C3" w14:textId="0ECC854E" w:rsidR="002C2931" w:rsidRDefault="002C2931" w:rsidP="002C2931">
      <w:r>
        <w:t>Vlada je sprejela Odgovor na poizvedbo Varuha človekovih pravic glede sistemske ureditve financiranja razvoja slovenskega znakovnega jezika.</w:t>
      </w:r>
    </w:p>
    <w:p w14:paraId="3D19E929" w14:textId="77777777" w:rsidR="002C2931" w:rsidRDefault="002C2931" w:rsidP="002C2931"/>
    <w:p w14:paraId="2612A323" w14:textId="77777777" w:rsidR="002C2931" w:rsidRDefault="002C2931" w:rsidP="002C2931">
      <w:r>
        <w:t xml:space="preserve">Vlada pojasnjuje, da določba </w:t>
      </w:r>
      <w:proofErr w:type="spellStart"/>
      <w:r>
        <w:t>62.a</w:t>
      </w:r>
      <w:proofErr w:type="spellEnd"/>
      <w:r>
        <w:t xml:space="preserve"> člena Ustave Republike Slovenije določa, da sta zagotovljena svobodna uporaba in razvoj slovenskega znakovnega jezika. S tem se zagotavljajo ustavnopravne podlage za ustrezne ukrepe, s katerim bo uporabnikom znakovnega jezika dejansko omogočeno polno uveljavljanje človekovih pravic in temeljnih svoboščin.</w:t>
      </w:r>
    </w:p>
    <w:p w14:paraId="34093601" w14:textId="77777777" w:rsidR="002C2931" w:rsidRDefault="002C2931" w:rsidP="002C2931"/>
    <w:p w14:paraId="6069985B" w14:textId="77777777" w:rsidR="002C2931" w:rsidRDefault="002C2931" w:rsidP="002C2931">
      <w:r>
        <w:lastRenderedPageBreak/>
        <w:t xml:space="preserve">Na tem področju že od leta 2002 velja Zakon o uporabi slovenskega znakovnega jezika </w:t>
      </w:r>
      <w:proofErr w:type="gramStart"/>
      <w:r>
        <w:t xml:space="preserve">( </w:t>
      </w:r>
      <w:proofErr w:type="gramEnd"/>
      <w:r>
        <w:t>ZUSZJ). Na podlagi tega zakona je gluhim omogočen dostop do tolmačev slovenskega znakovnega jezika tako pred državnimi institucijami kot po lastni presoji. ZUSZJ v 15. členu določa, da Združenje tolmačev za slovenski znakovni jezik opravlja naslednje naloge:</w:t>
      </w:r>
    </w:p>
    <w:p w14:paraId="6A8D9513" w14:textId="77777777" w:rsidR="002C2931" w:rsidRDefault="002C2931" w:rsidP="002C2931"/>
    <w:p w14:paraId="4E06CCA6" w14:textId="31113301" w:rsidR="002C2931" w:rsidRDefault="002C2931" w:rsidP="002C2931">
      <w:pPr>
        <w:pStyle w:val="Odstavekseznama"/>
        <w:numPr>
          <w:ilvl w:val="0"/>
          <w:numId w:val="13"/>
        </w:numPr>
      </w:pPr>
      <w:r>
        <w:t>vodi listo tolmačev za znakovni jezik,</w:t>
      </w:r>
    </w:p>
    <w:p w14:paraId="3E917183" w14:textId="77777777" w:rsidR="002C2931" w:rsidRDefault="002C2931" w:rsidP="002C2931">
      <w:pPr>
        <w:pStyle w:val="Odstavekseznama"/>
        <w:numPr>
          <w:ilvl w:val="0"/>
          <w:numId w:val="13"/>
        </w:numPr>
      </w:pPr>
      <w:r>
        <w:t>predlaga tarifo za plačilo stroškov tolmača,</w:t>
      </w:r>
    </w:p>
    <w:p w14:paraId="0F7182CE" w14:textId="6C35728F" w:rsidR="002C2931" w:rsidRDefault="002C2931" w:rsidP="002C2931">
      <w:pPr>
        <w:pStyle w:val="Odstavekseznama"/>
        <w:numPr>
          <w:ilvl w:val="0"/>
          <w:numId w:val="13"/>
        </w:numPr>
      </w:pPr>
      <w:r>
        <w:t>zagotavlja pokrivanje potreb po tolmačih na ozemlju celotne države,</w:t>
      </w:r>
    </w:p>
    <w:p w14:paraId="10B3C486" w14:textId="624088E0" w:rsidR="002C2931" w:rsidRDefault="002C2931" w:rsidP="002C2931">
      <w:pPr>
        <w:pStyle w:val="Odstavekseznama"/>
        <w:numPr>
          <w:ilvl w:val="0"/>
          <w:numId w:val="13"/>
        </w:numPr>
      </w:pPr>
      <w:r>
        <w:t>sodeluje v strokovnih komisijah iz 20. člena tega zakona,</w:t>
      </w:r>
    </w:p>
    <w:p w14:paraId="5B86F82F" w14:textId="1FD02EC8" w:rsidR="002C2931" w:rsidRDefault="002C2931" w:rsidP="002C2931">
      <w:pPr>
        <w:pStyle w:val="Odstavekseznama"/>
        <w:numPr>
          <w:ilvl w:val="0"/>
          <w:numId w:val="13"/>
        </w:numPr>
      </w:pPr>
      <w:r>
        <w:t>razvija slovenski znakovni jezik,</w:t>
      </w:r>
    </w:p>
    <w:p w14:paraId="63EC030E" w14:textId="2FF24528" w:rsidR="002C2931" w:rsidRDefault="002C2931" w:rsidP="002C2931">
      <w:pPr>
        <w:pStyle w:val="Odstavekseznama"/>
        <w:numPr>
          <w:ilvl w:val="0"/>
          <w:numId w:val="13"/>
        </w:numPr>
      </w:pPr>
      <w:r>
        <w:t>sodeluje v svetu za slovenski znakovni jezik,</w:t>
      </w:r>
    </w:p>
    <w:p w14:paraId="703E2413" w14:textId="79AC000C" w:rsidR="002C2931" w:rsidRDefault="002C2931" w:rsidP="002C2931">
      <w:pPr>
        <w:pStyle w:val="Odstavekseznama"/>
        <w:numPr>
          <w:ilvl w:val="0"/>
          <w:numId w:val="13"/>
        </w:numPr>
      </w:pPr>
      <w:r>
        <w:t>koordinira delo tolmačev,</w:t>
      </w:r>
    </w:p>
    <w:p w14:paraId="1AFACDA3" w14:textId="2E6E7D2A" w:rsidR="002C2931" w:rsidRDefault="002C2931" w:rsidP="002C2931">
      <w:pPr>
        <w:pStyle w:val="Odstavekseznama"/>
        <w:numPr>
          <w:ilvl w:val="0"/>
          <w:numId w:val="13"/>
        </w:numPr>
      </w:pPr>
      <w:r>
        <w:t>vodi evidenco storitev,</w:t>
      </w:r>
    </w:p>
    <w:p w14:paraId="22AFACE0" w14:textId="7175B19C" w:rsidR="002C2931" w:rsidRDefault="002C2931" w:rsidP="002C2931">
      <w:pPr>
        <w:pStyle w:val="Odstavekseznama"/>
        <w:numPr>
          <w:ilvl w:val="0"/>
          <w:numId w:val="13"/>
        </w:numPr>
      </w:pPr>
      <w:r>
        <w:t>sprejme pravilnik o disciplinski odgovornosti in rešuje ugovore iz 16. člena tega zakona in</w:t>
      </w:r>
    </w:p>
    <w:p w14:paraId="4887CBDD" w14:textId="59D482B8" w:rsidR="002C2931" w:rsidRDefault="002C2931" w:rsidP="002C2931">
      <w:pPr>
        <w:pStyle w:val="Odstavekseznama"/>
        <w:numPr>
          <w:ilvl w:val="0"/>
          <w:numId w:val="13"/>
        </w:numPr>
      </w:pPr>
      <w:r>
        <w:t>po potrebi izvaja tudi druge naloge.</w:t>
      </w:r>
    </w:p>
    <w:p w14:paraId="1CA4C9DC" w14:textId="77777777" w:rsidR="002C2931" w:rsidRDefault="002C2931" w:rsidP="002C2931"/>
    <w:p w14:paraId="78E0B7F6" w14:textId="77777777" w:rsidR="002C2931" w:rsidRDefault="002C2931" w:rsidP="002C2931">
      <w:r>
        <w:t>Naloge iz 1., 2., 3., 6., 8. in 9. točke prejšnjega odstavka izvaja Združenje tolmačev za slovenski znakovni jezik kot javna pooblastila. Za izvajanje javnih pooblastil se zagotavljajo sredstva v proračunu Republike Slovenije in se izvajalcu nakazujejo na podlagi vsakoletne pogodbe.</w:t>
      </w:r>
    </w:p>
    <w:p w14:paraId="5FFE5DAA" w14:textId="77777777" w:rsidR="002C2931" w:rsidRDefault="002C2931" w:rsidP="002C2931">
      <w:r>
        <w:t xml:space="preserve">Na podlagi Zakona o izenačevanju možnosti invalidov so gluhi in naglušni upravičeni do tehničnih pripomočkov, ki jih potrebujejo v življenju za premostitev komunikacijskih ovir pri omogočanju varnega in samostojnega življenja ter jih uporabljajo za dostopnost do informacij, sporazumevanje in prilagoditev življenjskega okolja. Osebam z okvaro sluha je namenjen tudi klicni </w:t>
      </w:r>
      <w:proofErr w:type="gramStart"/>
      <w:r>
        <w:t>center</w:t>
      </w:r>
      <w:proofErr w:type="gramEnd"/>
      <w:r>
        <w:t xml:space="preserve">, ki jim omogoča komuniciranje in pridobivanje informacij v njim prilagojenih tehnikah s področja državnih institucij ter javnih storitev. MDDSZ redno sofinancira delovanje Zavoda Združenje tolmačev za slovenski znakovni jezik ter financira delovanje klicnega </w:t>
      </w:r>
      <w:proofErr w:type="gramStart"/>
      <w:r>
        <w:t>centra</w:t>
      </w:r>
      <w:proofErr w:type="gramEnd"/>
      <w:r>
        <w:t xml:space="preserve"> za osebe z okvaro sluha.</w:t>
      </w:r>
    </w:p>
    <w:p w14:paraId="3C5C21FE" w14:textId="220CDD17" w:rsidR="002C2931" w:rsidRDefault="002C2931" w:rsidP="002C2931">
      <w:r>
        <w:t xml:space="preserve">MDDSZ je v letu 2024 za financiranje vavčerjev za uveljavljanje tolmačev za slovenski znakovni jezik, ki jih gluhi koristijo po lastni presoji namenilo približno 1.200.000,00 evrov (v letu 2025 do 30. junija, 748.427,27 evra), za financiranje izvajanja javnih pooblastil Zavoda Združenje tolmačev za slovenski znakovni jezik 126.500,00 evra, za financiranje Klicnega </w:t>
      </w:r>
      <w:proofErr w:type="gramStart"/>
      <w:r>
        <w:t>centra</w:t>
      </w:r>
      <w:proofErr w:type="gramEnd"/>
      <w:r>
        <w:t xml:space="preserve"> za osebe z okvaro sluha pa 128.246,00 evra. Glede tehničnih pripomočkov za premagovanje komunikacijskih ovir je MDDSZ v letu 2025 sofinanciralo nakup 692 tehničnih pripomočkov za gluhe in/ali gluhoslepe.  </w:t>
      </w:r>
    </w:p>
    <w:p w14:paraId="3590E1F2" w14:textId="77777777" w:rsidR="002C2931" w:rsidRDefault="002C2931" w:rsidP="002C2931"/>
    <w:p w14:paraId="41A55D35" w14:textId="1238BE22" w:rsidR="008B1D72" w:rsidRDefault="002C2931" w:rsidP="002C2931">
      <w:r>
        <w:t>Ministrstvo za kulturo s finančno podporo projektom s svojega področja skrbi za uveljavljanje, promocijo in razvoj slovenskega jezika ter uresničevanje državnega programa za jezikovno politiko. Poleg projektov za izboljšanje besedilne spretnosti in bralne pismenosti govorcev slovenščine financirajo tudi projekte, ki so namenjeni izboljšanju jezikovnih kompetenc govorcev s posebnimi potrebami, npr. slepih in slabovidnih, gluhih in naglušnih, gluhoslepih ter oseb z motnjami v duševnem razvoju.</w:t>
      </w:r>
    </w:p>
    <w:p w14:paraId="765CF56F" w14:textId="74CDA000" w:rsidR="002C2931" w:rsidRDefault="002C2931" w:rsidP="002C2931">
      <w:pPr>
        <w:pStyle w:val="Vir"/>
      </w:pPr>
      <w:r w:rsidRPr="002C2931">
        <w:t>Vir: Ministrstvo za delo, družino, socialne zadeve in enake možnosti</w:t>
      </w:r>
    </w:p>
    <w:p w14:paraId="0D5B9615" w14:textId="3F36490B" w:rsidR="008B1D72" w:rsidRDefault="006B43C8" w:rsidP="006B43C8">
      <w:pPr>
        <w:pStyle w:val="Naslov2"/>
      </w:pPr>
      <w:r>
        <w:t>U</w:t>
      </w:r>
      <w:r w:rsidR="008B1D72">
        <w:t xml:space="preserve">vrstitve projekta Povečava Letalnice - NC Planica 2025/2027 v veljavni Načrt razvojnih programov </w:t>
      </w:r>
    </w:p>
    <w:p w14:paraId="6D4F1D87" w14:textId="08B5693E" w:rsidR="006B43C8" w:rsidRDefault="006B43C8" w:rsidP="006B43C8">
      <w:r>
        <w:t>Vlada je sprejela sklep, da se v veljavni Načrt razvojnih programov 2025–2028 uvrsti nov projekt – Povečava Letalnice - NC Planica 2025/2027.</w:t>
      </w:r>
    </w:p>
    <w:p w14:paraId="0F2CB497" w14:textId="77777777" w:rsidR="006B43C8" w:rsidRDefault="006B43C8" w:rsidP="006B43C8"/>
    <w:p w14:paraId="4118B1BD" w14:textId="77777777" w:rsidR="006B43C8" w:rsidRDefault="006B43C8" w:rsidP="006B43C8">
      <w:r>
        <w:t>Namen projekta je celovito ohraniti in nadgraditi vlogo Planice kot vodilne svetovne lokacije za</w:t>
      </w:r>
    </w:p>
    <w:p w14:paraId="6B6771EE" w14:textId="77777777" w:rsidR="006B43C8" w:rsidRDefault="006B43C8" w:rsidP="006B43C8">
      <w:proofErr w:type="gramStart"/>
      <w:r>
        <w:t>smučarske</w:t>
      </w:r>
      <w:proofErr w:type="gramEnd"/>
      <w:r>
        <w:t xml:space="preserve"> polete. Z novimi tehničnimi standardi in povečano možnostjo doseganja daljših poletov se pojavlja potreba po prilagoditvi samega profila letalnice, vendar pa je za dosego celovitih in trajnostnih učinkov prav tako ključna posodobitev več infrastrukturnih elementov, ki neposredno vplivajo na varnost, uporabnost, tehnično zanesljivost in podobo letalnice. </w:t>
      </w:r>
    </w:p>
    <w:p w14:paraId="7A8AA23B" w14:textId="77777777" w:rsidR="006B43C8" w:rsidRDefault="006B43C8" w:rsidP="006B43C8"/>
    <w:p w14:paraId="337EAB7E" w14:textId="77777777" w:rsidR="006B43C8" w:rsidRDefault="006B43C8" w:rsidP="006B43C8">
      <w:r>
        <w:t xml:space="preserve">Cilji projekta so izvedba rekonstrukcije profila letalnice z geodetsko </w:t>
      </w:r>
      <w:proofErr w:type="gramStart"/>
      <w:r>
        <w:t>preverjenimi</w:t>
      </w:r>
      <w:proofErr w:type="gramEnd"/>
      <w:r>
        <w:t xml:space="preserve"> tolerancami, manjšimi od desetih centimetrov, rekonstrukcija skakalnega profila za večjo varnost in aerodinamično učinkovitost, nadgradnja sistema zasneževanja, menjava vsaj 80 odstotkov varnostnih ograj in zaščit, celovita utrditev hrbtišča letalnice in menjava oziroma posodobitev celotne vetrne zaščite.</w:t>
      </w:r>
    </w:p>
    <w:p w14:paraId="1D85D692" w14:textId="77777777" w:rsidR="006B43C8" w:rsidRDefault="006B43C8" w:rsidP="006B43C8"/>
    <w:p w14:paraId="328551B1" w14:textId="77777777" w:rsidR="006B43C8" w:rsidRDefault="006B43C8" w:rsidP="006B43C8">
      <w:r>
        <w:t xml:space="preserve">Vrednost projekta, ki se bo zaključil do 30. novembra 2027, znaša 2.688.500,00 </w:t>
      </w:r>
      <w:proofErr w:type="gramStart"/>
      <w:r>
        <w:t>evrov</w:t>
      </w:r>
      <w:proofErr w:type="gramEnd"/>
      <w:r>
        <w:t xml:space="preserve">. Sredstva bo zagotovilo Ministrstvo za gospodarstvo, turizem in šport, in sicer 50.000,00 </w:t>
      </w:r>
      <w:proofErr w:type="gramStart"/>
      <w:r>
        <w:t>evrov v letu 2025</w:t>
      </w:r>
      <w:proofErr w:type="gramEnd"/>
      <w:r>
        <w:t>, 111.000,00 evrov v letu 2026 in 2.527.500 evrov v letu 2027.</w:t>
      </w:r>
    </w:p>
    <w:p w14:paraId="3F9BC50C" w14:textId="77777777" w:rsidR="006B43C8" w:rsidRDefault="006B43C8" w:rsidP="006B43C8"/>
    <w:p w14:paraId="55E33DB7" w14:textId="77777777" w:rsidR="006B43C8" w:rsidRDefault="006B43C8" w:rsidP="006B43C8">
      <w:r>
        <w:t xml:space="preserve">Za navedeno </w:t>
      </w:r>
      <w:proofErr w:type="gramStart"/>
      <w:r>
        <w:t>investicijo</w:t>
      </w:r>
      <w:proofErr w:type="gramEnd"/>
      <w:r>
        <w:t xml:space="preserve"> ima Zavod za šport Republike Slovenije Planica izdelano investicijsko dokumentacijo, ki je skladna z Uredbo o enotni metodologiji za pripravo investicijske dokumentacije na področju javnih financ ter podpisane in žigosane sklepe o potrditvi investicijske dokumentacije s strani odgovornega organa oziroma osebe.</w:t>
      </w:r>
    </w:p>
    <w:p w14:paraId="3DABD29E" w14:textId="2CF68768" w:rsidR="006B43C8" w:rsidRDefault="006B43C8" w:rsidP="006B43C8">
      <w:pPr>
        <w:pStyle w:val="Vir"/>
      </w:pPr>
      <w:r>
        <w:t>Vir: Ministrstvo za gospodarstvo, turizem in šport</w:t>
      </w:r>
    </w:p>
    <w:p w14:paraId="7F9CFF62" w14:textId="6B34CD52" w:rsidR="0042686B" w:rsidRPr="0042686B" w:rsidRDefault="0042686B" w:rsidP="0042686B">
      <w:pPr>
        <w:pStyle w:val="Naslov2"/>
        <w:rPr>
          <w:rStyle w:val="Naslov2Znak"/>
        </w:rPr>
      </w:pPr>
      <w:r>
        <w:t xml:space="preserve">V Načrt razvojnih programov uvrščenih 16 projektov za nadomestilo posrednih stroškov zaradi </w:t>
      </w:r>
      <w:r w:rsidRPr="0042686B">
        <w:rPr>
          <w:rStyle w:val="Naslov2Znak"/>
        </w:rPr>
        <w:t>emisij toplogrednih plinov</w:t>
      </w:r>
    </w:p>
    <w:p w14:paraId="69DB701A" w14:textId="77777777" w:rsidR="0042686B" w:rsidRDefault="0042686B" w:rsidP="0042686B">
      <w:r>
        <w:t>Vlada je v veljavni Načrt razvojnih programov 2025–2028 uvrstila 16 projektov za dodelitev nadomestil za kritje posrednih stroškov zaradi emisij toplogrednih plinov v skupni višini 25.236.298,21 evra.</w:t>
      </w:r>
    </w:p>
    <w:p w14:paraId="226892E1" w14:textId="77777777" w:rsidR="0042686B" w:rsidRDefault="0042686B" w:rsidP="0042686B"/>
    <w:p w14:paraId="20D777C4" w14:textId="77777777" w:rsidR="0042686B" w:rsidRDefault="0042686B" w:rsidP="0042686B">
      <w:r>
        <w:t>Gre za pomoč energetsko intenzivnim podjetjem, ki so zaradi vključitve stroškov emisij v cene električne energije izpostavljena tveganju premestitve emisij CO</w:t>
      </w:r>
      <w:r>
        <w:rPr>
          <w:rFonts w:ascii="Cambria Math" w:hAnsi="Cambria Math" w:cs="Cambria Math"/>
        </w:rPr>
        <w:t>₂</w:t>
      </w:r>
      <w:r>
        <w:t xml:space="preserve"> v dr</w:t>
      </w:r>
      <w:r>
        <w:rPr>
          <w:rFonts w:cs="Arial"/>
        </w:rPr>
        <w:t>ž</w:t>
      </w:r>
      <w:r>
        <w:t>ave z ni</w:t>
      </w:r>
      <w:r>
        <w:rPr>
          <w:rFonts w:cs="Arial"/>
        </w:rPr>
        <w:t>ž</w:t>
      </w:r>
      <w:r>
        <w:t xml:space="preserve">jimi </w:t>
      </w:r>
      <w:proofErr w:type="gramStart"/>
      <w:r>
        <w:t>okoljskimi</w:t>
      </w:r>
      <w:proofErr w:type="gramEnd"/>
      <w:r>
        <w:t xml:space="preserve"> standardi.</w:t>
      </w:r>
    </w:p>
    <w:p w14:paraId="051A4C42" w14:textId="77777777" w:rsidR="0042686B" w:rsidRDefault="0042686B" w:rsidP="0042686B"/>
    <w:p w14:paraId="5CEC4057" w14:textId="77777777" w:rsidR="0042686B" w:rsidRDefault="0042686B" w:rsidP="0042686B">
      <w:r>
        <w:t>Sredstva so namenjena pokrivanju dejansko nastalih posrednih stroškov v letu 2024, ki izhajajo iz višjih cen električne energije v okviru sistema EU za trgovanje s pravicami do emisij (ETS).</w:t>
      </w:r>
    </w:p>
    <w:p w14:paraId="6E6D2491" w14:textId="77777777" w:rsidR="0042686B" w:rsidRDefault="0042686B" w:rsidP="0042686B"/>
    <w:p w14:paraId="6C20BC25" w14:textId="77777777" w:rsidR="0042686B" w:rsidRDefault="0042686B" w:rsidP="0042686B">
      <w:r>
        <w:t>Upravičenci bodo prejeta sredstva morali v dveh letih porabiti za naložbe v obnovljive vire energije, izboljšanje energetske učinkovitosti ali zmanjšanje emisij toplogrednih plinov.</w:t>
      </w:r>
    </w:p>
    <w:p w14:paraId="3EDEBFD1" w14:textId="77777777" w:rsidR="0042686B" w:rsidRDefault="0042686B" w:rsidP="0042686B"/>
    <w:p w14:paraId="02718FD1" w14:textId="15AAB16A" w:rsidR="0042686B" w:rsidRDefault="0042686B" w:rsidP="0042686B">
      <w:r>
        <w:t xml:space="preserve">Nadomestila bodo prejela naslednja podjetja: Belinka, Cinkarna Celje, Goričane, Livarna Gorica, MM Količevo, Paloma, Papirnica Vevče, SIJ Acroni, SIJ </w:t>
      </w:r>
      <w:proofErr w:type="gramStart"/>
      <w:r>
        <w:t>Metal</w:t>
      </w:r>
      <w:proofErr w:type="gramEnd"/>
      <w:r>
        <w:t xml:space="preserve"> Ravne, Štore Steel, Talum, TKI Hrastnik, URSA Slovenija, Valji, Vipap Videm Krško in Livarna Titan.</w:t>
      </w:r>
    </w:p>
    <w:p w14:paraId="4D8485EE" w14:textId="59A70510" w:rsidR="008B1D72" w:rsidRDefault="0042686B" w:rsidP="0042686B">
      <w:pPr>
        <w:pStyle w:val="Vir"/>
      </w:pPr>
      <w:r>
        <w:t>Vir: Ministrstvo za okolje, podnebje in energijo</w:t>
      </w:r>
    </w:p>
    <w:p w14:paraId="3AE050AE" w14:textId="3BB40616" w:rsidR="00C66ABA" w:rsidRDefault="00C66ABA" w:rsidP="00C66ABA">
      <w:pPr>
        <w:pStyle w:val="Naslov2"/>
      </w:pPr>
      <w:r>
        <w:t>Vlada je v načrt razvojnih programov 2025–2028 uvrstila izgradnjo novih prostorov izpostave Uprave RS za zaščito in reševanje v Novi Gorici</w:t>
      </w:r>
    </w:p>
    <w:p w14:paraId="425C46BE" w14:textId="71CE299E" w:rsidR="00C66ABA" w:rsidRDefault="00C66ABA" w:rsidP="00C66ABA">
      <w:r>
        <w:t xml:space="preserve">Za potrebe Izpostave Uprave Republike Slovenije za zaščito in reševanje Nova Gorica (IURSZR) in drugih organov Ministrstva za obrambo ter služb in reševalnih sestavov, ki delujejo na področju zaščite, reševanja in pomoči, je namen </w:t>
      </w:r>
      <w:proofErr w:type="gramStart"/>
      <w:r>
        <w:t>investicije</w:t>
      </w:r>
      <w:proofErr w:type="gramEnd"/>
      <w:r>
        <w:t xml:space="preserve"> nakup stavb in zemljišč na območju nekdanje tovarne MIP, d. d. </w:t>
      </w:r>
    </w:p>
    <w:p w14:paraId="6912C282" w14:textId="77777777" w:rsidR="00C66ABA" w:rsidRDefault="00C66ABA" w:rsidP="00C66ABA"/>
    <w:p w14:paraId="0FBCED1D" w14:textId="77777777" w:rsidR="00C66ABA" w:rsidRDefault="00C66ABA" w:rsidP="00C66ABA">
      <w:r>
        <w:t xml:space="preserve">Namen celotne </w:t>
      </w:r>
      <w:proofErr w:type="gramStart"/>
      <w:r>
        <w:t>investicije</w:t>
      </w:r>
      <w:proofErr w:type="gramEnd"/>
      <w:r>
        <w:t xml:space="preserve"> je celovita rešitev prostorske stiske IURSZR Nova Gorica in Državne enote za varstvo pred neeksplodiranimi ubojnimi sredstvi ter združevanje vseh organov Ministrstva za obrambo, ki delujejo na območju Nove Gorice, na eno skupno lokacijo. </w:t>
      </w:r>
    </w:p>
    <w:p w14:paraId="5DE13CFD" w14:textId="77777777" w:rsidR="00C66ABA" w:rsidRDefault="00C66ABA" w:rsidP="00C66ABA"/>
    <w:p w14:paraId="24ED8C61" w14:textId="45F416D7" w:rsidR="00C66ABA" w:rsidRDefault="00C66ABA" w:rsidP="00C66ABA">
      <w:proofErr w:type="gramStart"/>
      <w:r>
        <w:t>Investicija</w:t>
      </w:r>
      <w:proofErr w:type="gramEnd"/>
      <w:r>
        <w:t xml:space="preserve"> obsega nakup stavb in zemljišč od D.S.U., družba za svetovanje in upravljanje, d. o. o. ter adaptacijo kupljenih stavb. </w:t>
      </w:r>
    </w:p>
    <w:p w14:paraId="482F303E" w14:textId="77777777" w:rsidR="00C66ABA" w:rsidRDefault="00C66ABA" w:rsidP="00C66ABA"/>
    <w:p w14:paraId="555A8D8B" w14:textId="77777777" w:rsidR="00C66ABA" w:rsidRDefault="00C66ABA" w:rsidP="00C66ABA">
      <w:r>
        <w:t xml:space="preserve">Ocenjena izhodiščna vrednost projekta znaša 4.804.967,19 evra z DDV. Sredstva za izvedbo </w:t>
      </w:r>
      <w:proofErr w:type="gramStart"/>
      <w:r>
        <w:t>investicije</w:t>
      </w:r>
      <w:proofErr w:type="gramEnd"/>
      <w:r>
        <w:t xml:space="preserve"> bodo zagotovljena v okviru finančnega načrta Ministrstva za obrambo. </w:t>
      </w:r>
    </w:p>
    <w:p w14:paraId="1E79720B" w14:textId="0DF4F13B" w:rsidR="008B1D72" w:rsidRDefault="00C66ABA" w:rsidP="00C66ABA">
      <w:pPr>
        <w:pStyle w:val="Vir"/>
      </w:pPr>
      <w:r>
        <w:t>Vir: Ministrstvo za obrambo</w:t>
      </w:r>
    </w:p>
    <w:p w14:paraId="60591EA1" w14:textId="33956925" w:rsidR="00580761" w:rsidRDefault="00580761" w:rsidP="00580761">
      <w:pPr>
        <w:pStyle w:val="Naslov2"/>
      </w:pPr>
      <w:r>
        <w:t>Slovenija lani z najnižjim javnim dolgom v deležu bruto domačega proizvoda po letu 2019</w:t>
      </w:r>
    </w:p>
    <w:p w14:paraId="4CFE4BEC" w14:textId="77777777" w:rsidR="00580761" w:rsidRDefault="00580761" w:rsidP="00580761">
      <w:r>
        <w:t xml:space="preserve">Vlada je danes sprejela poročilo o upravljanju z javnim dolgom Slovenije za leto 2024. Ta je konec lanskega leta znašal 66,6 odstotka bruto domačega proizvoda (BDP) in se je glede na leto 2023 znižal za 1,7 odstotne točke. Gre za najnižji delež od leta 2019, ko je javni dolg znašal 66 odstotkov BDP, ter drugo najnižje stanje dolga v razmerju do BDP po letu 2012. Dolg, izražen v deležu BDP, je relevanten </w:t>
      </w:r>
      <w:proofErr w:type="gramStart"/>
      <w:r>
        <w:t>kriterij</w:t>
      </w:r>
      <w:proofErr w:type="gramEnd"/>
      <w:r>
        <w:t xml:space="preserve"> zadolženosti sektorja države v mednarodnem merilu.    </w:t>
      </w:r>
    </w:p>
    <w:p w14:paraId="52B373E0" w14:textId="77777777" w:rsidR="00580761" w:rsidRDefault="00580761" w:rsidP="00580761"/>
    <w:p w14:paraId="49713BBB" w14:textId="77777777" w:rsidR="00580761" w:rsidRDefault="00580761" w:rsidP="00580761">
      <w:r>
        <w:t>Dolg sektorja država je konec leta 2024 znašal približno 44,9 milijarde evrov oziroma 66,6 odstotka BDP. Največji delež, to je 94 odstotkov, je odpadel na dolg državnega proračuna. Ta je konec leta 2024 znašal 41,2 milijarde evrov, obresti na dolg državnega proračuna pa so lani znašale 757 milijonov evrov oziroma 1,1 odstotka BDP.</w:t>
      </w:r>
    </w:p>
    <w:p w14:paraId="180D493B" w14:textId="77777777" w:rsidR="00580761" w:rsidRDefault="00580761" w:rsidP="00580761"/>
    <w:p w14:paraId="50BF1D2C" w14:textId="77777777" w:rsidR="00580761" w:rsidRDefault="00580761" w:rsidP="00580761">
      <w:r>
        <w:t xml:space="preserve">Slovenija se lahko skladno z Zakonom o javnih financah v posameznem letu zadolži za potrebe izvrševanja državnega proračuna in odplačila dolga v tekočem proračunskem letu, hkrati pa tudi za potrebe odplačila dolga, ki zapade v plačilo v prihodnjih dveh proračunskih letih. </w:t>
      </w:r>
    </w:p>
    <w:p w14:paraId="4ECEF86D" w14:textId="77777777" w:rsidR="00580761" w:rsidRDefault="00580761" w:rsidP="00580761"/>
    <w:p w14:paraId="751D4676" w14:textId="77777777" w:rsidR="00580761" w:rsidRDefault="00580761" w:rsidP="00580761">
      <w:r>
        <w:t xml:space="preserve">Ustrezno visoka likvidnostna </w:t>
      </w:r>
      <w:proofErr w:type="gramStart"/>
      <w:r>
        <w:t>rezerva</w:t>
      </w:r>
      <w:proofErr w:type="gramEnd"/>
      <w:r>
        <w:t xml:space="preserve"> državnega proračuna oziroma stanje enotnega zakladniškega računa države prispeva k nižjemu deležu neto dolga sektorja država oziroma ga zniža pod 60 odstotkov BDP. </w:t>
      </w:r>
    </w:p>
    <w:p w14:paraId="7F250709" w14:textId="77777777" w:rsidR="00580761" w:rsidRDefault="00580761" w:rsidP="00580761"/>
    <w:p w14:paraId="4A8BF34F" w14:textId="77777777" w:rsidR="00580761" w:rsidRDefault="00580761" w:rsidP="00580761">
      <w:r>
        <w:t xml:space="preserve">V državah Evropske unije in evrskega območja se je dolg sektorja država lani glede na leto 2023 povišal – v Uniji z 80,8 odstotka BDP v letu 2023 na 81 odstotkov BDP v letu 2024, v območju skupne evropske </w:t>
      </w:r>
      <w:proofErr w:type="gramStart"/>
      <w:r>
        <w:t>valute</w:t>
      </w:r>
      <w:proofErr w:type="gramEnd"/>
      <w:r>
        <w:t xml:space="preserve"> pa s 87,3 odstotka BDP na 87,4 odstotka BDP.</w:t>
      </w:r>
    </w:p>
    <w:p w14:paraId="7601EE18" w14:textId="77777777" w:rsidR="00580761" w:rsidRDefault="00580761" w:rsidP="00580761"/>
    <w:p w14:paraId="43180B1A" w14:textId="77777777" w:rsidR="00580761" w:rsidRDefault="00580761" w:rsidP="00580761">
      <w:r>
        <w:t xml:space="preserve">V obdobju 2022-2024 je Slovenija zabeležila šesto najhitrejše znižanje razmerja med javnim dolgom in BDP v Evropski uniji. Od leta 2022 se je namreč znižalo za 6,2 odstotne točke BDP, v povprečju Evropske unije in evrskega območja pa denimo le za 1,5 oziroma 2,1 odstotne točke. </w:t>
      </w:r>
    </w:p>
    <w:p w14:paraId="0C6EAC01" w14:textId="77777777" w:rsidR="00580761" w:rsidRDefault="00580761" w:rsidP="00580761"/>
    <w:p w14:paraId="0CC967C0" w14:textId="77777777" w:rsidR="00580761" w:rsidRDefault="00580761" w:rsidP="00580761">
      <w:r>
        <w:t xml:space="preserve">V obdobju 2021-2024 pa je bila Slovenija v zgornji tretjini držav z največjim znižanjem razmerja med javnim dolgom in BDP v Evropski uniji. Od leta 2021 se je namreč to za Slovenijo znižalo za 8,2 odstotne točke BDP, v povprečju Unije in evrskega območja pa denimo za 5,8 oziroma 6,5 odstotne točke BDP. </w:t>
      </w:r>
    </w:p>
    <w:p w14:paraId="5B2B69D1" w14:textId="259DEBDF" w:rsidR="008B1D72" w:rsidRDefault="00580761" w:rsidP="00580761">
      <w:pPr>
        <w:pStyle w:val="Vir"/>
      </w:pPr>
      <w:r>
        <w:t>Vir: Ministrstvo za finance</w:t>
      </w:r>
    </w:p>
    <w:p w14:paraId="68ECEB6B" w14:textId="665B0603" w:rsidR="002E5564" w:rsidRDefault="002E5564" w:rsidP="002E5564">
      <w:pPr>
        <w:pStyle w:val="Naslov2"/>
      </w:pPr>
      <w:r>
        <w:t>Poročilo o opravljenih postopkih inšpekcijskega nadzora nad porabo sredstev državnega proračuna</w:t>
      </w:r>
    </w:p>
    <w:p w14:paraId="5FDAE799" w14:textId="77777777" w:rsidR="002E5564" w:rsidRDefault="002E5564" w:rsidP="002E5564">
      <w:r>
        <w:t>Vlada je na današnji seji sprejela poročilo o opravljenih postopkih inšpekcijskega nadzora nad porabo sredstev državnega proračuna v obdobju od 1. januarja do 30. junija 2025. V tem obdobju je proračunska inšpekcija izvajala 10 nadzorov.</w:t>
      </w:r>
    </w:p>
    <w:p w14:paraId="6BF3B39E" w14:textId="77777777" w:rsidR="002E5564" w:rsidRDefault="002E5564" w:rsidP="002E5564"/>
    <w:p w14:paraId="7F3EA8D5" w14:textId="77777777" w:rsidR="002E5564" w:rsidRDefault="002E5564" w:rsidP="002E5564">
      <w:r>
        <w:t>Večji delež nadzorov se izvaja na podlagi letnega načrta dela, v preostalem delu pa se izvajajo nadzori na podlagi prijav in pobud. Od 43 prejetih prijav je bilo 19 prijav odstopljenih drugim organom ali pa jih je drugim organom že posredoval prijavitelj. Na podlagi 7 prijav je predlagana izvedba inšpekcijskega nadzora, 17 prijav pa je bilo 30. junija 2025 še v obravnavi.</w:t>
      </w:r>
    </w:p>
    <w:p w14:paraId="21DFFE13" w14:textId="77777777" w:rsidR="002E5564" w:rsidRDefault="002E5564" w:rsidP="002E5564"/>
    <w:p w14:paraId="2922DAC6" w14:textId="77777777" w:rsidR="002E5564" w:rsidRDefault="002E5564" w:rsidP="002E5564">
      <w:r>
        <w:t xml:space="preserve">V poročanem obdobju je proračunska inšpekcija izvajala 10 nadzorov, od katerih je bilo pet nadzorov zaključenih. V vseh petih primerih so bile ugotovljene nepravilnosti, znesek nadziranih sredstev pa je znašal 83 milijonov evrov. </w:t>
      </w:r>
    </w:p>
    <w:p w14:paraId="2B87679F" w14:textId="392F966D" w:rsidR="008B1D72" w:rsidRDefault="002E5564" w:rsidP="002E5564">
      <w:pPr>
        <w:pStyle w:val="Vir"/>
      </w:pPr>
      <w:r>
        <w:t>Vir: Ministrstvo za finance</w:t>
      </w:r>
    </w:p>
    <w:p w14:paraId="5D86D48E" w14:textId="126482F4" w:rsidR="009800DC" w:rsidRDefault="009800DC" w:rsidP="009800DC">
      <w:pPr>
        <w:pStyle w:val="Naslov2"/>
      </w:pPr>
      <w:r>
        <w:t>Vlada o revidiranem letnem poročilu Agencije za javni nadzor nad revidiranjem</w:t>
      </w:r>
    </w:p>
    <w:p w14:paraId="18953D41" w14:textId="77777777" w:rsidR="009800DC" w:rsidRDefault="009800DC" w:rsidP="009800DC">
      <w:r>
        <w:t>Vlada se je na današnji seji seznanila z Revidiranim letnim poročilom Agencije za javni nadzor nad revidiranjem za leto 2024.</w:t>
      </w:r>
    </w:p>
    <w:p w14:paraId="445E330C" w14:textId="77777777" w:rsidR="009800DC" w:rsidRDefault="009800DC" w:rsidP="009800DC"/>
    <w:p w14:paraId="305BAF25" w14:textId="77777777" w:rsidR="009800DC" w:rsidRDefault="009800DC" w:rsidP="009800DC">
      <w:r>
        <w:t xml:space="preserve">Revidirano letno poročilo Agencije za javni nadzor nad revidiranjem (AJNR) sestavlja poslovno poročilo, ki vključuje predstavitev ključnih področij dela AJNR in poudarkov opravljenih </w:t>
      </w:r>
      <w:proofErr w:type="gramStart"/>
      <w:r>
        <w:t>aktivnosti</w:t>
      </w:r>
      <w:proofErr w:type="gramEnd"/>
      <w:r>
        <w:t xml:space="preserve"> v letu 2024, poročilo o doseženih ciljih in rezultatih v letu 2024, kadrovsko poročilo, poročilo o realizaciji rebalansa finančnega načrta 2024 ter računovodsko poročilo u mnenjem neodvisnega revizorja. </w:t>
      </w:r>
    </w:p>
    <w:p w14:paraId="485AF1B0" w14:textId="77777777" w:rsidR="009800DC" w:rsidRDefault="009800DC" w:rsidP="009800DC"/>
    <w:p w14:paraId="63F6BF35" w14:textId="77777777" w:rsidR="009800DC" w:rsidRDefault="009800DC" w:rsidP="009800DC">
      <w:r>
        <w:t xml:space="preserve">Kot izhaja iz poročila AJNR, je agencija dosegla vse zastavljene cilje. Med drugim je agencija v letu 2024 </w:t>
      </w:r>
      <w:proofErr w:type="gramStart"/>
      <w:r>
        <w:t>realizirala</w:t>
      </w:r>
      <w:proofErr w:type="gramEnd"/>
      <w:r>
        <w:t xml:space="preserve"> višji presežek prihodkov nad odhodki glede na preteklo leto. </w:t>
      </w:r>
    </w:p>
    <w:p w14:paraId="61D3D36A" w14:textId="0C123F08" w:rsidR="008B1D72" w:rsidRDefault="009800DC" w:rsidP="009800DC">
      <w:pPr>
        <w:pStyle w:val="Vir"/>
      </w:pPr>
      <w:r>
        <w:t>Vir: Ministrstvo za finance</w:t>
      </w:r>
    </w:p>
    <w:p w14:paraId="42920DEB" w14:textId="16C049BA" w:rsidR="00BF598C" w:rsidRDefault="00BF598C" w:rsidP="00BF598C">
      <w:pPr>
        <w:pStyle w:val="Naslov2"/>
      </w:pPr>
      <w:r>
        <w:t>Vlada sprejela soglasje k Letnemu poročilu Agencije za komunikacijska omrežja in storitve Republike Slovenije za leto 2024</w:t>
      </w:r>
    </w:p>
    <w:p w14:paraId="782CC26A" w14:textId="77777777" w:rsidR="00BF598C" w:rsidRDefault="00BF598C" w:rsidP="00BF598C">
      <w:r>
        <w:t>Vlada Republike Slovenije je na današnji seji sprejela soglasje k Letnemu poročilu Agencije za komunikacijska omrežja in storitve Republike Slovenije (AKOS) za leto 2024 ter odločila, da se presežek prihodkov nad odhodki v višini 1.667.749 evrov v celoti upošteva pri oblikovanju tarif v naslednjih letih na področjih, kjer je bil presežek ustvarjen.</w:t>
      </w:r>
    </w:p>
    <w:p w14:paraId="682B58BD" w14:textId="77777777" w:rsidR="00BF598C" w:rsidRDefault="00BF598C" w:rsidP="00BF598C">
      <w:r>
        <w:t>Agencija za komunikacijska omrežja in storitve deluje kot neodvisni regulator, ki ureja in nadzira trg elektronskih komunikacij, radiofrekvenčni spekter, avdiovizualne medijske storitve, poštne storitve ter železniški promet v Sloveniji.</w:t>
      </w:r>
    </w:p>
    <w:p w14:paraId="5FD80CCD" w14:textId="77777777" w:rsidR="00BF598C" w:rsidRDefault="00BF598C" w:rsidP="00BF598C"/>
    <w:p w14:paraId="61F82ACB" w14:textId="4A6A01E8" w:rsidR="00BF598C" w:rsidRDefault="00BF598C" w:rsidP="00BF598C">
      <w:r>
        <w:t>Po oceni Ministrstva za digitalno preobrazbo</w:t>
      </w:r>
      <w:proofErr w:type="gramStart"/>
      <w:r>
        <w:t>,</w:t>
      </w:r>
      <w:proofErr w:type="gramEnd"/>
      <w:r>
        <w:t xml:space="preserve"> je agencija v letu 2024 uspešno izvedla večino načrtovanih aktivnosti ter sledila svojim dolgoročnim ciljem – spodbujanju konkurence in razvoja trgov, zaščiti uporabnikov, učinkoviti rabi omejenih virov ter optimizaciji regulativnih in investicijskih postopkov. Poleg načrtovanih nalog je agencija izvedla tudi dodatne </w:t>
      </w:r>
      <w:proofErr w:type="gramStart"/>
      <w:r>
        <w:t>aktivnosti</w:t>
      </w:r>
      <w:proofErr w:type="gramEnd"/>
      <w:r>
        <w:t>, ki so bile v letu 2024 nujno potrebne za stabilno delovanje trga.</w:t>
      </w:r>
    </w:p>
    <w:p w14:paraId="2AD93969" w14:textId="77777777" w:rsidR="00BF598C" w:rsidRDefault="00BF598C" w:rsidP="00BF598C"/>
    <w:p w14:paraId="088E8950" w14:textId="7E700769" w:rsidR="00BF598C" w:rsidRDefault="00BF598C" w:rsidP="00BF598C">
      <w:r>
        <w:t>Skladno z Zakonom o elektronskih komunikacijah bo vlada Letno poročilo poslala v seznanitev Državnemu zboru Republike Slovenije.</w:t>
      </w:r>
    </w:p>
    <w:p w14:paraId="3D5B36F6" w14:textId="78C00A22" w:rsidR="00BF598C" w:rsidRDefault="00BF598C" w:rsidP="00BF598C">
      <w:pPr>
        <w:pStyle w:val="Vir"/>
      </w:pPr>
      <w:r w:rsidRPr="00BF598C">
        <w:t>Vir: Ministrstvo za digitalno preobrazbo</w:t>
      </w:r>
    </w:p>
    <w:p w14:paraId="62BA8857" w14:textId="5F19794A" w:rsidR="00117C98" w:rsidRDefault="00117C98" w:rsidP="00117C98">
      <w:pPr>
        <w:pStyle w:val="Naslov2"/>
      </w:pPr>
      <w:r>
        <w:t>Mnenje vlade o zahtevi Mestne občine Maribor za oceno ustavnosti nekaterih členov Zakona o financiranju občin</w:t>
      </w:r>
    </w:p>
    <w:p w14:paraId="7FFCD019" w14:textId="77777777" w:rsidR="00117C98" w:rsidRDefault="00117C98" w:rsidP="00117C98">
      <w:r>
        <w:t xml:space="preserve">Vlada Republike Slovenije je sprejela Mnenje o zahtevi Mestne občine Maribor za oceno ustavnosti tretjega odstavka 6. člena in 11. do 14. člena Zakona o financiranju občin ter ga pošlje Državnemu zboru in Ustavnemu sodišču. Vlada meni, da so očitki predlagateljice o </w:t>
      </w:r>
      <w:proofErr w:type="gramStart"/>
      <w:r>
        <w:t>neustreznost</w:t>
      </w:r>
      <w:proofErr w:type="gramEnd"/>
      <w:r>
        <w:t xml:space="preserve"> enačbe za izračun primerne porabe občin neutemeljeni, ter da izpodbijane določbe zakona niso v neskladju z ustavo. </w:t>
      </w:r>
    </w:p>
    <w:p w14:paraId="20C844CC" w14:textId="77777777" w:rsidR="00117C98" w:rsidRDefault="00117C98" w:rsidP="00117C98"/>
    <w:p w14:paraId="3E04075F" w14:textId="77777777" w:rsidR="00117C98" w:rsidRDefault="00117C98" w:rsidP="00117C98">
      <w:r>
        <w:lastRenderedPageBreak/>
        <w:t xml:space="preserve">Med drugim vlada v mnenju pojasnjuje, da je financiranje občin usklajeno z ustavnim načelom sorazmernosti virov sredstev s pristojnostmi oziroma nalogami občin, hkrati pa zagotavlja tudi solidarnost med občinami. Sistem financiranja temelji na abstraktni občini ni ne na konkretni občini ali skupini občin. Vlada še pojasnjuje, da način izračuna primerne porabe občin odraža raznolikost občin, pri čemer upošteva več različnih lastnosti občin. Enačba za izračun primerne porabe vsebuje tiste lastnosti, ki so vsem občinam skupne, objektivno ugotovljive in stabilne, medtem ko so druge značilnosti in okoliščine, na katere opozarja predlagateljica, odvisne od gospodarske konjunkture in izrazito spremenljiva vrednost, za katero je zakonodajalec predvidel sektorske ukrepe. Način izračuna primerne porabe posamezne občine je zaradi solidarnostnega korektiva neodvisen od dohodkov prebivalcev posamezne občine. </w:t>
      </w:r>
      <w:proofErr w:type="spellStart"/>
      <w:proofErr w:type="gramStart"/>
      <w:r>
        <w:t>Nenazadnje</w:t>
      </w:r>
      <w:proofErr w:type="spellEnd"/>
      <w:proofErr w:type="gramEnd"/>
      <w:r>
        <w:t xml:space="preserve"> je zakonodajalec z zakonom določil množico raznovrstnih lastnih virov občin, ki jih lahko občine določajo tudi same, in dohodnina, razdeljena med občine z izračunom primerne porabe, tako pomeni le dobro polovico vseh prihodkov občin.</w:t>
      </w:r>
    </w:p>
    <w:p w14:paraId="3B9BA95E" w14:textId="77777777" w:rsidR="00117C98" w:rsidRDefault="00117C98" w:rsidP="00117C98">
      <w:pPr>
        <w:pStyle w:val="Vir"/>
      </w:pPr>
      <w:r>
        <w:t>Vir: Ministrstvo za javno upravo</w:t>
      </w:r>
    </w:p>
    <w:p w14:paraId="7A23A038" w14:textId="71A85B99" w:rsidR="008B2341" w:rsidRDefault="008B2341" w:rsidP="008B2341">
      <w:pPr>
        <w:pStyle w:val="Naslov2"/>
      </w:pPr>
      <w:r>
        <w:t>Stališče Slovenije do Predloga sklepa Sveta o odobritvi sprememb Mednarodnega sporazuma o kakavu</w:t>
      </w:r>
    </w:p>
    <w:p w14:paraId="30289402" w14:textId="77777777" w:rsidR="008B2341" w:rsidRDefault="008B2341" w:rsidP="008B2341">
      <w:r>
        <w:t xml:space="preserve">Vlada je sprejela stališče Republike Slovenije k predlogu sklepa Sveta o odobritvi sprememb Mednarodnega sporazuma o kakavu. Slovenija predlog sklepa Sveta podpira.  </w:t>
      </w:r>
    </w:p>
    <w:p w14:paraId="1FC2CF12" w14:textId="77777777" w:rsidR="008B2341" w:rsidRDefault="008B2341" w:rsidP="008B2341"/>
    <w:p w14:paraId="0F8E9DD0" w14:textId="77777777" w:rsidR="008B2341" w:rsidRDefault="008B2341" w:rsidP="008B2341">
      <w:r>
        <w:t>Predlog se nanaša na odobritev sprememb Mednarodnega sporazuma o kakavu 2010 iz leta 2022 v imenu Evropske unije, ki velja do leta 2026.</w:t>
      </w:r>
    </w:p>
    <w:p w14:paraId="6D48F7D8" w14:textId="77777777" w:rsidR="008B2341" w:rsidRDefault="008B2341" w:rsidP="008B2341"/>
    <w:p w14:paraId="23591E05" w14:textId="77777777" w:rsidR="008B2341" w:rsidRDefault="008B2341" w:rsidP="008B2341">
      <w:r>
        <w:t xml:space="preserve">Ključne spremembe vključujejo neomejen čas trajanja sporazuma z rednim pregledom, uskladitev z načeli trajnostnega razvoja, uvedbo cilja dostojnega dohodka za pridelovalce, dodajanje členov o gospodarskem, socialnem in </w:t>
      </w:r>
      <w:proofErr w:type="gramStart"/>
      <w:r>
        <w:t>okoljskem</w:t>
      </w:r>
      <w:proofErr w:type="gramEnd"/>
      <w:r>
        <w:t xml:space="preserve"> stebru ter okrepitev dodane vrednosti, kakovosti in varnosti hrane. Poleg tega sporazum spodbuja raziskave in inovacije v vrednostni verigi kakava ter širi sodelovanje z donatorskimi agencijami za financiranje razvojnih projektov.</w:t>
      </w:r>
    </w:p>
    <w:p w14:paraId="0BFC952A" w14:textId="2CE165BB" w:rsidR="008B1D72" w:rsidRDefault="008B2341" w:rsidP="008B2341">
      <w:pPr>
        <w:pStyle w:val="Vir"/>
      </w:pPr>
      <w:r>
        <w:t>Vir: Ministrstvo za kmetijstvo, gozdarstvo in prehrano</w:t>
      </w:r>
    </w:p>
    <w:p w14:paraId="60DE586F" w14:textId="4B4F1761" w:rsidR="008B2341" w:rsidRDefault="008B2341" w:rsidP="008B2341">
      <w:pPr>
        <w:pStyle w:val="Naslov2"/>
      </w:pPr>
      <w:r>
        <w:t xml:space="preserve">Stališče Slovenije do Predloga sklepa Sveta o odobritvi sprememb Mednarodnega sporazuma o kavi </w:t>
      </w:r>
    </w:p>
    <w:p w14:paraId="33D5F442" w14:textId="77777777" w:rsidR="008B2341" w:rsidRDefault="008B2341" w:rsidP="008B2341">
      <w:r>
        <w:t xml:space="preserve">Vlada je sprejela stališče Slovenije do predloga sklepa Sveta o podpisu Mednarodnega sporazuma o kavi 2022 v imenu Evropske unije. Slovenija predlog sklepa Sveta podpira.  </w:t>
      </w:r>
    </w:p>
    <w:p w14:paraId="32084D23" w14:textId="77777777" w:rsidR="008B2341" w:rsidRDefault="008B2341" w:rsidP="008B2341"/>
    <w:p w14:paraId="0384044C" w14:textId="77777777" w:rsidR="008B2341" w:rsidRDefault="008B2341" w:rsidP="008B2341">
      <w:r>
        <w:t xml:space="preserve">Predlog se nanaša na podpis Mednarodnega sporazuma o kavi 2022, ki nadomešča sporazum iz leta 2007 in spodbuja trajnostni gospodarski, socialni in </w:t>
      </w:r>
      <w:proofErr w:type="gramStart"/>
      <w:r>
        <w:t>okoljski</w:t>
      </w:r>
      <w:proofErr w:type="gramEnd"/>
      <w:r>
        <w:t xml:space="preserve"> razvoj svetovnega sektorja kave.</w:t>
      </w:r>
    </w:p>
    <w:p w14:paraId="7AA57D25" w14:textId="77777777" w:rsidR="008B2341" w:rsidRDefault="008B2341" w:rsidP="008B2341"/>
    <w:p w14:paraId="39BEF4B8" w14:textId="77777777" w:rsidR="008B2341" w:rsidRDefault="008B2341" w:rsidP="008B2341">
      <w:r>
        <w:t>Ključni elementi novega sporazuma so posodobitev ravnovesja glasovalnih sistemov, vključevanje zasebnega sektorja in civilne družbe ter poenostavitev in racionalizacija delovanja Mednarodne organizacije za kavo ob ohranitvi medvladne narave.</w:t>
      </w:r>
    </w:p>
    <w:p w14:paraId="6DBF0F7B" w14:textId="77777777" w:rsidR="008B2341" w:rsidRDefault="008B2341" w:rsidP="008B2341">
      <w:pPr>
        <w:pStyle w:val="Vir"/>
      </w:pPr>
      <w:r>
        <w:t>Vir: Ministrstvo za kmetijstvo, gozdarstvo in prehrano</w:t>
      </w:r>
    </w:p>
    <w:p w14:paraId="3F0AF9F7" w14:textId="5365C663" w:rsidR="00B66FFF" w:rsidRDefault="00B66FFF" w:rsidP="00B66FFF">
      <w:pPr>
        <w:pStyle w:val="Naslov2"/>
      </w:pPr>
      <w:r>
        <w:t xml:space="preserve">Stališče Slovenije do Predloga Sporočila Komisije Evropskemu parlamentu, Svetu, Evropskemu ekonomsko-socialnemu odboru in Odboru </w:t>
      </w:r>
      <w:proofErr w:type="gramStart"/>
      <w:r>
        <w:t>regij</w:t>
      </w:r>
      <w:proofErr w:type="gramEnd"/>
      <w:r>
        <w:t xml:space="preserve"> - Evropska strategija za odpornost v zvezi z vodo</w:t>
      </w:r>
    </w:p>
    <w:p w14:paraId="4363BE01" w14:textId="77777777" w:rsidR="00B66FFF" w:rsidRDefault="00B66FFF" w:rsidP="00B66FFF">
      <w:r>
        <w:t xml:space="preserve">Evropska komisija je junija objavila </w:t>
      </w:r>
      <w:proofErr w:type="gramStart"/>
      <w:r>
        <w:t>Evropski strategijo</w:t>
      </w:r>
      <w:proofErr w:type="gramEnd"/>
      <w:r>
        <w:t xml:space="preserve"> za odpornost v zvezi z vodo, dolgoročno vizijo do leta 2050 za zagotavljanje vodne varnosti. Cilji so razdeljeni na tri prednostna področja, in sicer: </w:t>
      </w:r>
      <w:r>
        <w:lastRenderedPageBreak/>
        <w:t xml:space="preserve">obnova in zaščita vodnega kroga za trajnostno oskrbo; razvoj gospodarstva, ki pametno upravlja </w:t>
      </w:r>
      <w:proofErr w:type="gramStart"/>
      <w:r>
        <w:t>z vodo</w:t>
      </w:r>
      <w:proofErr w:type="gramEnd"/>
      <w:r>
        <w:t xml:space="preserve"> ter spodbuja konkurenčnost in investicije; zagotavljanje čiste, dostopne vode in sanitarne ureditve za vse. </w:t>
      </w:r>
    </w:p>
    <w:p w14:paraId="647D0899" w14:textId="77777777" w:rsidR="00B66FFF" w:rsidRDefault="00B66FFF" w:rsidP="00B66FFF"/>
    <w:p w14:paraId="2BBFC66D" w14:textId="77777777" w:rsidR="00B66FFF" w:rsidRDefault="00B66FFF" w:rsidP="00B66FFF">
      <w:r>
        <w:t xml:space="preserve">Slovenija podpira ključne cilje strategije, pri čemer poudarja pomen upoštevanja nacionalnih hidroloških in </w:t>
      </w:r>
      <w:proofErr w:type="gramStart"/>
      <w:r>
        <w:t>okoljskih</w:t>
      </w:r>
      <w:proofErr w:type="gramEnd"/>
      <w:r>
        <w:t xml:space="preserve"> posebnosti, ki so ključne za uspešno naslavljanje vprašanj vodne varnosti. Slovenija opozarja na pomen ustreznega in usklajenega financiranja strategije in na potrebo po podpori pri dostopu do evropskih sredstev, krepitvi zmogljivosti uprav ter poenostavitvi administrativnih postopkov. Zavzema se za uravnoteženo uporabo naravnih in tehničnih rešitev za učinkovitejše obnavljanje in ohranjanje ekosistemov ter reševanje izzivov, povezanih z vodo. Slovenija tudi spodbuja uporabo pristopa od »izvira do morja«</w:t>
      </w:r>
      <w:proofErr w:type="gramStart"/>
      <w:r>
        <w:t xml:space="preserve">.  </w:t>
      </w:r>
      <w:proofErr w:type="gramEnd"/>
      <w:r>
        <w:t xml:space="preserve">Kot predsedujoča Vodni in Barcelonski konvenciji Slovenija spodbuja uveljavljanje čezmejnega vodnega sodelovanja na vseh ravneh.  </w:t>
      </w:r>
    </w:p>
    <w:p w14:paraId="772C0C33" w14:textId="77777777" w:rsidR="00B66FFF" w:rsidRDefault="00B66FFF" w:rsidP="00B66FFF"/>
    <w:p w14:paraId="7CB631A4" w14:textId="6FDD011A" w:rsidR="008B1D72" w:rsidRDefault="00B66FFF" w:rsidP="00B66FFF">
      <w:r>
        <w:t>Vir: Ministrstvo za naravne vire in prostor</w:t>
      </w:r>
    </w:p>
    <w:p w14:paraId="749B65B9" w14:textId="77777777" w:rsidR="008B1D72" w:rsidRDefault="008B1D72" w:rsidP="008B1D72"/>
    <w:p w14:paraId="4BD6F0A6" w14:textId="47D05D02" w:rsidR="000C0D33" w:rsidRDefault="000C0D33" w:rsidP="000C0D33">
      <w:pPr>
        <w:pStyle w:val="Naslov2"/>
      </w:pPr>
      <w:r>
        <w:t xml:space="preserve">Vlada sprejela stališče do predloga </w:t>
      </w:r>
      <w:proofErr w:type="gramStart"/>
      <w:r>
        <w:t>direktive</w:t>
      </w:r>
      <w:proofErr w:type="gramEnd"/>
      <w:r>
        <w:t xml:space="preserve"> glede dodajanja snovi ter določitve mejnih vrednosti rakotvornih, mutagenih in </w:t>
      </w:r>
      <w:proofErr w:type="spellStart"/>
      <w:r>
        <w:t>reprotoksičnih</w:t>
      </w:r>
      <w:proofErr w:type="spellEnd"/>
      <w:r>
        <w:t xml:space="preserve"> snovi</w:t>
      </w:r>
    </w:p>
    <w:p w14:paraId="5B586A7E" w14:textId="77777777" w:rsidR="000C0D33" w:rsidRDefault="000C0D33" w:rsidP="000C0D33">
      <w:r>
        <w:t xml:space="preserve">Slovenija v celoti podpira predlog </w:t>
      </w:r>
      <w:proofErr w:type="gramStart"/>
      <w:r>
        <w:t>Direktive</w:t>
      </w:r>
      <w:proofErr w:type="gramEnd"/>
      <w:r>
        <w:t xml:space="preserve"> Evropskega parlamenta in Sveta o spremembi Direktive 2004/37/ES glede dodajanja snovi ter določitve mejnih vrednosti v prilogah I, III in </w:t>
      </w:r>
      <w:proofErr w:type="spellStart"/>
      <w:r>
        <w:t>IIIa</w:t>
      </w:r>
      <w:proofErr w:type="spellEnd"/>
      <w:r>
        <w:t>.</w:t>
      </w:r>
    </w:p>
    <w:p w14:paraId="69FA4E8B" w14:textId="77777777" w:rsidR="000C0D33" w:rsidRDefault="000C0D33" w:rsidP="000C0D33"/>
    <w:p w14:paraId="42A4247B" w14:textId="77777777" w:rsidR="000C0D33" w:rsidRDefault="000C0D33" w:rsidP="000C0D33">
      <w:r>
        <w:t xml:space="preserve">Gre za šesto revizijo </w:t>
      </w:r>
      <w:proofErr w:type="gramStart"/>
      <w:r>
        <w:t>direktive</w:t>
      </w:r>
      <w:proofErr w:type="gramEnd"/>
      <w:r>
        <w:t xml:space="preserve"> o rakotvornih, mutagenih in </w:t>
      </w:r>
      <w:proofErr w:type="spellStart"/>
      <w:r>
        <w:t>reprotoksičnih</w:t>
      </w:r>
      <w:proofErr w:type="spellEnd"/>
      <w:r>
        <w:t xml:space="preserve"> snoveh (CMRD VI), s katero Komisija po posvetovanju z relevantnimi deležniki predlaga določitev mejnih vrednosti izpostavljenosti za kobalt in anorganske kobaltove spojine, policiklične aromatske ogljikovodike (PAO) in 1,4-dioksan, v področje uporabe CMRD pa vključuje varilni dim.</w:t>
      </w:r>
    </w:p>
    <w:p w14:paraId="2E18516F" w14:textId="77777777" w:rsidR="000C0D33" w:rsidRDefault="000C0D33" w:rsidP="000C0D33"/>
    <w:p w14:paraId="75F8E57D" w14:textId="77777777" w:rsidR="000C0D33" w:rsidRDefault="000C0D33" w:rsidP="000C0D33">
      <w:r>
        <w:t xml:space="preserve">V Sloveniji mejne vrednosti za kobalt in anorganske kobaltove spojine ter za PAO trenutno niso določene, zato zelo pozdravljamo predlog za njihovo določitev, saj bodo tako tudi slovenski delavci deležni višje stopnje varnosti in zdravja pri delu. </w:t>
      </w:r>
    </w:p>
    <w:p w14:paraId="6888E844" w14:textId="77777777" w:rsidR="000C0D33" w:rsidRDefault="000C0D33" w:rsidP="000C0D33"/>
    <w:p w14:paraId="67435C48" w14:textId="77777777" w:rsidR="000C0D33" w:rsidRDefault="000C0D33" w:rsidP="000C0D33">
      <w:r>
        <w:t xml:space="preserve">Mejna vrednost za 1,4-dioksan je </w:t>
      </w:r>
      <w:proofErr w:type="gramStart"/>
      <w:r>
        <w:t>sedaj</w:t>
      </w:r>
      <w:proofErr w:type="gramEnd"/>
      <w:r>
        <w:t xml:space="preserve"> določena v direktivi o kemičnih snoveh, torej velja tudi v Sloveniji. Ker je bil 1,4-dioksan nedavno </w:t>
      </w:r>
      <w:proofErr w:type="spellStart"/>
      <w:r>
        <w:t>prerazvrščen</w:t>
      </w:r>
      <w:proofErr w:type="spellEnd"/>
      <w:r>
        <w:t xml:space="preserve"> med rakotvorne snovi v EU, zdaj spada na področje uporabe </w:t>
      </w:r>
      <w:proofErr w:type="gramStart"/>
      <w:r>
        <w:t>direktive</w:t>
      </w:r>
      <w:proofErr w:type="gramEnd"/>
      <w:r>
        <w:t xml:space="preserve"> o rakotvornih, mutagenih in </w:t>
      </w:r>
      <w:proofErr w:type="spellStart"/>
      <w:r>
        <w:t>reprotoksičnih</w:t>
      </w:r>
      <w:proofErr w:type="spellEnd"/>
      <w:r>
        <w:t xml:space="preserve"> snoveh. Mejna vrednost po novem predlogu je nižja od trenutno veljavne, saj gre za rakotvorno snov. Republika Slovenija močno podpira predlog za nižjo mejno vrednost, saj bo s tem zagotovljena višja stopnja varnosti in zdravja delavcev, izpostavljenih 1,4-</w:t>
      </w:r>
      <w:proofErr w:type="gramStart"/>
      <w:r>
        <w:t>dioksan-u</w:t>
      </w:r>
      <w:proofErr w:type="gramEnd"/>
      <w:r>
        <w:t>.</w:t>
      </w:r>
    </w:p>
    <w:p w14:paraId="1E381F5C" w14:textId="77777777" w:rsidR="000C0D33" w:rsidRDefault="000C0D33" w:rsidP="000C0D33"/>
    <w:p w14:paraId="6A17C0CB" w14:textId="77777777" w:rsidR="000C0D33" w:rsidRDefault="000C0D33" w:rsidP="000C0D33">
      <w:r>
        <w:t xml:space="preserve">Prav tako Slovenija podpira vključitev varilnih plinov v prilogo I </w:t>
      </w:r>
      <w:proofErr w:type="gramStart"/>
      <w:r>
        <w:t>direktive</w:t>
      </w:r>
      <w:proofErr w:type="gramEnd"/>
      <w:r>
        <w:t>, saj lahko varilni plini vsebujejo tudi rakotvorne snovi. S tem ukrepom bi se za delavce, izpostavljene varilnim plinom, morali uporabljati vsi ukrepi, ki se uporabljajo pri izpostavljenosti rakotvornim snovem, s čimer bi zagotovili višjo stopnjo varnosti in zdravja pri delu.</w:t>
      </w:r>
    </w:p>
    <w:p w14:paraId="2C4C2AAD" w14:textId="77777777" w:rsidR="000C0D33" w:rsidRDefault="000C0D33" w:rsidP="000C0D33"/>
    <w:p w14:paraId="010DFD27" w14:textId="77777777" w:rsidR="000C0D33" w:rsidRDefault="000C0D33" w:rsidP="000C0D33">
      <w:r>
        <w:t>Evropska komisija v predlog šeste revizije CMRD ni vključila izoprena</w:t>
      </w:r>
      <w:proofErr w:type="gramStart"/>
      <w:r>
        <w:t>,</w:t>
      </w:r>
      <w:proofErr w:type="gramEnd"/>
      <w:r>
        <w:t xml:space="preserve"> kljub soglasni podpori predstavnikov podjetij, delavcev in držav članic v okviru Svetovalnega odbora za varnost in zdravje pri delu. V pogajanjih se bo Slovenija zavzemala za vključitev izoprena v šesto revizijo CMRD in določitev mejne vrednosti tudi za to snov.</w:t>
      </w:r>
    </w:p>
    <w:p w14:paraId="270674B0" w14:textId="77777777" w:rsidR="000C0D33" w:rsidRDefault="000C0D33" w:rsidP="000C0D33">
      <w:pPr>
        <w:pStyle w:val="Vir"/>
      </w:pPr>
      <w:r>
        <w:t>Vir: Ministrstvo za delo, družino, socialne zadeve in enake možnosti</w:t>
      </w:r>
    </w:p>
    <w:p w14:paraId="7AE34267" w14:textId="075F9E35" w:rsidR="00732D80" w:rsidRDefault="00732D80" w:rsidP="00732D80">
      <w:pPr>
        <w:pStyle w:val="Naslov2"/>
      </w:pPr>
      <w:r>
        <w:t xml:space="preserve">Vlada podprla sporazum o nujnem zdravljenju </w:t>
      </w:r>
      <w:proofErr w:type="gramStart"/>
      <w:r>
        <w:t>pacientov</w:t>
      </w:r>
      <w:proofErr w:type="gramEnd"/>
      <w:r>
        <w:t xml:space="preserve"> iz Izole v tržaški bolnišnici </w:t>
      </w:r>
      <w:proofErr w:type="spellStart"/>
      <w:r>
        <w:t>Cattinara</w:t>
      </w:r>
      <w:proofErr w:type="spellEnd"/>
    </w:p>
    <w:p w14:paraId="2C168D60" w14:textId="77777777" w:rsidR="00732D80" w:rsidRDefault="00732D80" w:rsidP="00732D80">
      <w:r>
        <w:t xml:space="preserve">Vlada je na današnji seji dala soglasje za sklenitev Sporazuma med Ministrstvom za zdravje Republike Slovenije in Deželnim odborom Avtonomne dežele Furlanije – Julijske krajine za nudenje </w:t>
      </w:r>
      <w:r>
        <w:lastRenderedPageBreak/>
        <w:t xml:space="preserve">nujnega zdravljenja zdravstvenih stanj, ki presegajo zmožnosti Splošne bolnišnice Izola v Univerzitetni bolnišnici </w:t>
      </w:r>
      <w:proofErr w:type="spellStart"/>
      <w:r>
        <w:t>Cattinara</w:t>
      </w:r>
      <w:proofErr w:type="spellEnd"/>
      <w:r>
        <w:t xml:space="preserve"> in imenovala člane delegacije za pogajanja o sklenitvi sporazuma.</w:t>
      </w:r>
    </w:p>
    <w:p w14:paraId="2F9982F0" w14:textId="77777777" w:rsidR="00732D80" w:rsidRDefault="00732D80" w:rsidP="00732D80"/>
    <w:p w14:paraId="783A58F0" w14:textId="4C107D08" w:rsidR="00732D80" w:rsidRDefault="00732D80" w:rsidP="00732D80">
      <w:r>
        <w:t xml:space="preserve">Omenjeni bolnišnici sta pred petimi leti začeli čezmejno sodelovanje v pilotnem projektu zdravljenja akutnega </w:t>
      </w:r>
      <w:proofErr w:type="gramStart"/>
      <w:r>
        <w:t>miokardnega</w:t>
      </w:r>
      <w:proofErr w:type="gramEnd"/>
      <w:r>
        <w:t xml:space="preserve"> infarkta in politravme pri bolnikih iz severne Istre. Z novim sporazumom se bo sodelovanje nadgradilo in poglobilo z namenom učinkovitejšega reševanja življenj na območju, ki ga pokriva Splošna bolnišnica Izola.</w:t>
      </w:r>
    </w:p>
    <w:p w14:paraId="3C7645A4" w14:textId="77777777" w:rsidR="00732D80" w:rsidRDefault="00732D80" w:rsidP="00732D80"/>
    <w:p w14:paraId="7172F0D0" w14:textId="49E6F5F3" w:rsidR="00732D80" w:rsidRDefault="00732D80" w:rsidP="00732D80">
      <w:r>
        <w:t>S sklenitvijo sporazuma postavljamo temelje za čezmejno sodelovanje med Slovenijo in Avtonomno deželo Furlanije-Julijske krajine pri nudenju nujnega zdravljenja oseb v primeru omenjenih zdravstvenih stanj.</w:t>
      </w:r>
    </w:p>
    <w:p w14:paraId="5558D7B0" w14:textId="618D3EB1" w:rsidR="008B1D72" w:rsidRDefault="00732D80" w:rsidP="00732D80">
      <w:pPr>
        <w:pStyle w:val="Vir"/>
      </w:pPr>
      <w:r>
        <w:t>Vir: Ministrstvo za zdravje</w:t>
      </w:r>
    </w:p>
    <w:p w14:paraId="5FACC032" w14:textId="2B972657" w:rsidR="008B4F68" w:rsidRDefault="008B4F68" w:rsidP="008B4F68">
      <w:pPr>
        <w:pStyle w:val="Naslov2"/>
      </w:pPr>
      <w:r>
        <w:t xml:space="preserve">Vlada Skladu Združenih narodov za prebivalstvo namenila prostovoljni prispevek </w:t>
      </w:r>
    </w:p>
    <w:p w14:paraId="53C11BA2" w14:textId="77777777" w:rsidR="008B4F68" w:rsidRDefault="008B4F68" w:rsidP="008B4F68">
      <w:r>
        <w:t>Vlada je na današnji seji Skladu Združenih narodov za prebivalstvo (UNFPA) namenila prostovoljni prispevek v višini 13.000 evrov za leto 2025 kot podporo izvedbi študijskega obiska strokovnjakov iz Vzhodne Evrope in Srednje Azije, ki se bodo seznanili s slovenskim programom ZORA.</w:t>
      </w:r>
    </w:p>
    <w:p w14:paraId="324E0A5E" w14:textId="77777777" w:rsidR="008B4F68" w:rsidRDefault="008B4F68" w:rsidP="008B4F68"/>
    <w:p w14:paraId="76F07CEE" w14:textId="77777777" w:rsidR="008B4F68" w:rsidRDefault="008B4F68" w:rsidP="008B4F68">
      <w:r>
        <w:t>V našem interesu je podpora pri izmenjavi izkušenj in dobre prakse med slovenskimi ter tujimi predstavniki strokovnjakov in odločevalcev. Na takšen način se prispeva k vzpostavitvi programov v tujini, kjer je rak na materničnem vratu še vedno vzrok številnih preprečljivih smrti žensk, tudi v mlajših starostnih obdobjih, s tem pa na globalni ravni prispevka k boljšemu zdravju žensk.</w:t>
      </w:r>
    </w:p>
    <w:p w14:paraId="02F5ACED" w14:textId="77777777" w:rsidR="008B4F68" w:rsidRDefault="008B4F68" w:rsidP="008B4F68"/>
    <w:p w14:paraId="25F7BA52" w14:textId="77777777" w:rsidR="008B4F68" w:rsidRDefault="008B4F68" w:rsidP="008B4F68">
      <w:r>
        <w:t>Sredstva za prostovoljni prispevek so zagotovljena v proračunu Ministrstva za zdravje.</w:t>
      </w:r>
    </w:p>
    <w:p w14:paraId="4EC657AB" w14:textId="2BB39470" w:rsidR="008B1D72" w:rsidRDefault="008B4F68" w:rsidP="008B4F68">
      <w:pPr>
        <w:pStyle w:val="Vir"/>
      </w:pPr>
      <w:r>
        <w:t>Vir: Ministrstvo za zdravje</w:t>
      </w:r>
    </w:p>
    <w:p w14:paraId="29B923FA" w14:textId="15F2611E" w:rsidR="001776C2" w:rsidRPr="002C5B16" w:rsidRDefault="001776C2" w:rsidP="001776C2">
      <w:pPr>
        <w:pStyle w:val="Naslov2"/>
      </w:pPr>
      <w:r w:rsidRPr="002C5B16">
        <w:t xml:space="preserve">Mnenje Vlade do predloga Državnega sveta o </w:t>
      </w:r>
      <w:r w:rsidRPr="002C5B16">
        <w:rPr>
          <w:lang w:eastAsia="sl-SI"/>
        </w:rPr>
        <w:t>ponovnem odločanju o Zakonu o spremembah in dopolnitvah Zakona o gozdovih</w:t>
      </w:r>
    </w:p>
    <w:p w14:paraId="00530929" w14:textId="77777777" w:rsidR="001776C2" w:rsidRPr="005B0D73" w:rsidRDefault="001776C2" w:rsidP="001776C2">
      <w:pPr>
        <w:spacing w:line="276" w:lineRule="auto"/>
        <w:jc w:val="both"/>
        <w:rPr>
          <w:bCs/>
          <w:szCs w:val="20"/>
        </w:rPr>
      </w:pPr>
      <w:r w:rsidRPr="005B0D73">
        <w:rPr>
          <w:bCs/>
          <w:szCs w:val="20"/>
        </w:rPr>
        <w:t>Vlada je sprejela mnenje o zahtevi Državnega sveta, da Državni zbor ponovno odloča o Zakonu o spremembah in dopolnitvah Zakona o gozdovih, ter ga posredovala Državnemu zboru.</w:t>
      </w:r>
    </w:p>
    <w:p w14:paraId="0C9316C8" w14:textId="77777777" w:rsidR="001776C2" w:rsidRPr="005B0D73" w:rsidRDefault="001776C2" w:rsidP="001776C2">
      <w:pPr>
        <w:spacing w:line="276" w:lineRule="auto"/>
        <w:jc w:val="both"/>
        <w:rPr>
          <w:bCs/>
          <w:szCs w:val="20"/>
        </w:rPr>
      </w:pPr>
    </w:p>
    <w:p w14:paraId="01DDA292" w14:textId="77777777" w:rsidR="001776C2" w:rsidRDefault="001776C2" w:rsidP="001776C2">
      <w:pPr>
        <w:spacing w:line="276" w:lineRule="auto"/>
        <w:jc w:val="both"/>
        <w:rPr>
          <w:bCs/>
          <w:szCs w:val="20"/>
        </w:rPr>
      </w:pPr>
      <w:r w:rsidRPr="005B0D73">
        <w:rPr>
          <w:bCs/>
          <w:szCs w:val="20"/>
        </w:rPr>
        <w:t>Državni svet Republike Slovenije (v nadaljevanju: Državni svet) je na 20. izredni seji</w:t>
      </w:r>
      <w:r>
        <w:rPr>
          <w:bCs/>
          <w:szCs w:val="20"/>
        </w:rPr>
        <w:t xml:space="preserve"> </w:t>
      </w:r>
      <w:r w:rsidRPr="005B0D73">
        <w:rPr>
          <w:bCs/>
          <w:szCs w:val="20"/>
        </w:rPr>
        <w:t xml:space="preserve">1. oktobra 2025 ob obravnavi Zakona o spremembah in dopolnitvah Zakona o gozdovih (ZG-H), sprejel zahtevo, da Državni zbor o zakonu ponovno odloča. Kot ključni razlog za zahtevo Državni svet navaja 28. člen ZG-H, ki spreminja </w:t>
      </w:r>
      <w:proofErr w:type="spellStart"/>
      <w:r w:rsidRPr="005B0D73">
        <w:rPr>
          <w:bCs/>
          <w:szCs w:val="20"/>
        </w:rPr>
        <w:t>77.c</w:t>
      </w:r>
      <w:proofErr w:type="spellEnd"/>
      <w:r w:rsidRPr="005B0D73">
        <w:rPr>
          <w:bCs/>
          <w:szCs w:val="20"/>
        </w:rPr>
        <w:t xml:space="preserve"> člen veljavnega zakona tako, da se kot prekršek sankcionira tudi izvajanje ali dopuščanje spravila lesa brez odločbe ali v nasprotju z njo. Pojasnjuje, da to prinaša velike, tudi finančne posledice za lastnike gozdov ter pomeni dodatno omejitev uporabe zasebne lastnine.</w:t>
      </w:r>
    </w:p>
    <w:p w14:paraId="2EB26777" w14:textId="77777777" w:rsidR="001776C2" w:rsidRDefault="001776C2" w:rsidP="001776C2">
      <w:pPr>
        <w:spacing w:line="276" w:lineRule="auto"/>
        <w:jc w:val="both"/>
        <w:rPr>
          <w:bCs/>
          <w:szCs w:val="20"/>
        </w:rPr>
      </w:pPr>
    </w:p>
    <w:p w14:paraId="0D37FFCE" w14:textId="05708941" w:rsidR="001776C2" w:rsidRPr="00FA171D" w:rsidRDefault="001776C2" w:rsidP="001776C2">
      <w:pPr>
        <w:spacing w:line="276" w:lineRule="auto"/>
        <w:jc w:val="both"/>
        <w:rPr>
          <w:szCs w:val="20"/>
        </w:rPr>
      </w:pPr>
      <w:r w:rsidRPr="00FA171D">
        <w:rPr>
          <w:szCs w:val="20"/>
        </w:rPr>
        <w:t>Veljavni Zakon o gozdovih določa, da se z odločbo v upravnem postopku, ki jo Zavod za gozdove Slovenije izda lastniku gozda, določa usmeritve in pogoje za sečnjo in spravilo lesa. Glede na navedeno je smiselno, da se tudi kazenska določba nanaša na sečnjo in spravilo lesa</w:t>
      </w:r>
    </w:p>
    <w:p w14:paraId="385D2E92" w14:textId="77777777" w:rsidR="001776C2" w:rsidRPr="005B0D73" w:rsidRDefault="001776C2" w:rsidP="001776C2">
      <w:pPr>
        <w:spacing w:line="276" w:lineRule="auto"/>
        <w:jc w:val="both"/>
        <w:rPr>
          <w:bCs/>
          <w:szCs w:val="20"/>
        </w:rPr>
      </w:pPr>
    </w:p>
    <w:p w14:paraId="69D05B5F" w14:textId="77777777" w:rsidR="001776C2" w:rsidRPr="005B0D73" w:rsidRDefault="001776C2" w:rsidP="001776C2">
      <w:pPr>
        <w:spacing w:line="276" w:lineRule="auto"/>
        <w:jc w:val="both"/>
        <w:rPr>
          <w:bCs/>
          <w:szCs w:val="20"/>
        </w:rPr>
      </w:pPr>
      <w:hyperlink r:id="rId13" w:history="1">
        <w:r w:rsidRPr="005B0D73">
          <w:rPr>
            <w:rStyle w:val="Hiperpovezava"/>
            <w:bCs/>
            <w:szCs w:val="20"/>
          </w:rPr>
          <w:t>Pravilnik o načrtih za gospodarjenje z gozdovi in upravljanje z divjadjo</w:t>
        </w:r>
      </w:hyperlink>
      <w:r w:rsidRPr="005B0D73">
        <w:rPr>
          <w:bCs/>
          <w:szCs w:val="20"/>
        </w:rPr>
        <w:t xml:space="preserve"> določa, da se usmeritve in pogoji za spravilo lesa določijo v gozdnogojitvenem načrtu. Osnutek gozdnogojitvenega načrta pripravi Zavod za gozdove Slovenije (v nadaljevanju: ZGS), ki lastnike gozdov pisno povabi na njegovo predstavitev. Ta obsega terenski ogled z razpravo ter razgrnitev osnutka v prostorih pristojne krajevne enote ZGS. Lastniki gozdov lahko na osnutek podajo pripombe ustno na zapisnik ob terenskem ogledu ali ob razgrnitvi osnutka ter pisno na naslov pristojne krajevne enote ZGS. ZGS mora njihove predloge, </w:t>
      </w:r>
      <w:r w:rsidRPr="005B0D73">
        <w:rPr>
          <w:bCs/>
          <w:szCs w:val="20"/>
        </w:rPr>
        <w:lastRenderedPageBreak/>
        <w:t>potrebe in zahteve pri izdelavi načrta upoštevati, če niso v nasprotju z gozdnogospodarskim načrtom gozdnogospodarske enote.</w:t>
      </w:r>
    </w:p>
    <w:p w14:paraId="794E3E86" w14:textId="77777777" w:rsidR="001776C2" w:rsidRPr="00740F91" w:rsidRDefault="001776C2" w:rsidP="001776C2">
      <w:pPr>
        <w:spacing w:line="276" w:lineRule="auto"/>
        <w:jc w:val="both"/>
        <w:rPr>
          <w:rStyle w:val="Hiperpovezava"/>
          <w:bCs/>
          <w:szCs w:val="20"/>
        </w:rPr>
      </w:pPr>
      <w:r>
        <w:rPr>
          <w:bCs/>
          <w:szCs w:val="20"/>
        </w:rPr>
        <w:fldChar w:fldCharType="begin"/>
      </w:r>
      <w:r>
        <w:rPr>
          <w:bCs/>
          <w:szCs w:val="20"/>
        </w:rPr>
        <w:instrText>HYPERLINK "https://pisrs.si/pregledPredpisa?id=PRAV2997"</w:instrText>
      </w:r>
      <w:r>
        <w:rPr>
          <w:bCs/>
          <w:szCs w:val="20"/>
        </w:rPr>
      </w:r>
      <w:r>
        <w:rPr>
          <w:bCs/>
          <w:szCs w:val="20"/>
        </w:rPr>
        <w:fldChar w:fldCharType="separate"/>
      </w:r>
    </w:p>
    <w:p w14:paraId="49C193EA" w14:textId="77777777" w:rsidR="001776C2" w:rsidRPr="005B0D73" w:rsidRDefault="001776C2" w:rsidP="001776C2">
      <w:pPr>
        <w:spacing w:line="276" w:lineRule="auto"/>
        <w:jc w:val="both"/>
        <w:rPr>
          <w:bCs/>
          <w:szCs w:val="20"/>
        </w:rPr>
      </w:pPr>
      <w:r w:rsidRPr="00740F91">
        <w:rPr>
          <w:rStyle w:val="Hiperpovezava"/>
          <w:bCs/>
          <w:szCs w:val="20"/>
        </w:rPr>
        <w:t xml:space="preserve">Pravilnik o izvajanju sečnje, ravnanju s sečnimi ostanki, spravilu in zlaganju gozdnih lesnih </w:t>
      </w:r>
      <w:proofErr w:type="gramStart"/>
      <w:r w:rsidRPr="00740F91">
        <w:rPr>
          <w:rStyle w:val="Hiperpovezava"/>
          <w:bCs/>
          <w:szCs w:val="20"/>
        </w:rPr>
        <w:t>sortimentov</w:t>
      </w:r>
      <w:r>
        <w:rPr>
          <w:bCs/>
          <w:szCs w:val="20"/>
        </w:rPr>
        <w:fldChar w:fldCharType="end"/>
      </w:r>
      <w:proofErr w:type="gramEnd"/>
      <w:r w:rsidRPr="005B0D73">
        <w:rPr>
          <w:bCs/>
          <w:szCs w:val="20"/>
        </w:rPr>
        <w:t xml:space="preserve"> nadalje določa, da je pri spravilu treba uporabljati sredstva in tehnologijo, prilagojeno naravnim razmeram oziroma občutljivosti gozdnih sestojev in tal. Iz navedenega izhaja, da je cilj določitve usmeritev in pogojev za spravilo lesa predvsem zaščita gozdnih tal, vključno z gozdnimi prometnicami, ob hkratnem upoštevanju želja in potreb lastnika gozda.</w:t>
      </w:r>
    </w:p>
    <w:p w14:paraId="22544DF4" w14:textId="77777777" w:rsidR="001776C2" w:rsidRPr="005B0D73" w:rsidRDefault="001776C2" w:rsidP="001776C2">
      <w:pPr>
        <w:spacing w:line="276" w:lineRule="auto"/>
        <w:jc w:val="both"/>
        <w:rPr>
          <w:bCs/>
          <w:szCs w:val="20"/>
        </w:rPr>
      </w:pPr>
    </w:p>
    <w:p w14:paraId="173F4A3B" w14:textId="77777777" w:rsidR="001776C2" w:rsidRPr="005B0D73" w:rsidRDefault="001776C2" w:rsidP="001776C2">
      <w:pPr>
        <w:spacing w:line="276" w:lineRule="auto"/>
        <w:jc w:val="both"/>
        <w:rPr>
          <w:bCs/>
          <w:szCs w:val="20"/>
        </w:rPr>
      </w:pPr>
      <w:r w:rsidRPr="005B0D73">
        <w:rPr>
          <w:bCs/>
          <w:szCs w:val="20"/>
        </w:rPr>
        <w:t>Predlagani zakon temelji na strokovnih podlagah in izkušnjah iz prakse. Njegova zavrnitev bi pomenila zamudo pri nujnih izboljšavah, ki jih lastniki in uporabniki gozdov ter širša družba pričakujejo in potrebujejo.</w:t>
      </w:r>
    </w:p>
    <w:p w14:paraId="720F82EF" w14:textId="77777777" w:rsidR="001776C2" w:rsidRPr="005B0D73" w:rsidRDefault="001776C2" w:rsidP="001776C2">
      <w:pPr>
        <w:spacing w:line="276" w:lineRule="auto"/>
        <w:jc w:val="both"/>
        <w:rPr>
          <w:bCs/>
          <w:szCs w:val="20"/>
        </w:rPr>
      </w:pPr>
    </w:p>
    <w:p w14:paraId="581F124B" w14:textId="494E47FF" w:rsidR="001776C2" w:rsidRDefault="001776C2" w:rsidP="001776C2">
      <w:pPr>
        <w:spacing w:line="276" w:lineRule="auto"/>
        <w:jc w:val="both"/>
        <w:rPr>
          <w:bCs/>
          <w:szCs w:val="20"/>
        </w:rPr>
      </w:pPr>
      <w:r w:rsidRPr="005B0D73">
        <w:rPr>
          <w:bCs/>
          <w:szCs w:val="20"/>
        </w:rPr>
        <w:t>Predmetna določba ZG-H je bila vnesena že pred objavo na portalu E-demokracija</w:t>
      </w:r>
      <w:r>
        <w:rPr>
          <w:bCs/>
          <w:szCs w:val="20"/>
        </w:rPr>
        <w:t xml:space="preserve"> dne </w:t>
      </w:r>
      <w:r w:rsidRPr="005B0D73">
        <w:rPr>
          <w:bCs/>
          <w:szCs w:val="20"/>
        </w:rPr>
        <w:t>27. januarja 2025 in se od takrat do sprejema zakona v Državnem zboru</w:t>
      </w:r>
      <w:r>
        <w:rPr>
          <w:bCs/>
          <w:szCs w:val="20"/>
        </w:rPr>
        <w:t xml:space="preserve"> </w:t>
      </w:r>
      <w:r w:rsidRPr="005B0D73">
        <w:rPr>
          <w:bCs/>
          <w:szCs w:val="20"/>
        </w:rPr>
        <w:t>25. septembra 2025 ni spremenila. V tem obdobju ni bila podana nobena pripomba ali komentar na to določbo – n</w:t>
      </w:r>
      <w:r>
        <w:rPr>
          <w:bCs/>
          <w:szCs w:val="20"/>
        </w:rPr>
        <w:t>iti</w:t>
      </w:r>
      <w:r w:rsidRPr="005B0D73">
        <w:rPr>
          <w:bCs/>
          <w:szCs w:val="20"/>
        </w:rPr>
        <w:t xml:space="preserve"> s strani lastnikov gozdov, nevladnih organizacij</w:t>
      </w:r>
      <w:proofErr w:type="gramStart"/>
      <w:r>
        <w:rPr>
          <w:bCs/>
          <w:szCs w:val="20"/>
        </w:rPr>
        <w:t>,</w:t>
      </w:r>
      <w:proofErr w:type="gramEnd"/>
      <w:r w:rsidRPr="005B0D73">
        <w:rPr>
          <w:bCs/>
          <w:szCs w:val="20"/>
        </w:rPr>
        <w:t xml:space="preserve"> niti širše javnosti. Prav tako na določbo ni imela pripomb Komisija za kmetijstvo, gozdarstvo in prehrano, ki je zakon obravnavala na svoji seji 9. septembra 2025.</w:t>
      </w:r>
    </w:p>
    <w:p w14:paraId="3B0DB0AC" w14:textId="77777777" w:rsidR="001776C2" w:rsidRDefault="001776C2" w:rsidP="001776C2">
      <w:pPr>
        <w:spacing w:line="276" w:lineRule="auto"/>
        <w:jc w:val="both"/>
        <w:rPr>
          <w:bCs/>
          <w:szCs w:val="20"/>
        </w:rPr>
      </w:pPr>
    </w:p>
    <w:p w14:paraId="173F7FC4" w14:textId="77777777" w:rsidR="001776C2" w:rsidRDefault="001776C2" w:rsidP="001776C2">
      <w:pPr>
        <w:spacing w:line="276" w:lineRule="auto"/>
        <w:jc w:val="both"/>
        <w:rPr>
          <w:bCs/>
          <w:szCs w:val="20"/>
          <w:lang w:val="pt-PT"/>
        </w:rPr>
      </w:pPr>
      <w:r w:rsidRPr="00614AE2">
        <w:rPr>
          <w:bCs/>
          <w:szCs w:val="20"/>
          <w:lang w:val="pt-PT"/>
        </w:rPr>
        <w:t>Vlada glede na navedeno Državnemu zboru predlaga, da ob ponovnem odločanju zakon sprejme.</w:t>
      </w:r>
    </w:p>
    <w:p w14:paraId="7A154E67" w14:textId="77777777" w:rsidR="001776C2" w:rsidRDefault="001776C2" w:rsidP="001776C2">
      <w:pPr>
        <w:pStyle w:val="Vir"/>
      </w:pPr>
      <w:r>
        <w:t>Vir: Ministrstvo za kmetijstvo, gozdarstvo in prehrano</w:t>
      </w:r>
    </w:p>
    <w:p w14:paraId="5702A961" w14:textId="4EE07422" w:rsidR="0048335A" w:rsidRDefault="0048335A" w:rsidP="0048335A">
      <w:pPr>
        <w:pStyle w:val="Naslov2"/>
      </w:pPr>
      <w:r>
        <w:t>Vlada sprejela Uredbo o organiziranju, opremljanju in usposabljanju sil za zaščito, reševanje in pomoč</w:t>
      </w:r>
    </w:p>
    <w:p w14:paraId="72964034" w14:textId="03B0765D" w:rsidR="00232D5F" w:rsidRDefault="00232D5F" w:rsidP="00232D5F">
      <w:pPr>
        <w:pStyle w:val="Vir"/>
      </w:pPr>
      <w:r>
        <w:t xml:space="preserve">Uredba o organiziranju, opremljanju in usposabljanju sil za zaščito, reševanje in pomoč je bila zadnjič novelirana leta 2016. </w:t>
      </w:r>
    </w:p>
    <w:p w14:paraId="092A040E" w14:textId="3AF70E10" w:rsidR="00232D5F" w:rsidRDefault="00232D5F" w:rsidP="00232D5F">
      <w:pPr>
        <w:pStyle w:val="Vir"/>
      </w:pPr>
      <w:r>
        <w:t>Zaradi spreme</w:t>
      </w:r>
      <w:r w:rsidR="00160D76">
        <w:t>njenih</w:t>
      </w:r>
      <w:r>
        <w:t xml:space="preserve"> razmer na področju zaščite, reševanja in pomoči, predvsem v zadnjih letih, je bilo treba nujno sprejeti novo uredbo,</w:t>
      </w:r>
      <w:r w:rsidR="00160D76">
        <w:t xml:space="preserve"> ki</w:t>
      </w:r>
      <w:r>
        <w:t xml:space="preserve"> ureja:</w:t>
      </w:r>
    </w:p>
    <w:p w14:paraId="2BEA35A0" w14:textId="1C67929F" w:rsidR="00232D5F" w:rsidRDefault="00232D5F" w:rsidP="00232D5F">
      <w:pPr>
        <w:pStyle w:val="Vir"/>
        <w:numPr>
          <w:ilvl w:val="0"/>
          <w:numId w:val="15"/>
        </w:numPr>
      </w:pPr>
      <w:r>
        <w:t>prilagoditev oziroma ureditev pogojev za delovanje organizacij, ki izvajajo javne službe (gorska reševalna služba, jamarska in podvodna služba, kinološka služba ...),</w:t>
      </w:r>
    </w:p>
    <w:p w14:paraId="5317F8DD" w14:textId="0177C761" w:rsidR="00232D5F" w:rsidRDefault="00232D5F" w:rsidP="00232D5F">
      <w:pPr>
        <w:pStyle w:val="Vir"/>
        <w:numPr>
          <w:ilvl w:val="0"/>
          <w:numId w:val="15"/>
        </w:numPr>
      </w:pPr>
      <w:r>
        <w:t>pogoje in pristojnosti reševanja v železniških in cestnih predorih,</w:t>
      </w:r>
    </w:p>
    <w:p w14:paraId="59B329E6" w14:textId="3902E34F" w:rsidR="00232D5F" w:rsidRDefault="00232D5F" w:rsidP="00232D5F">
      <w:pPr>
        <w:pStyle w:val="Vir"/>
        <w:numPr>
          <w:ilvl w:val="0"/>
          <w:numId w:val="15"/>
        </w:numPr>
      </w:pPr>
      <w:r>
        <w:t>določitev (uskladitev) enot, ki izvajajo naloge širšega pomena zaščite, reševanja in pomoči,</w:t>
      </w:r>
    </w:p>
    <w:p w14:paraId="495B40CF" w14:textId="37C5D888" w:rsidR="00232D5F" w:rsidRDefault="00232D5F" w:rsidP="00232D5F">
      <w:pPr>
        <w:pStyle w:val="Vir"/>
        <w:numPr>
          <w:ilvl w:val="0"/>
          <w:numId w:val="15"/>
        </w:numPr>
      </w:pPr>
      <w:r>
        <w:t xml:space="preserve">določitev strukture enote za hitre </w:t>
      </w:r>
      <w:proofErr w:type="gramStart"/>
      <w:r>
        <w:t>intervencije</w:t>
      </w:r>
      <w:proofErr w:type="gramEnd"/>
      <w:r>
        <w:t xml:space="preserve"> in njihovo delovanje v tujini.</w:t>
      </w:r>
    </w:p>
    <w:p w14:paraId="343151FA" w14:textId="77777777" w:rsidR="00232D5F" w:rsidRDefault="00232D5F" w:rsidP="00232D5F">
      <w:pPr>
        <w:pStyle w:val="Vir"/>
      </w:pPr>
      <w:r>
        <w:t xml:space="preserve">Z uredbo se določajo merila za organiziranje, opremljanje in usposabljanje Civilne zaščite na državni in lokalni ravni ter v gospodarskih družbah, zavodih in drugih organizacijah. </w:t>
      </w:r>
    </w:p>
    <w:p w14:paraId="47234A72" w14:textId="688940B3" w:rsidR="00232D5F" w:rsidRDefault="00232D5F" w:rsidP="00232D5F">
      <w:pPr>
        <w:pStyle w:val="Vir"/>
      </w:pPr>
      <w:proofErr w:type="gramStart"/>
      <w:r>
        <w:t>Določa</w:t>
      </w:r>
      <w:proofErr w:type="gramEnd"/>
      <w:r w:rsidR="00160D76">
        <w:t xml:space="preserve"> se</w:t>
      </w:r>
      <w:r>
        <w:t xml:space="preserve"> tudi obseg in način opravljanja javnih služb, ki jih opravljajo enote in službe v operativnih sestavah društev in drugih nevladnih organizacijah, kot so gasilska društva, organizacije Rdečega križa, Gorska reševalna služba, jamarska društva, potapljaška društva, kinološka društva, taborniške in skavtske organizacije, klubi radioamaterjev in drugi, ter določa enote, službe in centre, ki jih organizirajo državni organi. </w:t>
      </w:r>
    </w:p>
    <w:p w14:paraId="04AABD95" w14:textId="77777777" w:rsidR="00232D5F" w:rsidRDefault="00232D5F" w:rsidP="00232D5F">
      <w:pPr>
        <w:pStyle w:val="Vir"/>
      </w:pPr>
      <w:r>
        <w:lastRenderedPageBreak/>
        <w:t>Poleg navedenega uredba določa tudi gasilske enote, ki izvajajo naloge zaščite in reševanja širšega pomena.</w:t>
      </w:r>
    </w:p>
    <w:p w14:paraId="64DAF7D7" w14:textId="1D8703F0" w:rsidR="00232D5F" w:rsidRDefault="00232D5F" w:rsidP="00232D5F">
      <w:pPr>
        <w:pStyle w:val="Vir"/>
      </w:pPr>
      <w:r>
        <w:t>Nek</w:t>
      </w:r>
      <w:r>
        <w:t>aj</w:t>
      </w:r>
      <w:r>
        <w:t xml:space="preserve"> poudarkov iz nove uredbe:</w:t>
      </w:r>
    </w:p>
    <w:p w14:paraId="4F87CD1E" w14:textId="4FDDB9B7" w:rsidR="00232D5F" w:rsidRDefault="00232D5F" w:rsidP="00232D5F">
      <w:pPr>
        <w:pStyle w:val="Vir"/>
        <w:numPr>
          <w:ilvl w:val="0"/>
          <w:numId w:val="16"/>
        </w:numPr>
      </w:pPr>
      <w:r>
        <w:t>Upoštevaje števil</w:t>
      </w:r>
      <w:r w:rsidR="0083302E">
        <w:t>o</w:t>
      </w:r>
      <w:r>
        <w:t xml:space="preserve"> nesreč</w:t>
      </w:r>
      <w:r w:rsidR="00160D76">
        <w:t>,</w:t>
      </w:r>
      <w:r>
        <w:t xml:space="preserve"> se dviguje obveznosti javnih služb Gorske reševalne službe, jamarske in podvodne reševalne službe. S tem se tudi omogoča ustreznejše sofinanciranje dejavnosti, ki jih mora organizirati država; pri Gorski reševalni zvezi se število reševalcev </w:t>
      </w:r>
      <w:r w:rsidR="00160D76">
        <w:t xml:space="preserve">povečuje </w:t>
      </w:r>
      <w:r>
        <w:t xml:space="preserve">na 600 (prej 430), jamarskih reševalcih na 70 (prej 55), </w:t>
      </w:r>
      <w:r w:rsidR="00160D76">
        <w:t xml:space="preserve">povečuje </w:t>
      </w:r>
      <w:r>
        <w:t>se tudi obvezno število ekip prve pomoči, ki jih organizira Rdeči križ Slovenije.</w:t>
      </w:r>
    </w:p>
    <w:p w14:paraId="27D4C60D" w14:textId="0807447C" w:rsidR="00232D5F" w:rsidRDefault="00232D5F" w:rsidP="00232D5F">
      <w:pPr>
        <w:pStyle w:val="Vir"/>
        <w:numPr>
          <w:ilvl w:val="0"/>
          <w:numId w:val="16"/>
        </w:numPr>
      </w:pPr>
      <w:r>
        <w:t xml:space="preserve">Posodabljajo se </w:t>
      </w:r>
      <w:r w:rsidR="00160D76">
        <w:t>gasilske e</w:t>
      </w:r>
      <w:r>
        <w:t xml:space="preserve">note širšega pomena (GEŠP), saj so nekatere prenehale obstajati. </w:t>
      </w:r>
    </w:p>
    <w:p w14:paraId="28BEA582" w14:textId="4A50AE6D" w:rsidR="00232D5F" w:rsidRDefault="00160D76" w:rsidP="00232D5F">
      <w:pPr>
        <w:pStyle w:val="Vir"/>
        <w:numPr>
          <w:ilvl w:val="0"/>
          <w:numId w:val="16"/>
        </w:numPr>
      </w:pPr>
      <w:proofErr w:type="gramStart"/>
      <w:r>
        <w:t>U</w:t>
      </w:r>
      <w:r w:rsidR="00232D5F">
        <w:t>reja</w:t>
      </w:r>
      <w:proofErr w:type="gramEnd"/>
      <w:r>
        <w:t xml:space="preserve"> se</w:t>
      </w:r>
      <w:r w:rsidR="00232D5F">
        <w:t xml:space="preserve"> tudi dolžnosti upravljavcev enocevnega ali dvocevnega in cestnega predora, daljšega od 500 do vključno 1000 m.</w:t>
      </w:r>
    </w:p>
    <w:p w14:paraId="19771CAA" w14:textId="10FE6324" w:rsidR="00232D5F" w:rsidRDefault="00232D5F" w:rsidP="00232D5F">
      <w:pPr>
        <w:pStyle w:val="Vir"/>
        <w:numPr>
          <w:ilvl w:val="0"/>
          <w:numId w:val="16"/>
        </w:numPr>
      </w:pPr>
      <w:r>
        <w:t xml:space="preserve">Prav tako se v primeru izgradnje drugega tira železniške proge Divača–Koper z uredbo določa pravna podlaga, s katero lahko 2TDK financira nalog </w:t>
      </w:r>
      <w:r w:rsidR="00160D76">
        <w:t>zaščite, reševanja in pomoči (</w:t>
      </w:r>
      <w:r>
        <w:t>ZRP</w:t>
      </w:r>
      <w:r w:rsidR="00160D76">
        <w:t>)</w:t>
      </w:r>
      <w:r>
        <w:t xml:space="preserve">.  </w:t>
      </w:r>
    </w:p>
    <w:p w14:paraId="09935770" w14:textId="17A8DF1D" w:rsidR="00232D5F" w:rsidRDefault="00232D5F" w:rsidP="00232D5F">
      <w:pPr>
        <w:pStyle w:val="Vir"/>
        <w:numPr>
          <w:ilvl w:val="0"/>
          <w:numId w:val="16"/>
        </w:numPr>
      </w:pPr>
      <w:r>
        <w:t xml:space="preserve">Enote za hitre </w:t>
      </w:r>
      <w:proofErr w:type="gramStart"/>
      <w:r>
        <w:t>intervencije</w:t>
      </w:r>
      <w:proofErr w:type="gramEnd"/>
      <w:r>
        <w:t xml:space="preserve"> se določajo kot enote, ki jih organizira Uprava Republike Slovenije za zaščito in reševanje za hiter odziv na naravne in druge nesreče in opravljanje posebno zahtevnih nalog zaščite, reševanja in pomoči.</w:t>
      </w:r>
    </w:p>
    <w:p w14:paraId="0C90FB9C" w14:textId="0B413135" w:rsidR="00232D5F" w:rsidRDefault="00232D5F" w:rsidP="00232D5F">
      <w:pPr>
        <w:pStyle w:val="Vir"/>
        <w:numPr>
          <w:ilvl w:val="0"/>
          <w:numId w:val="16"/>
        </w:numPr>
      </w:pPr>
      <w:r>
        <w:t xml:space="preserve">Glede na vse zahtevnejše in dlje trajajoče </w:t>
      </w:r>
      <w:proofErr w:type="gramStart"/>
      <w:r>
        <w:t>intervencije</w:t>
      </w:r>
      <w:proofErr w:type="gramEnd"/>
      <w:r>
        <w:t xml:space="preserve"> pri izvajanju javnih služb se uredi nadomestilo za daljše intervencije. </w:t>
      </w:r>
    </w:p>
    <w:p w14:paraId="00F5FBB3" w14:textId="77777777" w:rsidR="00232D5F" w:rsidRDefault="00232D5F" w:rsidP="00232D5F">
      <w:pPr>
        <w:pStyle w:val="Vir"/>
      </w:pPr>
      <w:r>
        <w:t xml:space="preserve">Po sprejetju uredbe bo Ministrstvo za obrambo (Uprava Republike Slovenije za zaščito in reševanje) intenzivno nadaljevalo postopke za pripravo usklajenih meril za opremljanje gasilskih enot, meril za organiziranje gasilskih enot širšega pomena (t. i. GEŠP) ter meril za posredovanje v daljših cestnih in železniških predorih. </w:t>
      </w:r>
    </w:p>
    <w:p w14:paraId="793DCB99" w14:textId="77777777" w:rsidR="00232D5F" w:rsidRDefault="00232D5F" w:rsidP="00232D5F">
      <w:pPr>
        <w:pStyle w:val="Vir"/>
      </w:pPr>
      <w:r>
        <w:t>V ta namen je bila danes imenovana nova delovna skupina iz predstavnikov krovnih gasilskih organizacij, vseh treh reprezentativnih združenj občin ter predstavnikov ministrstva, ki bo imela za skupno dogovorjeno nalogo oblikovati usklajena merila.</w:t>
      </w:r>
    </w:p>
    <w:p w14:paraId="1247E714" w14:textId="77777777" w:rsidR="00232D5F" w:rsidRDefault="00232D5F" w:rsidP="00232D5F">
      <w:pPr>
        <w:pStyle w:val="Vir"/>
      </w:pPr>
      <w:r>
        <w:t>Za izvajanje dejavnosti bodo v okviru pristojnosti zagotovljena tako sredstva za tekoče leto kot tudi sredstva za izvedbo novih obveznosti, ki izhajajo iz predloga uredbe (npr. povečanje obveznega števila gorskih, jamarskih reševalcev, drugi tir ...).</w:t>
      </w:r>
    </w:p>
    <w:p w14:paraId="750E8372" w14:textId="5D0FAB10" w:rsidR="008B1D72" w:rsidRDefault="00232D5F" w:rsidP="00A13387">
      <w:pPr>
        <w:pStyle w:val="Vir"/>
      </w:pPr>
      <w:r>
        <w:t xml:space="preserve"> </w:t>
      </w:r>
      <w:r w:rsidR="0048335A">
        <w:t>Vir: Ministrstvo za obrambo</w:t>
      </w:r>
    </w:p>
    <w:p w14:paraId="5818AD40" w14:textId="22FAD2DA" w:rsidR="00464CA3" w:rsidRDefault="00FC70C8" w:rsidP="00FC70C8">
      <w:pPr>
        <w:pStyle w:val="Naslov2"/>
      </w:pPr>
      <w:r>
        <w:t>S</w:t>
      </w:r>
      <w:r w:rsidR="00464CA3">
        <w:t xml:space="preserve">premembe </w:t>
      </w:r>
      <w:r>
        <w:t>p</w:t>
      </w:r>
      <w:r w:rsidR="00464CA3">
        <w:t>rograma odprave posledic neposredne škode na stvareh zaradi poplav 4. avgusta 2023 na področju javnih socialnovarstvenih zavodov</w:t>
      </w:r>
    </w:p>
    <w:p w14:paraId="71B48EFC" w14:textId="658E7BF5" w:rsidR="00FC70C8" w:rsidRDefault="00FC70C8" w:rsidP="00464CA3">
      <w:r w:rsidRPr="00FC70C8">
        <w:t>Vlada je potrdila spremembo sanacijskega programa odprave posledic neposredne škode na stvareh zaradi poplav 4. avgusta 2023 na področju javnih socialnovarstvenih zavodov. Sprememba zadeva upravičenca do pomoči Dom dr. Franceta Bergelja na Jesenicah, v bližini katerega se je ob poplavah sprožil zemeljski plaz. Pred današnjo potrditvijo spremembe sanacijskega programa je bilo za sanacijo zemeljskega plazu načrtovanih 665.677,60 evra v letu 2025 in 386.921,47 evra v letu 2026. Po spremembi dinamike porabe sredstev bo letos za sanacijo namenjenih 22.958,80 evra in v prihodnjem letu 1.029.640,27 evra.</w:t>
      </w:r>
    </w:p>
    <w:p w14:paraId="1E30DE7C" w14:textId="7DB2DB81" w:rsidR="00FC70C8" w:rsidRDefault="00FC70C8" w:rsidP="00FC70C8">
      <w:pPr>
        <w:pStyle w:val="Vir"/>
      </w:pPr>
      <w:r w:rsidRPr="00FC70C8">
        <w:lastRenderedPageBreak/>
        <w:t>Vir: Ministrstvo za solidarno prihodnost</w:t>
      </w:r>
    </w:p>
    <w:p w14:paraId="0B2FDD83" w14:textId="3EF1917D" w:rsidR="004B15EB" w:rsidRDefault="004B15EB" w:rsidP="004B15EB">
      <w:pPr>
        <w:pStyle w:val="Naslov2"/>
      </w:pPr>
      <w:r>
        <w:t>Vlada dala soglasje k Spremembi Tarife za izvajanje storitev Javne agencije za civilno letalstvo Republike Slovenije</w:t>
      </w:r>
    </w:p>
    <w:p w14:paraId="454936EA" w14:textId="021F1598" w:rsidR="004B15EB" w:rsidRDefault="004B15EB" w:rsidP="004B15EB">
      <w:r>
        <w:t xml:space="preserve">Javna agencija za civilno letalstvo Republike Slovenije se financira s prihodki iz proračuna Republike Slovenije, prihodki iz pristojbin in povračil stroškov, ki jih v skladu s tarifo vplačajo prosilci in imetniki certifikatov in drugih listin, ki jih izdaja agencija, s prihodki iz povračil za izvedene certifikacijske postopke, druge izdane posamične pravne akte in izvedene naloge stalnega nadzora, ki jih agencija pogodbeno opravi za potrebe Agencije Evropske unije za varnost v letalstvu ali druge pristojne letalske organe in s prihodki od drugih dejavnosti. </w:t>
      </w:r>
    </w:p>
    <w:p w14:paraId="24CC924A" w14:textId="77777777" w:rsidR="004B15EB" w:rsidRDefault="004B15EB" w:rsidP="004B15EB"/>
    <w:p w14:paraId="5714EE35" w14:textId="33626F1B" w:rsidR="004B15EB" w:rsidRDefault="004B15EB" w:rsidP="004B15EB">
      <w:r>
        <w:t>Skladno z Zakonom o javnih agencijah (ZJA) se višina plačil za storitve, ki jih opravlja javna agencija, določi glede na potrebno pokrivanje stroškov posamezne storitve javne agencije ter glede na načrtovane cilje in naloge, določene v programu dela javne agencije.</w:t>
      </w:r>
    </w:p>
    <w:p w14:paraId="5903527A" w14:textId="77777777" w:rsidR="004B15EB" w:rsidRDefault="004B15EB" w:rsidP="004B15EB"/>
    <w:p w14:paraId="6F7FE962" w14:textId="77777777" w:rsidR="004B15EB" w:rsidRDefault="004B15EB" w:rsidP="004B15EB">
      <w:r>
        <w:t xml:space="preserve">Tarife se oblikujejo na način, kot se oblikujejo </w:t>
      </w:r>
      <w:proofErr w:type="gramStart"/>
      <w:r>
        <w:t>takse</w:t>
      </w:r>
      <w:proofErr w:type="gramEnd"/>
      <w:r>
        <w:t xml:space="preserve"> in dajatve, ki jih obračunava Agencije Evropske </w:t>
      </w:r>
      <w:proofErr w:type="gramStart"/>
      <w:r>
        <w:t>unije</w:t>
      </w:r>
      <w:proofErr w:type="gramEnd"/>
      <w:r>
        <w:t xml:space="preserve"> za varnost v letalstvu. Temeljno načelo pri pripravi spremembe tarife je bilo, da morajo sredstva, ki jih agencija pridobi s prihodki od pristojbin in povračil stroškov, ob čim manjši obremenitvi prosilcev in imetnikov certifikatov, zagotavljati nemoteno, razvojno in dolgoročno delo agencije.</w:t>
      </w:r>
    </w:p>
    <w:p w14:paraId="1929575B" w14:textId="77777777" w:rsidR="004B15EB" w:rsidRDefault="004B15EB" w:rsidP="004B15EB"/>
    <w:p w14:paraId="6208F02F" w14:textId="77777777" w:rsidR="004B15EB" w:rsidRDefault="004B15EB" w:rsidP="004B15EB">
      <w:r>
        <w:t xml:space="preserve">Agencija že od leta 2020 na tarifi ustvarja presežek odhodkov nad prihodki, zato je </w:t>
      </w:r>
      <w:proofErr w:type="gramStart"/>
      <w:r>
        <w:t>potrebno</w:t>
      </w:r>
      <w:proofErr w:type="gramEnd"/>
      <w:r>
        <w:t xml:space="preserve"> uskladiti vrednost točke skladno z naraščajočimi odhodki. Vrednost točke se ni spremenila od 15. 7. 2017, zato se predlaga, da se vrednost točke poviša iz 8 EUR na 10 EUR, kar predstavlja </w:t>
      </w:r>
      <w:proofErr w:type="gramStart"/>
      <w:r>
        <w:t>25 %</w:t>
      </w:r>
      <w:proofErr w:type="gramEnd"/>
      <w:r>
        <w:t xml:space="preserve"> povišanje cene. Stopnja inflacije je v obdobju od začetka avgusta 2017 do konca aprila 2025 znašala 28,5</w:t>
      </w:r>
      <w:proofErr w:type="gramStart"/>
      <w:r>
        <w:t xml:space="preserve"> %</w:t>
      </w:r>
      <w:proofErr w:type="gramEnd"/>
      <w:r>
        <w:t>. Stroški povprečne mesečne bruto plače za javni sektor so se v obdobju od začetka avgusta 2017 do konca februarja 2025 povišali za 47,9</w:t>
      </w:r>
      <w:proofErr w:type="gramStart"/>
      <w:r>
        <w:t xml:space="preserve"> %</w:t>
      </w:r>
      <w:proofErr w:type="gramEnd"/>
      <w:r>
        <w:t>. Na podlagi navedenega</w:t>
      </w:r>
      <w:proofErr w:type="gramStart"/>
      <w:r>
        <w:t>,</w:t>
      </w:r>
      <w:proofErr w:type="gramEnd"/>
      <w:r>
        <w:t xml:space="preserve"> je povišanje vrednosti točke utemeljeno.</w:t>
      </w:r>
    </w:p>
    <w:p w14:paraId="447AA71E" w14:textId="0BF328C6" w:rsidR="008B1D72" w:rsidRDefault="004B15EB" w:rsidP="004B15EB">
      <w:pPr>
        <w:pStyle w:val="Vir"/>
      </w:pPr>
      <w:r>
        <w:t>Vir: Ministrstvo za infrastrukturo</w:t>
      </w:r>
    </w:p>
    <w:p w14:paraId="6190A435" w14:textId="2B9D556F" w:rsidR="00417A99" w:rsidRDefault="00417A99" w:rsidP="00417A99">
      <w:pPr>
        <w:pStyle w:val="Naslov2"/>
      </w:pPr>
      <w:r>
        <w:t xml:space="preserve">Vlada se je seznanila z </w:t>
      </w:r>
      <w:r>
        <w:t>o</w:t>
      </w:r>
      <w:r>
        <w:t>snutkom proračunskega načrta sektorja država 2026</w:t>
      </w:r>
    </w:p>
    <w:p w14:paraId="4C0DD7B8" w14:textId="73CD6B3E" w:rsidR="00417A99" w:rsidRDefault="00417A99" w:rsidP="00417A99">
      <w:r>
        <w:t xml:space="preserve">Vlada se je danes seznanila z </w:t>
      </w:r>
      <w:r>
        <w:t>o</w:t>
      </w:r>
      <w:r>
        <w:t xml:space="preserve">snutkom proračunskega načrta sektorja država 2026, ki predstavlja glavne elemente glede </w:t>
      </w:r>
      <w:proofErr w:type="gramStart"/>
      <w:r>
        <w:t>fiskalnih</w:t>
      </w:r>
      <w:proofErr w:type="gramEnd"/>
      <w:r>
        <w:t xml:space="preserve"> ciljev in ukrepov za prihodnje leto.</w:t>
      </w:r>
    </w:p>
    <w:p w14:paraId="4A199758" w14:textId="77777777" w:rsidR="00417A99" w:rsidRDefault="00417A99" w:rsidP="00417A99"/>
    <w:p w14:paraId="52CFDB37" w14:textId="77777777" w:rsidR="00417A99" w:rsidRDefault="00417A99" w:rsidP="00417A99">
      <w:r>
        <w:t xml:space="preserve">Članice Evropske unije z namenom koordinacije fiskalnih politik članic </w:t>
      </w:r>
      <w:proofErr w:type="gramStart"/>
      <w:r>
        <w:t>območja evra</w:t>
      </w:r>
      <w:proofErr w:type="gramEnd"/>
      <w:r>
        <w:t xml:space="preserve"> Evropski komisiji vsako leto do 15. oktobra posredujejo osnutke proračunskih načrtov, ki odražajo napoved gibanja javnih financ (sektorja država, ne zgolj državnega poračuna). Osnutek proračunskega načrta 2026 temelji na podatkih, ciljih, vsebinah in ukrepih, opredeljenih v Zakonu o fiskalnem pravilu in v Zakonu o javnih financah. Vsebuje torej podatke iz predlogov državnega proračuna ter projekcij Zavoda za pokojninsko in invalidsko zavarovanje Slovenije, Zavoda za zdravstveno zavarovanje Slovenije, javnih skladov in agencij, vključuje pa tudi podrobnejše izračune in pojasnila, ki jih za poročanje zahteva Evropska komisija, kar omogoča mednarodno primerljivost stanja javnih financ.</w:t>
      </w:r>
    </w:p>
    <w:p w14:paraId="0B19BB6E" w14:textId="77777777" w:rsidR="00417A99" w:rsidRDefault="00417A99" w:rsidP="00417A99"/>
    <w:p w14:paraId="75381465" w14:textId="29DEDDD2" w:rsidR="00417A99" w:rsidRDefault="00417A99" w:rsidP="00417A99">
      <w:r>
        <w:t xml:space="preserve">Z </w:t>
      </w:r>
      <w:r>
        <w:t>o</w:t>
      </w:r>
      <w:r>
        <w:t xml:space="preserve">snutkom proračunskega načrta 2026 ocenjujemo, da z upoštevanjem nacionalne odstopne klavzule za obrambne izdatke izpolnjujemo zahteve fiskalnega pravila. Rasti očiščenih odhodkov so v mejah dopustnih odstopanj od dovoljenih rasti, začrtanih v Srednjeročnem </w:t>
      </w:r>
      <w:proofErr w:type="gramStart"/>
      <w:r>
        <w:t>fiskalno</w:t>
      </w:r>
      <w:proofErr w:type="gramEnd"/>
      <w:r>
        <w:t>-strukturnem načrtu Republike Slovenije 2025-2028.</w:t>
      </w:r>
    </w:p>
    <w:p w14:paraId="037351B1" w14:textId="77777777" w:rsidR="00417A99" w:rsidRDefault="00417A99" w:rsidP="00417A99"/>
    <w:p w14:paraId="7A11B576" w14:textId="77777777" w:rsidR="00417A99" w:rsidRDefault="00417A99" w:rsidP="00417A99">
      <w:r>
        <w:t xml:space="preserve">Ukrepi </w:t>
      </w:r>
      <w:proofErr w:type="gramStart"/>
      <w:r>
        <w:t>fiskalne</w:t>
      </w:r>
      <w:proofErr w:type="gramEnd"/>
      <w:r>
        <w:t xml:space="preserve"> in ekonomske politike bodo v prihodnjem letu osredotočeni na ohranjanje visoke ravni investicij in vlaganja v obrambo, varnost in odpornost, zdravje, znanje, zagotavljanje zanesljive in dostopne energetske oskrbe, cestno in železniško infrastrukturo, omogočanje primernih in cenovno </w:t>
      </w:r>
      <w:r>
        <w:lastRenderedPageBreak/>
        <w:t xml:space="preserve">dostopnih stanovanj ter pospešitev prehoda v gospodarstvo z visoko produktivnostjo. Nadaljevala se bo tudi obnova po poplavah leta 2023. Med prednostnimi področji so še izvedba reform in </w:t>
      </w:r>
      <w:proofErr w:type="gramStart"/>
      <w:r>
        <w:t>investicij</w:t>
      </w:r>
      <w:proofErr w:type="gramEnd"/>
      <w:r>
        <w:t xml:space="preserve"> v okviru Mehanizma za okrevanje in odpornost ter pospešek investicijske dejavnosti v okviru Programa evropske kohezijske politike 2021-2027.</w:t>
      </w:r>
    </w:p>
    <w:p w14:paraId="146B589F" w14:textId="77777777" w:rsidR="00417A99" w:rsidRDefault="00417A99" w:rsidP="00417A99"/>
    <w:p w14:paraId="75337CD6" w14:textId="77777777" w:rsidR="00417A99" w:rsidRDefault="00417A99" w:rsidP="00417A99">
      <w:r>
        <w:t xml:space="preserve">Širši javnofinančni primanjkljaj (primanjkljaj sektorja država) je za leto 2025 ocenjen na 2,4 odstotka bruto domačega proizvoda (BDP), kar bo posledica plačne reforme v javnem sektorju, povečanja obsega </w:t>
      </w:r>
      <w:proofErr w:type="gramStart"/>
      <w:r>
        <w:t>investicij</w:t>
      </w:r>
      <w:proofErr w:type="gramEnd"/>
      <w:r>
        <w:t xml:space="preserve">, višjih odhodkov za zdravstvo ter odhodkov za pokojnine, ki vključujejo zimski dodatek. V letu 2026 se ocenjuje, da bo primanjkljaj znašal 2,8 odstotka BDP. Bruto dolg sektorja država pa se bo </w:t>
      </w:r>
      <w:proofErr w:type="gramStart"/>
      <w:r>
        <w:t>v letošnjem letu</w:t>
      </w:r>
      <w:proofErr w:type="gramEnd"/>
      <w:r>
        <w:t xml:space="preserve"> znižal na 66 odstotkov BDP (z lanskih 66,6 odstotka BDP), leta 2026 pa predvidoma pod 66 odstotkov BDP.</w:t>
      </w:r>
    </w:p>
    <w:p w14:paraId="02E95437" w14:textId="53491CF8" w:rsidR="00E536A4" w:rsidRDefault="00417A99" w:rsidP="00417A99">
      <w:pPr>
        <w:pStyle w:val="Vir"/>
      </w:pPr>
      <w:r>
        <w:t>Vir: Ministrstvo za finance</w:t>
      </w:r>
    </w:p>
    <w:p w14:paraId="3A55B3BB" w14:textId="15A69059" w:rsidR="00C43B66" w:rsidRDefault="00C43B66" w:rsidP="00C43B66">
      <w:pPr>
        <w:pStyle w:val="Naslov2"/>
      </w:pPr>
      <w:r>
        <w:t>Vlada o proračunskih prerazporeditvah</w:t>
      </w:r>
    </w:p>
    <w:p w14:paraId="2A2C247E" w14:textId="77777777" w:rsidR="00C43B66" w:rsidRDefault="00C43B66" w:rsidP="00C43B66">
      <w:r>
        <w:t xml:space="preserve">Vlada je danes potrdila prerazporeditve pravic porab v letošnjem državnem proračunu. </w:t>
      </w:r>
    </w:p>
    <w:p w14:paraId="7A80AC51" w14:textId="77777777" w:rsidR="00C43B66" w:rsidRDefault="00C43B66" w:rsidP="00C43B66"/>
    <w:p w14:paraId="355FA89F" w14:textId="77777777" w:rsidR="00C43B66" w:rsidRDefault="00C43B66" w:rsidP="00C43B66">
      <w:r>
        <w:t xml:space="preserve">Ministrstvo za gospodarstvo, turizem in šport bo v okviru svojega finančnega načrta prerazporedilo pravice porabe v višini približno 28 milijonov evrov, in sicer z namenom pravilnega izkazovanja spodbud po Zakonu o spodbujanju </w:t>
      </w:r>
      <w:proofErr w:type="gramStart"/>
      <w:r>
        <w:t>investicij</w:t>
      </w:r>
      <w:proofErr w:type="gramEnd"/>
      <w:r>
        <w:t>. V odnosu do prejemnikov spodbud ne prihaja do sprememb.</w:t>
      </w:r>
    </w:p>
    <w:p w14:paraId="31D4A5B8" w14:textId="77777777" w:rsidR="00C43B66" w:rsidRDefault="00C43B66" w:rsidP="00C43B66"/>
    <w:p w14:paraId="45E64209" w14:textId="77777777" w:rsidR="00C43B66" w:rsidRDefault="00C43B66" w:rsidP="00C43B66">
      <w:r>
        <w:t xml:space="preserve">Ministrstvo za kmetijstvo, gozdarstvo in prehrano bo v okviru svojega finančnega načrta prerazporedilo sedem milijonov evrov za izvajanje finančnih instrumentov v kmetijstvu. Zaradi povečanega števila javnih razpisov iz sredstev Strateškega načrta skupne kmetijske politike 2023-2027 se pričakuje porast povpraševanja po finančnih instrumentih za podporo mladim kmetom in manjšim kmetijam. </w:t>
      </w:r>
    </w:p>
    <w:p w14:paraId="2D8023F8" w14:textId="77777777" w:rsidR="00C43B66" w:rsidRDefault="00C43B66" w:rsidP="00C43B66"/>
    <w:p w14:paraId="27F0ACA0" w14:textId="77777777" w:rsidR="00C43B66" w:rsidRDefault="00C43B66" w:rsidP="00C43B66">
      <w:r>
        <w:t xml:space="preserve">Kmetijsko ministrstvo bo poleg tega na Agencijo Republike Slovenije za kmetijske trge in razvoj podeželja prerazporedilo pravice porabe v višini dveh milijonov evrov. Sredstva bodo namenjena celoviti nadgradnji sistema SOPOTNIK in povezanih modulov, kar bo omogočilo prehod tržno informacijskega sistema na državni računalniški oblak in nadgradnjo modula za poročanje rezultatov strateškega načrta skupne kmetijske politike. </w:t>
      </w:r>
    </w:p>
    <w:p w14:paraId="571B2D32" w14:textId="77777777" w:rsidR="00C43B66" w:rsidRDefault="00C43B66" w:rsidP="00C43B66"/>
    <w:p w14:paraId="48A1C469" w14:textId="77777777" w:rsidR="00C43B66" w:rsidRDefault="00C43B66" w:rsidP="00C43B66">
      <w:r>
        <w:t>Ministrstvo za solidarno prihodnost bo v okviru svojega finančnega načrta prerazporedilo pravice porabe v višini dveh milijonov evrov. Namenjene bodo zagotavljanju izplačil prispevkov za obvezno zavarovanje za dolgotrajno oskrbo za osebe, ki so upravičene do plačil drugih obveznih prispevkov za socialno varnost in za katere drugi področni predpisi določijo oprostitev plačila prispevka (socialno ogroženi).</w:t>
      </w:r>
    </w:p>
    <w:p w14:paraId="49B8B7AD" w14:textId="00F8C38B" w:rsidR="00E536A4" w:rsidRDefault="00C43B66" w:rsidP="00C43B66">
      <w:pPr>
        <w:pStyle w:val="Vir"/>
      </w:pPr>
      <w:r>
        <w:t>Vir: Ministrstvo za finance</w:t>
      </w:r>
    </w:p>
    <w:p w14:paraId="74BBEF74" w14:textId="6B0D54B1" w:rsidR="003B06D3" w:rsidRDefault="003B06D3" w:rsidP="003B06D3">
      <w:pPr>
        <w:pStyle w:val="Naslov2"/>
      </w:pPr>
      <w:r>
        <w:t>Vlada v skupščino Zavoda za zdravstveno zavarovanje Slovenije imenovala predstavnike državne uprave</w:t>
      </w:r>
    </w:p>
    <w:p w14:paraId="2CD72391" w14:textId="77777777" w:rsidR="003B06D3" w:rsidRDefault="003B06D3" w:rsidP="003B06D3">
      <w:r>
        <w:t>V skupščino Zavoda za zdravstveno zavarovanje Slovenije (ZZZS) se za predstavnike delodajalcev za področje državne uprave in negospodarskih javnih služb imenujejo Peter Štemberger in Miranda Groff Ferjančič iz Ministrstva za finance ter Jasna Humar in Teja Batagelj iz Ministrstva za zdravje.</w:t>
      </w:r>
    </w:p>
    <w:p w14:paraId="547C369C" w14:textId="77777777" w:rsidR="003B06D3" w:rsidRDefault="003B06D3" w:rsidP="003B06D3"/>
    <w:p w14:paraId="3C47DCB5" w14:textId="77777777" w:rsidR="003B06D3" w:rsidRDefault="003B06D3" w:rsidP="003B06D3">
      <w:r>
        <w:t>Mandat članov skupščine traja štiri leta in začne teči z ustanovno sejo, ki bo 22. oktobra 2025.</w:t>
      </w:r>
    </w:p>
    <w:p w14:paraId="6C5AEFA2" w14:textId="2BEAE405" w:rsidR="008B1D72" w:rsidRDefault="003B06D3" w:rsidP="003B06D3">
      <w:pPr>
        <w:pStyle w:val="Vir"/>
      </w:pPr>
      <w:r>
        <w:t>Vir: Ministrstvo za zdravje</w:t>
      </w:r>
    </w:p>
    <w:p w14:paraId="15300F3C" w14:textId="76855A0D" w:rsidR="00831531" w:rsidRDefault="00831531" w:rsidP="00831531">
      <w:pPr>
        <w:pStyle w:val="Naslov2"/>
      </w:pPr>
      <w:r>
        <w:lastRenderedPageBreak/>
        <w:t xml:space="preserve">Imenovanje članov upravnega odbora </w:t>
      </w:r>
      <w:proofErr w:type="gramStart"/>
      <w:r>
        <w:t>Centra</w:t>
      </w:r>
      <w:proofErr w:type="gramEnd"/>
      <w:r>
        <w:t xml:space="preserve"> za kibernetsko zmogljivost na Zahodnem Balkanu (WB3C) </w:t>
      </w:r>
    </w:p>
    <w:p w14:paraId="7AE4CDE4" w14:textId="77777777" w:rsidR="00831531" w:rsidRDefault="00831531" w:rsidP="00831531">
      <w:r>
        <w:t xml:space="preserve">Vlada je v upravni odbor v skladu z 10. členom Sporazuma o ustanovitvi </w:t>
      </w:r>
      <w:proofErr w:type="gramStart"/>
      <w:r>
        <w:t>Centra</w:t>
      </w:r>
      <w:proofErr w:type="gramEnd"/>
      <w:r>
        <w:t xml:space="preserve"> za kibernetsko zmogljivost na Zahodnem Balkanu (WB3C) imenovala: </w:t>
      </w:r>
    </w:p>
    <w:p w14:paraId="36BB8C0E" w14:textId="77777777" w:rsidR="00831531" w:rsidRDefault="00831531" w:rsidP="00831531"/>
    <w:p w14:paraId="53F8C209" w14:textId="59496CC1" w:rsidR="00831531" w:rsidRDefault="00831531" w:rsidP="00831531">
      <w:pPr>
        <w:pStyle w:val="Odstavekseznama"/>
        <w:numPr>
          <w:ilvl w:val="0"/>
          <w:numId w:val="10"/>
        </w:numPr>
      </w:pPr>
      <w:r>
        <w:t>Iztoka Jarca, vršilca dolžnosti generalnega direktorja Direktorata za evropske zadeve, Ministrstvo za zunanje in evropske zadeve, za predstavnika Republike Slovenije v upravnem odboru,</w:t>
      </w:r>
    </w:p>
    <w:p w14:paraId="0938C204" w14:textId="33ED9690" w:rsidR="00831531" w:rsidRDefault="00831531" w:rsidP="00831531">
      <w:pPr>
        <w:pStyle w:val="Odstavekseznama"/>
        <w:numPr>
          <w:ilvl w:val="0"/>
          <w:numId w:val="10"/>
        </w:numPr>
      </w:pPr>
      <w:r>
        <w:t>dr. Uroša Sveteta, direktorja Urada Vlade RS za informacijsko varnost, za predstavnika Republike Slovenije v upravnem odboru,</w:t>
      </w:r>
    </w:p>
    <w:p w14:paraId="6177D8C3" w14:textId="2DECF668" w:rsidR="00831531" w:rsidRDefault="00831531" w:rsidP="00831531">
      <w:pPr>
        <w:pStyle w:val="Odstavekseznama"/>
        <w:numPr>
          <w:ilvl w:val="0"/>
          <w:numId w:val="10"/>
        </w:numPr>
      </w:pPr>
      <w:r>
        <w:t>mag. Roka Zagorskega, nacionalnega koordinatorja za zunanje vidike digitalizacije, umetne inteligence in kibernetske varnosti, Ministrstvo za zunanje in evropske zadeve, za namestnika predstavnika Republike Slovenije v upravnem odboru,</w:t>
      </w:r>
    </w:p>
    <w:p w14:paraId="4DC38B5A" w14:textId="03B57FA4" w:rsidR="00831531" w:rsidRDefault="00831531" w:rsidP="00831531">
      <w:pPr>
        <w:pStyle w:val="Odstavekseznama"/>
        <w:numPr>
          <w:ilvl w:val="0"/>
          <w:numId w:val="10"/>
        </w:numPr>
      </w:pPr>
      <w:r>
        <w:t>Ivano Boštjančič Pulko, vodjo sektorja za mednarodne zadeve in odnose z javnostmi, Urad vlade RS za informacijsko varnost, za namestnico predstavnika Republike Slovenije v upravnem odboru.</w:t>
      </w:r>
    </w:p>
    <w:p w14:paraId="61C5E5B8" w14:textId="77777777" w:rsidR="00831531" w:rsidRDefault="00831531" w:rsidP="00831531"/>
    <w:p w14:paraId="000A9E83" w14:textId="77777777" w:rsidR="00831531" w:rsidRDefault="00831531" w:rsidP="00831531">
      <w:r>
        <w:t xml:space="preserve">Naloga upravnega odbora je nadzorovati </w:t>
      </w:r>
      <w:proofErr w:type="gramStart"/>
      <w:r>
        <w:t>aktivnosti</w:t>
      </w:r>
      <w:proofErr w:type="gramEnd"/>
      <w:r>
        <w:t xml:space="preserve"> WB3C, sprejemati program dela, letni načrt ipd. V upravnem odboru imajo države ustanoviteljice (Slovenija, Francija in Črna gora) vsaka po dva člana.</w:t>
      </w:r>
    </w:p>
    <w:p w14:paraId="0624C676" w14:textId="022C1B14" w:rsidR="008B1D72" w:rsidRDefault="00831531" w:rsidP="00831531">
      <w:pPr>
        <w:pStyle w:val="Vir"/>
      </w:pPr>
      <w:r>
        <w:t>Vir: Ministrstvo za zunanje in evropske zadeve</w:t>
      </w:r>
    </w:p>
    <w:p w14:paraId="63398675" w14:textId="5BB46C4C" w:rsidR="00B532EC" w:rsidRDefault="00B532EC" w:rsidP="00B532EC">
      <w:pPr>
        <w:pStyle w:val="Naslov2"/>
      </w:pPr>
      <w:r>
        <w:t>Sprememba članov komisije za preprečevanje dela in zaposlovanja na črno</w:t>
      </w:r>
    </w:p>
    <w:p w14:paraId="550F2BE0" w14:textId="77777777" w:rsidR="00B532EC" w:rsidRDefault="00B532EC" w:rsidP="00B532EC">
      <w:r>
        <w:t xml:space="preserve">V Komisiji Vlade RS za preprečevanje dela in zaposlovanja na črno, ustanovljeni s </w:t>
      </w:r>
      <w:proofErr w:type="gramStart"/>
      <w:r>
        <w:t xml:space="preserve">sklepom  </w:t>
      </w:r>
      <w:proofErr w:type="gramEnd"/>
      <w:r>
        <w:t>št. 01200-8/2024/5 z dne 18. 12. 2024, se:</w:t>
      </w:r>
    </w:p>
    <w:p w14:paraId="4213220B" w14:textId="38619282" w:rsidR="00B532EC" w:rsidRDefault="00B532EC" w:rsidP="00B532EC">
      <w:pPr>
        <w:pStyle w:val="Odstavekseznama"/>
        <w:numPr>
          <w:ilvl w:val="0"/>
          <w:numId w:val="14"/>
        </w:numPr>
      </w:pPr>
      <w:r>
        <w:t>z mesta namestnice predsednice komisije razreši mag. Darija Perše Zoretič in se namesto nje imenuje Tanja Podlipnik, Ministrstvo za delo, družino, socialne zadeve in enake možnosti, namestnica predsednice komisije;</w:t>
      </w:r>
    </w:p>
    <w:p w14:paraId="69DDD4B5" w14:textId="0723CC11" w:rsidR="006F29FA" w:rsidRDefault="00B532EC" w:rsidP="00B532EC">
      <w:pPr>
        <w:pStyle w:val="Odstavekseznama"/>
        <w:numPr>
          <w:ilvl w:val="0"/>
          <w:numId w:val="14"/>
        </w:numPr>
      </w:pPr>
      <w:r>
        <w:t>pri članici Katji Privšek</w:t>
      </w:r>
      <w:proofErr w:type="gramStart"/>
      <w:r>
        <w:t>,</w:t>
      </w:r>
      <w:proofErr w:type="gramEnd"/>
      <w:r>
        <w:t xml:space="preserve"> Zdravstveni inšpektorat Republike Slovenije, priimek Privšek spremeni v Matajc.</w:t>
      </w:r>
    </w:p>
    <w:p w14:paraId="09A0ADD2" w14:textId="77777777" w:rsidR="00B532EC" w:rsidRDefault="00B532EC" w:rsidP="00B532EC">
      <w:pPr>
        <w:pStyle w:val="Vir"/>
      </w:pPr>
      <w:r>
        <w:t>Vir: Ministrstvo za delo, družino, socialne zadeve in enake možnosti</w:t>
      </w:r>
    </w:p>
    <w:p w14:paraId="1796FCB5" w14:textId="62FD2882" w:rsidR="00BA69EF" w:rsidRDefault="00464CA3" w:rsidP="00BA69EF">
      <w:pPr>
        <w:pStyle w:val="Naslov2"/>
      </w:pPr>
      <w:r>
        <w:t xml:space="preserve"> </w:t>
      </w:r>
      <w:r w:rsidR="00BA69EF">
        <w:t>Vlada imenovala Damjana Petriča na položaj generalnega direktorja policije</w:t>
      </w:r>
    </w:p>
    <w:p w14:paraId="64F85AC6" w14:textId="77777777" w:rsidR="00BA69EF" w:rsidRDefault="00BA69EF" w:rsidP="00BA69EF">
      <w:r>
        <w:t>Vlada Republike Slovenije je izdala odločbo o imenovanju Damjana Petriča na položaj generalnega direktorja policije za mandatno dobo 5 let, in sicer od 10. oktobra 2025 do 9. oktobra 2030, z možnostjo ponovnega imenovanja.</w:t>
      </w:r>
    </w:p>
    <w:p w14:paraId="26BF4E8C" w14:textId="77777777" w:rsidR="00BA69EF" w:rsidRDefault="00BA69EF" w:rsidP="00BA69EF"/>
    <w:p w14:paraId="14352AED" w14:textId="77777777" w:rsidR="00BA69EF" w:rsidRDefault="00BA69EF" w:rsidP="00BA69EF">
      <w:r>
        <w:t>Posebna natečajna komisija je ministra za notranje zadeve Boštjana Poklukarja obvestila, da Damjan Petrič izpolnjuje natečajne pogoje in je glede na svojo strokovno usposobljenost primeren za položaj generalnega direktorja policije. Minister Poklukar je vladi predlagal, da se Damjan Petrič z 10. oktobrom 2025 imenuje na položaj generalnega direktorja policije.</w:t>
      </w:r>
    </w:p>
    <w:p w14:paraId="56BC864F" w14:textId="77777777" w:rsidR="00BA69EF" w:rsidRDefault="00BA69EF" w:rsidP="00BA69EF"/>
    <w:p w14:paraId="19797817" w14:textId="77777777" w:rsidR="00BA69EF" w:rsidRDefault="00BA69EF" w:rsidP="00BA69EF">
      <w:r>
        <w:t xml:space="preserve">Damjan Petrič je karierni policist in kriminalist, ki je v svojih več kot 37 letih zaradi izkušenj, strokovnosti in znanja </w:t>
      </w:r>
      <w:proofErr w:type="gramStart"/>
      <w:r>
        <w:t>napredoval</w:t>
      </w:r>
      <w:proofErr w:type="gramEnd"/>
      <w:r>
        <w:t xml:space="preserve"> od policista in kriminalista na terenu na različne vodstvene položaje v policiji. Petrič je funkcijo vršilca dolžnosti generalnega direktorja policije prevzel 16. januarja 2025.</w:t>
      </w:r>
    </w:p>
    <w:p w14:paraId="7E505CB3" w14:textId="69908493" w:rsidR="006F29FA" w:rsidRPr="006F29FA" w:rsidRDefault="00BA69EF" w:rsidP="00417DFB">
      <w:pPr>
        <w:pStyle w:val="Vir"/>
      </w:pPr>
      <w:r>
        <w:t>Vir: Ministrstvo za notranje zadeve</w:t>
      </w:r>
    </w:p>
    <w:p w14:paraId="69E0DA8C" w14:textId="77777777" w:rsidR="00DE1B54" w:rsidRDefault="00DE1B54" w:rsidP="00DE1B54"/>
    <w:sectPr w:rsidR="00DE1B54"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23240A"/>
    <w:multiLevelType w:val="hybridMultilevel"/>
    <w:tmpl w:val="46E093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4CF5F1C"/>
    <w:multiLevelType w:val="hybridMultilevel"/>
    <w:tmpl w:val="5E4C14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1F83F55"/>
    <w:multiLevelType w:val="hybridMultilevel"/>
    <w:tmpl w:val="361AE4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B9C0912"/>
    <w:multiLevelType w:val="hybridMultilevel"/>
    <w:tmpl w:val="33DCFC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93255C0"/>
    <w:multiLevelType w:val="hybridMultilevel"/>
    <w:tmpl w:val="D4429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83C50A8"/>
    <w:multiLevelType w:val="hybridMultilevel"/>
    <w:tmpl w:val="3F029838"/>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C943094"/>
    <w:multiLevelType w:val="hybridMultilevel"/>
    <w:tmpl w:val="ECEA8242"/>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4"/>
  </w:num>
  <w:num w:numId="2" w16cid:durableId="984821814">
    <w:abstractNumId w:val="9"/>
  </w:num>
  <w:num w:numId="3" w16cid:durableId="150218247">
    <w:abstractNumId w:val="0"/>
  </w:num>
  <w:num w:numId="4" w16cid:durableId="1026903286">
    <w:abstractNumId w:val="10"/>
  </w:num>
  <w:num w:numId="5" w16cid:durableId="231817878">
    <w:abstractNumId w:val="4"/>
  </w:num>
  <w:num w:numId="6" w16cid:durableId="2110814889">
    <w:abstractNumId w:val="15"/>
  </w:num>
  <w:num w:numId="7" w16cid:durableId="695153758">
    <w:abstractNumId w:val="5"/>
  </w:num>
  <w:num w:numId="8" w16cid:durableId="853298866">
    <w:abstractNumId w:val="8"/>
  </w:num>
  <w:num w:numId="9" w16cid:durableId="1789348953">
    <w:abstractNumId w:val="3"/>
  </w:num>
  <w:num w:numId="10" w16cid:durableId="163906220">
    <w:abstractNumId w:val="2"/>
  </w:num>
  <w:num w:numId="11" w16cid:durableId="740101706">
    <w:abstractNumId w:val="13"/>
  </w:num>
  <w:num w:numId="12" w16cid:durableId="2121990601">
    <w:abstractNumId w:val="7"/>
  </w:num>
  <w:num w:numId="13" w16cid:durableId="861285015">
    <w:abstractNumId w:val="1"/>
  </w:num>
  <w:num w:numId="14" w16cid:durableId="1386298269">
    <w:abstractNumId w:val="11"/>
  </w:num>
  <w:num w:numId="15" w16cid:durableId="674264711">
    <w:abstractNumId w:val="12"/>
  </w:num>
  <w:num w:numId="16" w16cid:durableId="1766805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32C3D"/>
    <w:rsid w:val="00050A56"/>
    <w:rsid w:val="00076DF7"/>
    <w:rsid w:val="00085D04"/>
    <w:rsid w:val="00087069"/>
    <w:rsid w:val="00087A14"/>
    <w:rsid w:val="00097B85"/>
    <w:rsid w:val="000C0D33"/>
    <w:rsid w:val="000D5520"/>
    <w:rsid w:val="000E0657"/>
    <w:rsid w:val="00110B8F"/>
    <w:rsid w:val="00113F85"/>
    <w:rsid w:val="00117C98"/>
    <w:rsid w:val="0012724F"/>
    <w:rsid w:val="0013016C"/>
    <w:rsid w:val="001602C9"/>
    <w:rsid w:val="00160D76"/>
    <w:rsid w:val="0016530C"/>
    <w:rsid w:val="001673A5"/>
    <w:rsid w:val="00173343"/>
    <w:rsid w:val="001776C2"/>
    <w:rsid w:val="001B01DD"/>
    <w:rsid w:val="001B42F9"/>
    <w:rsid w:val="001C3560"/>
    <w:rsid w:val="001C5F19"/>
    <w:rsid w:val="001F51BC"/>
    <w:rsid w:val="001F7F63"/>
    <w:rsid w:val="00203F5F"/>
    <w:rsid w:val="00212608"/>
    <w:rsid w:val="00215140"/>
    <w:rsid w:val="00220CDD"/>
    <w:rsid w:val="0022511A"/>
    <w:rsid w:val="00231021"/>
    <w:rsid w:val="00232D5F"/>
    <w:rsid w:val="002501CE"/>
    <w:rsid w:val="002856E5"/>
    <w:rsid w:val="002C2931"/>
    <w:rsid w:val="002C36A6"/>
    <w:rsid w:val="002D5B5D"/>
    <w:rsid w:val="002E3F96"/>
    <w:rsid w:val="002E5564"/>
    <w:rsid w:val="002F3BE7"/>
    <w:rsid w:val="0032428F"/>
    <w:rsid w:val="00345310"/>
    <w:rsid w:val="00346E22"/>
    <w:rsid w:val="00351E1E"/>
    <w:rsid w:val="00357DC0"/>
    <w:rsid w:val="00361255"/>
    <w:rsid w:val="00381018"/>
    <w:rsid w:val="003847C8"/>
    <w:rsid w:val="003877EB"/>
    <w:rsid w:val="00390DF7"/>
    <w:rsid w:val="0039662C"/>
    <w:rsid w:val="003A3742"/>
    <w:rsid w:val="003B06D3"/>
    <w:rsid w:val="003D64D8"/>
    <w:rsid w:val="003E17B6"/>
    <w:rsid w:val="003E1B89"/>
    <w:rsid w:val="003E6170"/>
    <w:rsid w:val="003F4CC5"/>
    <w:rsid w:val="0040678F"/>
    <w:rsid w:val="00415527"/>
    <w:rsid w:val="00417A99"/>
    <w:rsid w:val="00417DFB"/>
    <w:rsid w:val="00424739"/>
    <w:rsid w:val="0042686B"/>
    <w:rsid w:val="00432937"/>
    <w:rsid w:val="004403EC"/>
    <w:rsid w:val="00447B57"/>
    <w:rsid w:val="00455B63"/>
    <w:rsid w:val="00460370"/>
    <w:rsid w:val="00464CA3"/>
    <w:rsid w:val="00472762"/>
    <w:rsid w:val="0048335A"/>
    <w:rsid w:val="004A00A8"/>
    <w:rsid w:val="004A7BFC"/>
    <w:rsid w:val="004A7CAD"/>
    <w:rsid w:val="004B15EB"/>
    <w:rsid w:val="004B4753"/>
    <w:rsid w:val="004B7346"/>
    <w:rsid w:val="00514121"/>
    <w:rsid w:val="00522637"/>
    <w:rsid w:val="00527867"/>
    <w:rsid w:val="00527AA5"/>
    <w:rsid w:val="005314D7"/>
    <w:rsid w:val="005515BD"/>
    <w:rsid w:val="00580761"/>
    <w:rsid w:val="0059143B"/>
    <w:rsid w:val="005A570D"/>
    <w:rsid w:val="005B5886"/>
    <w:rsid w:val="005C1523"/>
    <w:rsid w:val="005E1ABB"/>
    <w:rsid w:val="005F19F5"/>
    <w:rsid w:val="00614FFD"/>
    <w:rsid w:val="006274BB"/>
    <w:rsid w:val="00634EFA"/>
    <w:rsid w:val="00635D43"/>
    <w:rsid w:val="0066249C"/>
    <w:rsid w:val="0067375D"/>
    <w:rsid w:val="006B3F12"/>
    <w:rsid w:val="006B43C8"/>
    <w:rsid w:val="006C1B31"/>
    <w:rsid w:val="006F29FA"/>
    <w:rsid w:val="0070324C"/>
    <w:rsid w:val="007120FD"/>
    <w:rsid w:val="007130E1"/>
    <w:rsid w:val="00717E59"/>
    <w:rsid w:val="0072379C"/>
    <w:rsid w:val="00732D80"/>
    <w:rsid w:val="0073796B"/>
    <w:rsid w:val="00750D01"/>
    <w:rsid w:val="007643A0"/>
    <w:rsid w:val="007669A3"/>
    <w:rsid w:val="00781345"/>
    <w:rsid w:val="00784E57"/>
    <w:rsid w:val="0079749C"/>
    <w:rsid w:val="007A6460"/>
    <w:rsid w:val="007B0ADD"/>
    <w:rsid w:val="007C21FB"/>
    <w:rsid w:val="007E198F"/>
    <w:rsid w:val="007F5D6B"/>
    <w:rsid w:val="007F6EF7"/>
    <w:rsid w:val="008220A3"/>
    <w:rsid w:val="008244C0"/>
    <w:rsid w:val="00831531"/>
    <w:rsid w:val="0083302E"/>
    <w:rsid w:val="008336E7"/>
    <w:rsid w:val="00836E94"/>
    <w:rsid w:val="00847AD3"/>
    <w:rsid w:val="00851FE1"/>
    <w:rsid w:val="008624E8"/>
    <w:rsid w:val="00870892"/>
    <w:rsid w:val="008B1D72"/>
    <w:rsid w:val="008B2341"/>
    <w:rsid w:val="008B4F68"/>
    <w:rsid w:val="008B6738"/>
    <w:rsid w:val="008B7AF2"/>
    <w:rsid w:val="008C4231"/>
    <w:rsid w:val="008D49BD"/>
    <w:rsid w:val="00905C96"/>
    <w:rsid w:val="009174DA"/>
    <w:rsid w:val="00933061"/>
    <w:rsid w:val="00933087"/>
    <w:rsid w:val="00945B27"/>
    <w:rsid w:val="009540E4"/>
    <w:rsid w:val="00974186"/>
    <w:rsid w:val="009800DC"/>
    <w:rsid w:val="00983241"/>
    <w:rsid w:val="009900DE"/>
    <w:rsid w:val="009A41AA"/>
    <w:rsid w:val="009C0782"/>
    <w:rsid w:val="009C2C98"/>
    <w:rsid w:val="009C2D77"/>
    <w:rsid w:val="009C562E"/>
    <w:rsid w:val="009D10D1"/>
    <w:rsid w:val="00A06971"/>
    <w:rsid w:val="00A13387"/>
    <w:rsid w:val="00A30052"/>
    <w:rsid w:val="00A34FC4"/>
    <w:rsid w:val="00A445DF"/>
    <w:rsid w:val="00A5415F"/>
    <w:rsid w:val="00A60A37"/>
    <w:rsid w:val="00A60FBF"/>
    <w:rsid w:val="00A67305"/>
    <w:rsid w:val="00A7412B"/>
    <w:rsid w:val="00A833B5"/>
    <w:rsid w:val="00AB1DC2"/>
    <w:rsid w:val="00AD1AFD"/>
    <w:rsid w:val="00AE6CD6"/>
    <w:rsid w:val="00AF5FC8"/>
    <w:rsid w:val="00B022E5"/>
    <w:rsid w:val="00B47F61"/>
    <w:rsid w:val="00B532EC"/>
    <w:rsid w:val="00B602CF"/>
    <w:rsid w:val="00B60F58"/>
    <w:rsid w:val="00B66FFF"/>
    <w:rsid w:val="00B70F5B"/>
    <w:rsid w:val="00B753A8"/>
    <w:rsid w:val="00B84862"/>
    <w:rsid w:val="00B903E5"/>
    <w:rsid w:val="00BA69EF"/>
    <w:rsid w:val="00BA743D"/>
    <w:rsid w:val="00BB1111"/>
    <w:rsid w:val="00BB73C0"/>
    <w:rsid w:val="00BE5C43"/>
    <w:rsid w:val="00BF598C"/>
    <w:rsid w:val="00C3152B"/>
    <w:rsid w:val="00C354D9"/>
    <w:rsid w:val="00C365A8"/>
    <w:rsid w:val="00C43B66"/>
    <w:rsid w:val="00C458C2"/>
    <w:rsid w:val="00C666AC"/>
    <w:rsid w:val="00C66ABA"/>
    <w:rsid w:val="00C82447"/>
    <w:rsid w:val="00C97F7B"/>
    <w:rsid w:val="00CA5624"/>
    <w:rsid w:val="00CC3123"/>
    <w:rsid w:val="00CC37B3"/>
    <w:rsid w:val="00D10EB4"/>
    <w:rsid w:val="00D14EEC"/>
    <w:rsid w:val="00D22282"/>
    <w:rsid w:val="00D60A92"/>
    <w:rsid w:val="00D650E2"/>
    <w:rsid w:val="00D7373E"/>
    <w:rsid w:val="00D85532"/>
    <w:rsid w:val="00D9208E"/>
    <w:rsid w:val="00D95BC6"/>
    <w:rsid w:val="00D966FF"/>
    <w:rsid w:val="00DA3B4D"/>
    <w:rsid w:val="00DA5C0D"/>
    <w:rsid w:val="00DA5D7A"/>
    <w:rsid w:val="00DE199D"/>
    <w:rsid w:val="00DE1B54"/>
    <w:rsid w:val="00DE27BA"/>
    <w:rsid w:val="00E02AB3"/>
    <w:rsid w:val="00E05EEE"/>
    <w:rsid w:val="00E14AAE"/>
    <w:rsid w:val="00E2036F"/>
    <w:rsid w:val="00E3207D"/>
    <w:rsid w:val="00E3507E"/>
    <w:rsid w:val="00E536A4"/>
    <w:rsid w:val="00E7132A"/>
    <w:rsid w:val="00E83E60"/>
    <w:rsid w:val="00E86C78"/>
    <w:rsid w:val="00E948BD"/>
    <w:rsid w:val="00EC012E"/>
    <w:rsid w:val="00EE35F8"/>
    <w:rsid w:val="00EF1263"/>
    <w:rsid w:val="00EF3E57"/>
    <w:rsid w:val="00F01966"/>
    <w:rsid w:val="00F20884"/>
    <w:rsid w:val="00F21123"/>
    <w:rsid w:val="00F21419"/>
    <w:rsid w:val="00F21BAD"/>
    <w:rsid w:val="00F23144"/>
    <w:rsid w:val="00F240E9"/>
    <w:rsid w:val="00F462C7"/>
    <w:rsid w:val="00F574F4"/>
    <w:rsid w:val="00F93A56"/>
    <w:rsid w:val="00FA792D"/>
    <w:rsid w:val="00FC2D38"/>
    <w:rsid w:val="00FC70C8"/>
    <w:rsid w:val="00FD6F18"/>
    <w:rsid w:val="00FE56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styleId="Hiperpovezava">
    <w:name w:val="Hyperlink"/>
    <w:basedOn w:val="Privzetapisavaodstavka"/>
    <w:uiPriority w:val="99"/>
    <w:unhideWhenUsed/>
    <w:rsid w:val="001776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srs.si/pregledPredpisa?id=PRAV1000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2.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4.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6622</Words>
  <Characters>37751</Characters>
  <Application>Microsoft Office Word</Application>
  <DocSecurity>0</DocSecurity>
  <Lines>314</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2025-10-08T12:52:00Z</dcterms:created>
  <dcterms:modified xsi:type="dcterms:W3CDTF">2025-10-09T11:46:00Z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