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6110A2C3" w:rsidR="0073796B" w:rsidRPr="0039662C" w:rsidRDefault="00D10EB4" w:rsidP="0039662C">
      <w:pPr>
        <w:pStyle w:val="Naslov1"/>
      </w:pPr>
      <w:r>
        <w:t>1</w:t>
      </w:r>
      <w:r w:rsidR="002856E5">
        <w:t>7</w:t>
      </w:r>
      <w:r w:rsidR="006B3F12">
        <w:t>1</w:t>
      </w:r>
      <w:r w:rsidR="0073796B" w:rsidRPr="0039662C">
        <w:t>. redna seja Vlade Republike Slovenije</w:t>
      </w:r>
    </w:p>
    <w:p w14:paraId="27F30B92" w14:textId="222912BF" w:rsidR="0073796B" w:rsidRDefault="006B3F12" w:rsidP="008B7AF2">
      <w:pPr>
        <w:pStyle w:val="DatumSZJ"/>
      </w:pPr>
      <w:r>
        <w:t>2</w:t>
      </w:r>
      <w:r w:rsidR="002856E5">
        <w:t>.</w:t>
      </w:r>
      <w:r w:rsidR="008220A3">
        <w:t xml:space="preserve"> </w:t>
      </w:r>
      <w:r>
        <w:t>okto</w:t>
      </w:r>
      <w:r w:rsidR="006F29FA">
        <w:t>ber</w:t>
      </w:r>
      <w:r w:rsidR="00DA3B4D">
        <w:t xml:space="preserve"> </w:t>
      </w:r>
      <w:r w:rsidR="0073796B" w:rsidRPr="008B7AF2">
        <w:t>202</w:t>
      </w:r>
      <w:r w:rsidR="00F21123">
        <w:t>5</w:t>
      </w:r>
    </w:p>
    <w:p w14:paraId="3ECCF407" w14:textId="7ED0EE17" w:rsidR="00A5538E" w:rsidRDefault="00A5538E" w:rsidP="00A5538E">
      <w:pPr>
        <w:pStyle w:val="Naslov2"/>
      </w:pPr>
      <w:r>
        <w:t xml:space="preserve">Vlada izdala uredbo, ki varuje vodo v občinah Litija in Šmartno pri Litiji </w:t>
      </w:r>
    </w:p>
    <w:p w14:paraId="39C27EA7" w14:textId="458B7FD6" w:rsidR="00A5538E" w:rsidRDefault="00A5538E" w:rsidP="00A5538E">
      <w:r>
        <w:t xml:space="preserve">Vlada je izdala uredbo o </w:t>
      </w:r>
      <w:proofErr w:type="spellStart"/>
      <w:r>
        <w:t>vodoarstvenih</w:t>
      </w:r>
      <w:proofErr w:type="spellEnd"/>
      <w:r>
        <w:t xml:space="preserve"> območjih za javno oskrbo s pitno vodo v občini Litija in delu občine Šmartno pri Litiji. Uredba varuje kakovost in količino vode za javno oskrbo ter preprečuje onesnaženje, degradacijo vodonosnikov in vplive, ki bi lahko ogrozili pitno vodo. Zagotavlja tudi trajnostno upravljanje z vodnimi viri.</w:t>
      </w:r>
    </w:p>
    <w:p w14:paraId="7581AF58" w14:textId="77777777" w:rsidR="00A5538E" w:rsidRDefault="00A5538E" w:rsidP="00A5538E"/>
    <w:p w14:paraId="0B30CBA4" w14:textId="11183A93" w:rsidR="00A5538E" w:rsidRDefault="00A5538E" w:rsidP="00A5538E">
      <w:r>
        <w:t xml:space="preserve">Uredba določa območja varovanja vodnih zajetij (vodovarstvena območja), ki se uporabljajo za javno oskrbo s pitno vodo. Določa tudi vodovarstveni režim za varovanje vodnih teles, ki se uporabljajo za odvzem ali so namenjena za javno oskrbo s pitno vodo, pred onesnaževanjem. Pri določitvi režima so upoštevane naravne danosti, obstoječe stanje prostora in načrtovane dejavnosti v prostoru. Z jasnimi pravili na vodovarstvenih območjih za rabo zemljišč, s prostorskim načrtovanjem ter z opredelitvijo odgovornosti </w:t>
      </w:r>
      <w:proofErr w:type="spellStart"/>
      <w:proofErr w:type="gramStart"/>
      <w:r>
        <w:t>upravljalcev</w:t>
      </w:r>
      <w:proofErr w:type="spellEnd"/>
      <w:proofErr w:type="gramEnd"/>
      <w:r>
        <w:t xml:space="preserve"> in lastnikov zemljišč zmanjšujemo tveganja za onesnaženje in vpliv na pitno vodo.</w:t>
      </w:r>
    </w:p>
    <w:p w14:paraId="04AA8246" w14:textId="6A01120A" w:rsidR="00FE4D64" w:rsidRDefault="00A5538E" w:rsidP="00A5538E">
      <w:pPr>
        <w:pStyle w:val="Vir"/>
      </w:pPr>
      <w:r>
        <w:t>Vir: Ministrstvo za naravne vire in prostor</w:t>
      </w:r>
    </w:p>
    <w:p w14:paraId="175211A4" w14:textId="2D8E6573" w:rsidR="00BA5695" w:rsidRDefault="00BA5695" w:rsidP="00BA5695">
      <w:pPr>
        <w:pStyle w:val="Naslov2"/>
      </w:pPr>
      <w:r>
        <w:t xml:space="preserve">Vlada izdala Odlok o ustanovitvi Sveta Republike Slovenije za upravljanje varnosti v civilnem letalstvu </w:t>
      </w:r>
    </w:p>
    <w:p w14:paraId="18506A08" w14:textId="4AD6ABCB" w:rsidR="00BA5695" w:rsidRDefault="00BA5695" w:rsidP="00BA5695">
      <w:r>
        <w:t xml:space="preserve">Zakon o letalstvu določa, da Vlada Republike Slovenije na predlog ministra, pristojnega za promet, ustanovi Svet Republike Slovenije za upravljanje varnosti v civilnem letalstvu, ki je pristojen za strateško upravljanje varnosti v civilnem letalstvu v skladu z nacionalnimi in mednarodnimi zahtevami in mednarodnimi standardi Mednarodne organizacije za civilno letalstvo, spremljanje in koordiniranje izvajanja državnega varnostnega programa, predlaganje sprememb in dopolnitev državnega varnostnega programa z upoštevanjem ravni varnostne uspešnosti ter dajanje predlogov in smernic za izvedbo državnega varnostnega programa. </w:t>
      </w:r>
    </w:p>
    <w:p w14:paraId="60007AD0" w14:textId="77777777" w:rsidR="00BA5695" w:rsidRDefault="00BA5695" w:rsidP="00BA5695"/>
    <w:p w14:paraId="0D746976" w14:textId="170C6419" w:rsidR="00BA5695" w:rsidRDefault="00BA5695" w:rsidP="00BA5695">
      <w:r>
        <w:t>Člani sveta, ki jih imenuje Vlada, so predstavniki ministrstva, pristojnega za promet, Javne agencije za civilno letalstvo Republike Slovenije, organa za preiskave v zvezi z varnostjo, ministrstva, pristojnega za notranje zadeve, ministrstva, pristojnega za obrambo, organa, pristojnega za zaščito in reševanje</w:t>
      </w:r>
      <w:r w:rsidR="008F2298">
        <w:t xml:space="preserve">, </w:t>
      </w:r>
      <w:r>
        <w:t>ter predstavnik Kontrole zračnega prometa Slovenije, d. o. o.</w:t>
      </w:r>
    </w:p>
    <w:p w14:paraId="6BBBCD4A" w14:textId="45FE9CEC" w:rsidR="00FE4D64" w:rsidRDefault="00BA5695" w:rsidP="00BA5695">
      <w:pPr>
        <w:pStyle w:val="Vir"/>
      </w:pPr>
      <w:r>
        <w:t>Vir: Ministrstvo za infrastrukturo</w:t>
      </w:r>
    </w:p>
    <w:p w14:paraId="6E222B07" w14:textId="53B7A251" w:rsidR="00F45A8D" w:rsidRDefault="00F45A8D" w:rsidP="00F45A8D">
      <w:pPr>
        <w:pStyle w:val="Naslov2"/>
      </w:pPr>
      <w:r>
        <w:t>Sklep o določitvi objektov, katerih odstranitev je nujno potrebna</w:t>
      </w:r>
      <w:proofErr w:type="gramStart"/>
      <w:r>
        <w:t xml:space="preserve"> in</w:t>
      </w:r>
      <w:proofErr w:type="gramEnd"/>
      <w:r>
        <w:t xml:space="preserve"> v javno korist </w:t>
      </w:r>
    </w:p>
    <w:p w14:paraId="2FD9A9E0" w14:textId="77777777" w:rsidR="00F45A8D" w:rsidRDefault="00F45A8D" w:rsidP="00F45A8D">
      <w:r>
        <w:t xml:space="preserve">Republiko Slovenijo je 4. avgusta 2023 prizadela naravna nesreča večjega obsega, ki je zaradi obsežnega deževja povzročila poplave in zemeljske plazove. V skladu s </w:t>
      </w:r>
      <w:proofErr w:type="spellStart"/>
      <w:r>
        <w:t>151.a</w:t>
      </w:r>
      <w:proofErr w:type="spellEnd"/>
      <w:r>
        <w:t xml:space="preserve"> členom Zakona o interventnih ukrepih za odpravo posledic poplav in zemeljskih plazov iz avgusta 2023 se zaradi velike ogroženosti zaradi poplav, erozije, zemeljskega ali hribinskega plazu in s tem povezano veliko nevarnostjo porušitve ali znatnega poškodovanja objektov, s čimer bi lahko nastale škodljive posledice za življenje in zdravje ljudi, takšni objekti nujno odstranijo. </w:t>
      </w:r>
    </w:p>
    <w:p w14:paraId="4C56B371" w14:textId="77777777" w:rsidR="00F45A8D" w:rsidRDefault="00F45A8D" w:rsidP="00F45A8D"/>
    <w:p w14:paraId="352ED150" w14:textId="77777777" w:rsidR="00F45A8D" w:rsidRDefault="00F45A8D" w:rsidP="00F45A8D">
      <w:r>
        <w:lastRenderedPageBreak/>
        <w:t xml:space="preserve">Vlada Republike Slovenije je na današnji seji sprejela Sklep o določitvi osmih (8) objektov, katerih odstranitev je nujno potrebna in v javno korist, na območju Občine Ravne na Koroškem, Občine Cerkvenjak, Občine Gornji Grad, Občine Hrastnik, Občine Rečica ob Savinji in Občine Vojnik. </w:t>
      </w:r>
    </w:p>
    <w:p w14:paraId="6020CD0B" w14:textId="77777777" w:rsidR="00F45A8D" w:rsidRDefault="00F45A8D" w:rsidP="00F45A8D"/>
    <w:p w14:paraId="6566F6CF" w14:textId="77777777" w:rsidR="00F45A8D" w:rsidRDefault="00F45A8D" w:rsidP="00F45A8D">
      <w:r>
        <w:t xml:space="preserve">S sklepom je Vlada Republike Slovenije določila objekte za nujno odstranitev in ugotovi javno korist z namenom odstranitve nepremičnine ter nadomestitev z eno od zakonskih možnosti, vključno z nadomestitvenim objektom. Sklepi temeljijo na strokovnih mnenjih, ki jih je pripravila Državna tehnična pisarna v okviru Službe Vlade Republike Slovenije za obnovo po poplavah in plazovih in jih je predhodno potrdil Svet Vlade Republike Slovenije za obnovo. </w:t>
      </w:r>
    </w:p>
    <w:p w14:paraId="3A175EE8" w14:textId="77777777" w:rsidR="00F45A8D" w:rsidRDefault="00F45A8D" w:rsidP="00F45A8D"/>
    <w:p w14:paraId="2DA0BFDA" w14:textId="77777777" w:rsidR="00F45A8D" w:rsidRDefault="00F45A8D" w:rsidP="00F45A8D">
      <w:r>
        <w:t xml:space="preserve">Gradivo je bilo javno razgrnjeno od vključno 28. avgusta do vključno 15. septembra 2025. V okviru javne razgrnitve je imela javnost možnost dajanja pripomb in predlogov. V okviru javne </w:t>
      </w:r>
      <w:proofErr w:type="gramStart"/>
      <w:r>
        <w:t xml:space="preserve">razgrnitve  </w:t>
      </w:r>
      <w:proofErr w:type="gramEnd"/>
      <w:r>
        <w:t xml:space="preserve">vladna služba za obnovo ni prejela nobenih pripomb in vprašanj. </w:t>
      </w:r>
    </w:p>
    <w:p w14:paraId="0AECD24F" w14:textId="77777777" w:rsidR="00F45A8D" w:rsidRDefault="00F45A8D" w:rsidP="00F45A8D"/>
    <w:p w14:paraId="3A4CD872" w14:textId="57D11739" w:rsidR="00F45A8D" w:rsidRDefault="00F45A8D" w:rsidP="00F45A8D">
      <w:r>
        <w:t xml:space="preserve">Predvidoma bodo potrebna sredstva v višini 3.200.000,00 </w:t>
      </w:r>
      <w:proofErr w:type="gramStart"/>
      <w:r>
        <w:t>evrov za izplačilo odškodnin za navedene objekte</w:t>
      </w:r>
      <w:proofErr w:type="gramEnd"/>
      <w:r>
        <w:t xml:space="preserve">. Predloženi sklep je podlaga za cenitev, ko bo ta opravljena, bo znana konkretna vrednost za vsak posamezni objekt. V nadaljevanju postopka bo podpisana pogodba, s katero se določi nadomestitev nepremičnine, določene za odstranitev. V skladu s </w:t>
      </w:r>
      <w:proofErr w:type="spellStart"/>
      <w:r>
        <w:t>151.č</w:t>
      </w:r>
      <w:proofErr w:type="spellEnd"/>
      <w:r>
        <w:t xml:space="preserve"> členom ZIUOPZP lahko država lastniku nepremičnine z objektom za odstranitev zagotovi lastninsko pravico na enakovredni nepremičnini, razen če lastnik nepremičnine z objektom za odstranitev zahteva odškodnino. Če lastnik nepremičnine z objektom za odstranitev sam predlaga nadomestno nepremičnino, to nepremičnino država odkupi in prenese na tega lastnika, če je s cenitvijo obeh nepremičnin ugotovljena njuna enakovrednost. V primeru, da je vrednost ocenjene nadomestne nepremičnine manjša od vrednosti ocenjene nepremičnine z objektom za odstranitev, in lastnik nepremičnine z objektom za odstranitev pristane na tako nadomestilo, država temu lastniku plača razliko v vrednosti med nepremičninama v denarju. Če je vrednost ocenjene nadomestne nepremičnine z objektom za odstranitev večja od vrednosti ocenjene nepremičnine z objektom za odstranitev, država nadomestno nepremičnino odkupi, če lastnik nepremičnine z objektom za odstranitev plača razliko v vrednosti med nepremičninama. </w:t>
      </w:r>
    </w:p>
    <w:p w14:paraId="21B8269D" w14:textId="77777777" w:rsidR="00F45A8D" w:rsidRDefault="00F45A8D" w:rsidP="00F45A8D">
      <w:pPr>
        <w:pStyle w:val="Vir"/>
      </w:pPr>
      <w:r>
        <w:t xml:space="preserve">Vir: </w:t>
      </w:r>
      <w:r w:rsidRPr="005F1C47">
        <w:t>Služba vlade za obnovo po poplavah in plazovih</w:t>
      </w:r>
    </w:p>
    <w:p w14:paraId="79FB5E05" w14:textId="4156BB74" w:rsidR="00AF2406" w:rsidRDefault="00AF2406" w:rsidP="00AF2406">
      <w:pPr>
        <w:pStyle w:val="Naslov2"/>
      </w:pPr>
      <w:r>
        <w:t>Vlada razglasila leto 2026 za leto pisateljice Zofke Kveder</w:t>
      </w:r>
    </w:p>
    <w:p w14:paraId="3B52E33F" w14:textId="77777777" w:rsidR="00AF2406" w:rsidRDefault="00AF2406" w:rsidP="00AF2406">
      <w:r>
        <w:t>Vlada RS je na današnji seji sprejela sklep, da se leto 2026 razglasi za leto pisateljice Zofke Kveder. Leta 2026 bo minilo sto let od smrti pisateljice, prevajalke, publicistke in urednice, ki je s svojim delom pomembno zaznamovala slovensko književnost in kulturo ter se uveljavila tudi v širšem srednjeevropskem prostoru.</w:t>
      </w:r>
    </w:p>
    <w:p w14:paraId="19FFBF15" w14:textId="77777777" w:rsidR="00AF2406" w:rsidRDefault="00AF2406" w:rsidP="00AF2406"/>
    <w:p w14:paraId="75E4C46C" w14:textId="4C9F6558" w:rsidR="00AF2406" w:rsidRDefault="00AF2406" w:rsidP="00AF2406">
      <w:r>
        <w:t>Zofka Kveder (1878–1926), rojena v Ljubljani, velja za eno ključnih predstavnic slovenske moderne in pionirko na področju literarnega upodabljanja ženskih likov. Njeno ustvarjanje obsega prozo, dramska besedila, eseje, kritike in prevode, poleg tega pa je bila aktivna zagovornica ženskih pravic in enakopravnosti. Njena dela so izhajala v številnih evropskih jezikih, med drugim v nemščini, češčini, hrvaščini in poljščini, kar je pomembno prispevalo k uveljavljanju slovenske literature v mednarodnem prostoru.</w:t>
      </w:r>
    </w:p>
    <w:p w14:paraId="05A7A02C" w14:textId="77777777" w:rsidR="00AF2406" w:rsidRDefault="00AF2406" w:rsidP="00AF2406"/>
    <w:p w14:paraId="64504996" w14:textId="03524181" w:rsidR="00AF2406" w:rsidRDefault="00AF2406" w:rsidP="00AF2406">
      <w:r>
        <w:t>Zofka Kveder je bila tudi pomembna mentorica mlajšim ustvarjalcem in ustvarjalkam, urednica številnih revij ter prva slovenska pisateljica, uvrščena v zbirko Zbrana dela slovenskih pesnikov in pisateljev.</w:t>
      </w:r>
    </w:p>
    <w:p w14:paraId="617525B8" w14:textId="77777777" w:rsidR="00AF2406" w:rsidRDefault="00AF2406" w:rsidP="00AF2406"/>
    <w:p w14:paraId="7723DE20" w14:textId="0AB87535" w:rsidR="00AF2406" w:rsidRDefault="00AF2406" w:rsidP="00AF2406">
      <w:r>
        <w:t xml:space="preserve">Razglasitev leta pisateljice Zofke Kveder ponuja priložnost za celovit premislek o vlogi žensk v slovenski zgodovini, kulturi in družbi. Ministrstvo za kulturo bo v okviru leta 2026 k pripravi posebnih </w:t>
      </w:r>
      <w:r>
        <w:lastRenderedPageBreak/>
        <w:t>vsebin in projektov povabilo javne zavode, sklade in agencije s področja kulture, hkrati pa k sodelovanju tudi druge resorje, saj sporočilo in aktualnost Zofke Kveder presegata kulturni okvir.</w:t>
      </w:r>
    </w:p>
    <w:p w14:paraId="7DCC2E38" w14:textId="360D5B46" w:rsidR="00FE4D64" w:rsidRDefault="00AF2406" w:rsidP="00AF2406">
      <w:pPr>
        <w:pStyle w:val="Vir"/>
      </w:pPr>
      <w:r>
        <w:t>Vir: Ministrstvo za kulturo</w:t>
      </w:r>
    </w:p>
    <w:p w14:paraId="6C1547CB" w14:textId="163C30C7" w:rsidR="00985D20" w:rsidRDefault="00985D20" w:rsidP="00985D20">
      <w:pPr>
        <w:pStyle w:val="Naslov2"/>
      </w:pPr>
      <w:r>
        <w:t>Spodbude za nakup električnih koles tudi v letih 2025 in 2026</w:t>
      </w:r>
    </w:p>
    <w:p w14:paraId="7449D8DB" w14:textId="77777777" w:rsidR="00985D20" w:rsidRDefault="00985D20" w:rsidP="00985D20">
      <w:r>
        <w:t>Vlada je v veljavni Načrt razvojnih programov 2025–2028 uvrstila nov projekt, s katerim bo v letih 2025 in 2026 omogočeno sofinanciranje nakupa električnih koles za fizične osebe.</w:t>
      </w:r>
    </w:p>
    <w:p w14:paraId="50113CCC" w14:textId="77777777" w:rsidR="00985D20" w:rsidRDefault="00985D20" w:rsidP="00985D20"/>
    <w:p w14:paraId="40564609" w14:textId="77777777" w:rsidR="00985D20" w:rsidRDefault="00985D20" w:rsidP="00985D20">
      <w:r>
        <w:t xml:space="preserve">Projekt se izvaja v okviru Sklada za podnebne spremembe, ki sredstva usmerja v ukrepe za razogljičenje prometa. Sofinanciranje nakupa e-koles spodbuja prebivalce k trajnostni mobilnosti, zmanjšuje emisije toplogrednih plinov ter prispeva k čistejšemu zraku, </w:t>
      </w:r>
      <w:proofErr w:type="gramStart"/>
      <w:r>
        <w:t>tišjem</w:t>
      </w:r>
      <w:proofErr w:type="gramEnd"/>
      <w:r>
        <w:t xml:space="preserve"> okolju in boljšemu zdravju ljudi.</w:t>
      </w:r>
    </w:p>
    <w:p w14:paraId="48C99EA3" w14:textId="77777777" w:rsidR="00985D20" w:rsidRDefault="00985D20" w:rsidP="00985D20"/>
    <w:p w14:paraId="79D7A51C" w14:textId="77777777" w:rsidR="00985D20" w:rsidRDefault="00985D20" w:rsidP="00985D20">
      <w:r>
        <w:t>Sredstva bodo namenjena nakupu električnih mestnih, zložljivih in tovornih koles. Višina subvencije bo znašala do 25</w:t>
      </w:r>
      <w:proofErr w:type="gramStart"/>
      <w:r>
        <w:t xml:space="preserve"> %</w:t>
      </w:r>
      <w:proofErr w:type="gramEnd"/>
      <w:r>
        <w:t xml:space="preserve"> maloprodajne cene (največ 500 evrov) za mestna in zložljiva kolesa ter do 30 % maloprodajne cene (največ 1.000 evrov) za tovorna e-kolesa. Do subvencije bodo upravičene polnoletne fizične osebe, javni poziv pa bo objavil Borzen, operater trga z elektriko.</w:t>
      </w:r>
    </w:p>
    <w:p w14:paraId="60E61177" w14:textId="77777777" w:rsidR="00985D20" w:rsidRDefault="00985D20" w:rsidP="00985D20"/>
    <w:p w14:paraId="7538EA74" w14:textId="77777777" w:rsidR="00985D20" w:rsidRDefault="00985D20" w:rsidP="00985D20">
      <w:r>
        <w:t>V letih 2024 in 2025 je bilo s podobnimi spodbudami že sofinanciranih več kot 10.000 električnih koles. Ta bodo v svoji življenjski dobi lahko prihranila do 3.580 ton CO</w:t>
      </w:r>
      <w:r>
        <w:rPr>
          <w:rFonts w:ascii="Cambria Math" w:hAnsi="Cambria Math" w:cs="Cambria Math"/>
        </w:rPr>
        <w:t>₂</w:t>
      </w:r>
      <w:r>
        <w:t>. Novi projekt predvideva dodatnih 4.443 e-koles:</w:t>
      </w:r>
    </w:p>
    <w:p w14:paraId="23875762" w14:textId="77777777" w:rsidR="00985D20" w:rsidRDefault="00985D20" w:rsidP="00985D20">
      <w:r>
        <w:t>•</w:t>
      </w:r>
      <w:r>
        <w:tab/>
        <w:t>v letu 2025 približno 2.666,</w:t>
      </w:r>
    </w:p>
    <w:p w14:paraId="1A300C2B" w14:textId="77777777" w:rsidR="00985D20" w:rsidRDefault="00985D20" w:rsidP="00985D20">
      <w:r>
        <w:t>•</w:t>
      </w:r>
      <w:r>
        <w:tab/>
        <w:t>v letu 2026 približno 1.777.</w:t>
      </w:r>
    </w:p>
    <w:p w14:paraId="404F7EA0" w14:textId="77777777" w:rsidR="00985D20" w:rsidRDefault="00985D20" w:rsidP="00985D20"/>
    <w:p w14:paraId="44B99206" w14:textId="77777777" w:rsidR="00985D20" w:rsidRDefault="00985D20" w:rsidP="00985D20">
      <w:r>
        <w:t>Za subvencije bo namenjenih 2 milijona evrov iz Podnebnega sklada, upravičenci pa bodo prispevali dodatnih 6 milijonov evrov lastnih sredstev. Skupna vrednost projekta tako znaša 8 milijonov evrov.</w:t>
      </w:r>
    </w:p>
    <w:p w14:paraId="1E23B81D" w14:textId="77777777" w:rsidR="00985D20" w:rsidRDefault="00985D20" w:rsidP="00985D20"/>
    <w:p w14:paraId="5B5AF265" w14:textId="77777777" w:rsidR="00985D20" w:rsidRDefault="00985D20" w:rsidP="00985D20">
      <w:r>
        <w:t>Z novim projektom bi lahko do leta 2026 prihranili do 1.593 ton CO</w:t>
      </w:r>
      <w:r>
        <w:rPr>
          <w:rFonts w:ascii="Cambria Math" w:hAnsi="Cambria Math" w:cs="Cambria Math"/>
        </w:rPr>
        <w:t>₂</w:t>
      </w:r>
      <w:r>
        <w:t xml:space="preserve">, </w:t>
      </w:r>
      <w:r>
        <w:rPr>
          <w:rFonts w:cs="Arial"/>
        </w:rPr>
        <w:t>č</w:t>
      </w:r>
      <w:r>
        <w:t>e bodo e-kolesa uporabljena za vsakodnevne poti na delo in kraj</w:t>
      </w:r>
      <w:r>
        <w:rPr>
          <w:rFonts w:cs="Arial"/>
        </w:rPr>
        <w:t>š</w:t>
      </w:r>
      <w:r>
        <w:t>e opravke namesto avtomobilov na notranje zgorevanje.</w:t>
      </w:r>
    </w:p>
    <w:p w14:paraId="081DA3B1" w14:textId="4B11FFEE" w:rsidR="00FE4D64" w:rsidRDefault="00985D20" w:rsidP="00985D20">
      <w:pPr>
        <w:pStyle w:val="Vir"/>
      </w:pPr>
      <w:r>
        <w:t>Vir: Ministrstvo za okolje, podnebje in energijo</w:t>
      </w:r>
    </w:p>
    <w:p w14:paraId="49EC6AEA" w14:textId="51A2E618" w:rsidR="00B35FB8" w:rsidRDefault="00B35FB8" w:rsidP="00B35FB8">
      <w:pPr>
        <w:pStyle w:val="Naslov2"/>
      </w:pPr>
      <w:r>
        <w:t>Vlada v Načrtu razvojnih programov spremenila vrednost projekta za odkup nepremičnin UKC Maribor</w:t>
      </w:r>
    </w:p>
    <w:p w14:paraId="41D6C227" w14:textId="77777777" w:rsidR="00B35FB8" w:rsidRDefault="00B35FB8" w:rsidP="00B35FB8">
      <w:r>
        <w:t xml:space="preserve">Na podlagi novelacije </w:t>
      </w:r>
      <w:proofErr w:type="gramStart"/>
      <w:r>
        <w:t>investicijske</w:t>
      </w:r>
      <w:proofErr w:type="gramEnd"/>
      <w:r>
        <w:t xml:space="preserve"> dokumentacije, in sicer zaradi spremembe vrednosti stanovanj, delitve etažne lastnine ter vključitve stroškov rušenja stavb, je Vlada RS v veljavnem Načrtu razvojnih programov 2025–2028 spremenila vrednost projekta Odkup nepremičnin UKC Maribor. </w:t>
      </w:r>
    </w:p>
    <w:p w14:paraId="66E32B7B" w14:textId="77777777" w:rsidR="00B35FB8" w:rsidRDefault="00B35FB8" w:rsidP="00B35FB8"/>
    <w:p w14:paraId="3407FB4E" w14:textId="77777777" w:rsidR="00B35FB8" w:rsidRDefault="00B35FB8" w:rsidP="00B35FB8">
      <w:r>
        <w:t>Predmet spremenjenega oziroma dopolnjenega projekta je odkup vseh navedenih stanovanjskih enot ter rušitev stavb na Masarykovi 24–26 v Mariboru. Nepremičnina predstavlja zemljišče, ki je predvideno za širitev zdravstvene dejavnosti UKC Maribor.</w:t>
      </w:r>
    </w:p>
    <w:p w14:paraId="3140AF36" w14:textId="77777777" w:rsidR="00B35FB8" w:rsidRDefault="00B35FB8" w:rsidP="00B35FB8"/>
    <w:p w14:paraId="198E7639" w14:textId="77777777" w:rsidR="00B35FB8" w:rsidRDefault="00B35FB8" w:rsidP="00B35FB8">
      <w:r>
        <w:t xml:space="preserve">Prvotna vrednost projekta je bila </w:t>
      </w:r>
      <w:proofErr w:type="gramStart"/>
      <w:r>
        <w:t>2.394.121</w:t>
      </w:r>
      <w:proofErr w:type="gramEnd"/>
      <w:r>
        <w:t xml:space="preserve"> evra, nova vrednost projekta pa znaša 3.341.288,83 evra. Proračunska sredstva za izvedbo projekta so zagotovljena v finančnem načrtu Urada RS za nadzor, kakovost in </w:t>
      </w:r>
      <w:proofErr w:type="gramStart"/>
      <w:r>
        <w:t>investicije</w:t>
      </w:r>
      <w:proofErr w:type="gramEnd"/>
      <w:r>
        <w:t xml:space="preserve"> v zdravstvu.</w:t>
      </w:r>
    </w:p>
    <w:p w14:paraId="2A6ABDB9" w14:textId="095A26C0" w:rsidR="00FE4D64" w:rsidRDefault="00B35FB8" w:rsidP="00B35FB8">
      <w:pPr>
        <w:pStyle w:val="Vir"/>
      </w:pPr>
      <w:r>
        <w:t>Vir: Ministrstvo za zdravje</w:t>
      </w:r>
    </w:p>
    <w:p w14:paraId="5168C3DE" w14:textId="0D1241AB" w:rsidR="002D761E" w:rsidRDefault="002D761E" w:rsidP="002D761E">
      <w:pPr>
        <w:pStyle w:val="Naslov2"/>
      </w:pPr>
      <w:r>
        <w:t>Vlada sprejela Letno poročilo JSKD za leto 2024</w:t>
      </w:r>
    </w:p>
    <w:p w14:paraId="3B2EF7A9" w14:textId="347188EF" w:rsidR="002D761E" w:rsidRDefault="002D761E" w:rsidP="002D761E">
      <w:r>
        <w:lastRenderedPageBreak/>
        <w:t>Vlada je na današnji seji sprejela Letno poročilo Javnega sklada RS za kulturne dejavnosti (JSKD) za leto 2024 in odločila, da se presežek prihodkov nad odhodki v višini 847,06 evra nameni za financiranje delovanja sklada v tekočem poslovnem letu.</w:t>
      </w:r>
    </w:p>
    <w:p w14:paraId="13DFEA56" w14:textId="1910ACFB" w:rsidR="002D761E" w:rsidRDefault="002D761E" w:rsidP="002D761E">
      <w:r>
        <w:t>Ljubiteljska kultura je hrbtenica kulturnega življenja po vsej državi. Poročilo JSKD potrjuje, da kljub draginjskim pritiskom program teče kakovostno, dostopno in z močno vpetostjo v lokalne skupnosti.</w:t>
      </w:r>
    </w:p>
    <w:p w14:paraId="45B95D0F" w14:textId="77777777" w:rsidR="002D761E" w:rsidRDefault="002D761E" w:rsidP="002D761E"/>
    <w:p w14:paraId="102D93DA" w14:textId="2FC8CEFC" w:rsidR="002D761E" w:rsidRDefault="002D761E" w:rsidP="002D761E">
      <w:r>
        <w:t>Ključni podatki 2024</w:t>
      </w:r>
    </w:p>
    <w:p w14:paraId="06E09C6B" w14:textId="77777777" w:rsidR="002D761E" w:rsidRDefault="002D761E" w:rsidP="002D761E"/>
    <w:p w14:paraId="3F8DC4EC" w14:textId="56D6460B" w:rsidR="002D761E" w:rsidRDefault="002D761E" w:rsidP="002D761E">
      <w:pPr>
        <w:pStyle w:val="Odstavekseznama"/>
        <w:numPr>
          <w:ilvl w:val="0"/>
          <w:numId w:val="10"/>
        </w:numPr>
      </w:pPr>
      <w:r>
        <w:t>2.169 kulturnih prireditev s skupno 265.849 obiskovalci.</w:t>
      </w:r>
    </w:p>
    <w:p w14:paraId="3CC86A73" w14:textId="53F2C9B4" w:rsidR="002D761E" w:rsidRDefault="002D761E" w:rsidP="002D761E">
      <w:pPr>
        <w:pStyle w:val="Odstavekseznama"/>
        <w:numPr>
          <w:ilvl w:val="0"/>
          <w:numId w:val="10"/>
        </w:numPr>
      </w:pPr>
      <w:r>
        <w:t>690 seminarjev in delavnic; 34 založniških projektov.</w:t>
      </w:r>
    </w:p>
    <w:p w14:paraId="6FA89A03" w14:textId="7CAACDC7" w:rsidR="002D761E" w:rsidRDefault="002D761E" w:rsidP="002D761E">
      <w:pPr>
        <w:pStyle w:val="Odstavekseznama"/>
        <w:numPr>
          <w:ilvl w:val="0"/>
          <w:numId w:val="10"/>
        </w:numPr>
      </w:pPr>
      <w:r>
        <w:t>Območno: 871 prireditev / 104.317 obiskovalcev.</w:t>
      </w:r>
    </w:p>
    <w:p w14:paraId="322955EF" w14:textId="14FDC33C" w:rsidR="002D761E" w:rsidRDefault="002D761E" w:rsidP="002D761E">
      <w:pPr>
        <w:pStyle w:val="Odstavekseznama"/>
        <w:numPr>
          <w:ilvl w:val="0"/>
          <w:numId w:val="10"/>
        </w:numPr>
      </w:pPr>
      <w:r>
        <w:t>Regijsko: 210 programov in prireditev / 20.313 obiskovalcev.</w:t>
      </w:r>
    </w:p>
    <w:p w14:paraId="76D27A94" w14:textId="2A602848" w:rsidR="002D761E" w:rsidRDefault="002D761E" w:rsidP="002D761E">
      <w:pPr>
        <w:pStyle w:val="Odstavekseznama"/>
        <w:numPr>
          <w:ilvl w:val="0"/>
          <w:numId w:val="10"/>
        </w:numPr>
      </w:pPr>
      <w:r>
        <w:t>Državno: 61 prireditev (za 20 več kot 2023) / 13.280 obiskovalcev.</w:t>
      </w:r>
    </w:p>
    <w:p w14:paraId="03B567EC" w14:textId="22C612AF" w:rsidR="002D761E" w:rsidRDefault="002D761E" w:rsidP="002D761E">
      <w:pPr>
        <w:pStyle w:val="Odstavekseznama"/>
        <w:numPr>
          <w:ilvl w:val="0"/>
          <w:numId w:val="10"/>
        </w:numPr>
      </w:pPr>
      <w:r>
        <w:t xml:space="preserve">Prihodki: 6.951.758,40 evra (↑ za 453.835,44 </w:t>
      </w:r>
      <w:proofErr w:type="spellStart"/>
      <w:r>
        <w:t>evrta</w:t>
      </w:r>
      <w:proofErr w:type="spellEnd"/>
      <w:r>
        <w:t xml:space="preserve"> glede na 2023).</w:t>
      </w:r>
    </w:p>
    <w:p w14:paraId="6160686D" w14:textId="65707216" w:rsidR="002D761E" w:rsidRDefault="002D761E" w:rsidP="002D761E">
      <w:pPr>
        <w:pStyle w:val="Odstavekseznama"/>
        <w:numPr>
          <w:ilvl w:val="0"/>
          <w:numId w:val="10"/>
        </w:numPr>
      </w:pPr>
      <w:r>
        <w:t>Odhodki: 6.950.911,34 evra.</w:t>
      </w:r>
    </w:p>
    <w:p w14:paraId="4A93176E" w14:textId="5F1FD0CC" w:rsidR="002D761E" w:rsidRDefault="002D761E" w:rsidP="002D761E">
      <w:pPr>
        <w:pStyle w:val="Odstavekseznama"/>
        <w:numPr>
          <w:ilvl w:val="0"/>
          <w:numId w:val="10"/>
        </w:numPr>
      </w:pPr>
      <w:r>
        <w:t>Presežek: 847,06 evra → namenjen za delovanje JSKD.</w:t>
      </w:r>
    </w:p>
    <w:p w14:paraId="07F6BE24" w14:textId="593BB233" w:rsidR="002D761E" w:rsidRDefault="002D761E" w:rsidP="002D761E">
      <w:pPr>
        <w:pStyle w:val="Odstavekseznama"/>
        <w:numPr>
          <w:ilvl w:val="0"/>
          <w:numId w:val="10"/>
        </w:numPr>
      </w:pPr>
      <w:r>
        <w:t>Sredstva MK ↑ za 7,3</w:t>
      </w:r>
      <w:proofErr w:type="gramStart"/>
      <w:r>
        <w:t xml:space="preserve"> %</w:t>
      </w:r>
      <w:proofErr w:type="gramEnd"/>
      <w:r>
        <w:t xml:space="preserve"> (predvsem masa plač); sredstva občin ↑ za 10,3 %.</w:t>
      </w:r>
    </w:p>
    <w:p w14:paraId="1FE92320" w14:textId="752104CC" w:rsidR="002D761E" w:rsidRDefault="002D761E" w:rsidP="002D761E">
      <w:pPr>
        <w:pStyle w:val="Odstavekseznama"/>
        <w:numPr>
          <w:ilvl w:val="0"/>
          <w:numId w:val="10"/>
        </w:numPr>
      </w:pPr>
      <w:r>
        <w:t xml:space="preserve">Sofinanciranje občin: 717.808,00 </w:t>
      </w:r>
      <w:proofErr w:type="gramStart"/>
      <w:r>
        <w:t>evrov za 218 kulturnih društev</w:t>
      </w:r>
      <w:proofErr w:type="gramEnd"/>
      <w:r>
        <w:t xml:space="preserve"> (MOL 213.000 evrov, MOM 119.000 evrov, MONG 136.400 evrov, MOSG 149.808 evrov, Mislinja 30.000 evrov, Kobarid 13.800 evrov, Bovec 23.800 evrov, Črnomelj 32.000 evrov).</w:t>
      </w:r>
    </w:p>
    <w:p w14:paraId="27B59F00" w14:textId="77777777" w:rsidR="002D761E" w:rsidRDefault="002D761E" w:rsidP="002D761E"/>
    <w:p w14:paraId="4DF5575E" w14:textId="7A5B9D7C" w:rsidR="002D761E" w:rsidRDefault="002D761E" w:rsidP="002D761E">
      <w:r>
        <w:t>Poudarki delovanja</w:t>
      </w:r>
    </w:p>
    <w:p w14:paraId="39C60FE7" w14:textId="77777777" w:rsidR="002D761E" w:rsidRDefault="002D761E" w:rsidP="002D761E"/>
    <w:p w14:paraId="58259BB2" w14:textId="4BDAFAD7" w:rsidR="002D761E" w:rsidRDefault="002D761E" w:rsidP="002D761E">
      <w:pPr>
        <w:pStyle w:val="Odstavekseznama"/>
        <w:numPr>
          <w:ilvl w:val="0"/>
          <w:numId w:val="11"/>
        </w:numPr>
      </w:pPr>
      <w:r>
        <w:t>JSKD je z 59 izpostavami in skoraj 5.000 društvi/sekcijami vključil več kot 110.000 aktivnih članov.</w:t>
      </w:r>
    </w:p>
    <w:p w14:paraId="35D2E0BE" w14:textId="0CA95E86" w:rsidR="002D761E" w:rsidRDefault="002D761E" w:rsidP="002D761E">
      <w:pPr>
        <w:pStyle w:val="Odstavekseznama"/>
        <w:numPr>
          <w:ilvl w:val="0"/>
          <w:numId w:val="11"/>
        </w:numPr>
      </w:pPr>
      <w:r>
        <w:t>Program nacionalne sheme je bil v celoti izveden; dodani so bili tudi projekti, nastali iz potreb med letom.</w:t>
      </w:r>
    </w:p>
    <w:p w14:paraId="7604B422" w14:textId="13828BF9" w:rsidR="002D761E" w:rsidRDefault="002D761E" w:rsidP="002D761E">
      <w:pPr>
        <w:pStyle w:val="Odstavekseznama"/>
        <w:numPr>
          <w:ilvl w:val="0"/>
          <w:numId w:val="11"/>
        </w:numPr>
      </w:pPr>
      <w:r>
        <w:t xml:space="preserve">Na področju izobraževanj je bil poudarek na mentorjih in strokovnem razvoju (študijski </w:t>
      </w:r>
      <w:proofErr w:type="gramStart"/>
      <w:r>
        <w:t>center</w:t>
      </w:r>
      <w:proofErr w:type="gramEnd"/>
      <w:r>
        <w:t>, založništvo).</w:t>
      </w:r>
    </w:p>
    <w:p w14:paraId="2D7F77C3" w14:textId="5B26D35F" w:rsidR="002D761E" w:rsidRDefault="002D761E" w:rsidP="002D761E">
      <w:pPr>
        <w:pStyle w:val="Odstavekseznama"/>
        <w:numPr>
          <w:ilvl w:val="0"/>
          <w:numId w:val="11"/>
        </w:numPr>
      </w:pPr>
      <w:r>
        <w:t xml:space="preserve">Nadaljevanje mednarodnega sodelovanja (npr. </w:t>
      </w:r>
      <w:proofErr w:type="spellStart"/>
      <w:r>
        <w:t>DaCi</w:t>
      </w:r>
      <w:proofErr w:type="spellEnd"/>
      <w:r>
        <w:t xml:space="preserve">, EMIZZ, </w:t>
      </w:r>
      <w:proofErr w:type="spellStart"/>
      <w:r>
        <w:t>European</w:t>
      </w:r>
      <w:proofErr w:type="spellEnd"/>
      <w:r>
        <w:t xml:space="preserve"> Grand Prix).</w:t>
      </w:r>
    </w:p>
    <w:p w14:paraId="0E222D9D" w14:textId="120DECBB" w:rsidR="002D761E" w:rsidRDefault="002D761E" w:rsidP="002D761E">
      <w:pPr>
        <w:pStyle w:val="Odstavekseznama"/>
        <w:numPr>
          <w:ilvl w:val="0"/>
          <w:numId w:val="11"/>
        </w:numPr>
      </w:pPr>
      <w:r>
        <w:t xml:space="preserve">Podeljena letna priznanja in odličja (npr. zlata plaketa Tomaž Faganel; srebrne plakete Ivan Medved, </w:t>
      </w:r>
      <w:proofErr w:type="gramStart"/>
      <w:r>
        <w:t>Mija Benedičič</w:t>
      </w:r>
      <w:proofErr w:type="gramEnd"/>
      <w:r>
        <w:t>, Jožef Močnik, Klub Keramikov Kanal; zlati znak – posthumno – Mateja Filipič).</w:t>
      </w:r>
    </w:p>
    <w:p w14:paraId="503C953C" w14:textId="4CE3F893" w:rsidR="002D761E" w:rsidRDefault="002D761E" w:rsidP="002D761E">
      <w:pPr>
        <w:pStyle w:val="Odstavekseznama"/>
        <w:numPr>
          <w:ilvl w:val="0"/>
          <w:numId w:val="11"/>
        </w:numPr>
      </w:pPr>
      <w:r>
        <w:t>Program Kulturna šola: v letu 2024 podeljenih 68 nazivov.</w:t>
      </w:r>
    </w:p>
    <w:p w14:paraId="4142C361" w14:textId="77777777" w:rsidR="002D761E" w:rsidRDefault="002D761E" w:rsidP="002D761E"/>
    <w:p w14:paraId="3F35F74A" w14:textId="5B6D8F9B" w:rsidR="002D761E" w:rsidRDefault="002D761E" w:rsidP="002D761E">
      <w:r>
        <w:t>Nadzorni svet JSKD je na 8. redni seji zavzel pozitivno stališče do poslovnega in finančnega poročila in predlagal vladi, da poročilo sprejme ter presežek nameni za delovanje sklada.</w:t>
      </w:r>
    </w:p>
    <w:p w14:paraId="1A2C8A1B" w14:textId="145C9938" w:rsidR="00FE4D64" w:rsidRDefault="002D761E" w:rsidP="002D761E">
      <w:pPr>
        <w:pStyle w:val="Vir"/>
      </w:pPr>
      <w:r>
        <w:t>Vir: Ministrstvo za kulturo</w:t>
      </w:r>
    </w:p>
    <w:p w14:paraId="44F16170" w14:textId="0A6CC982" w:rsidR="00F55313" w:rsidRDefault="00F55313" w:rsidP="00F55313">
      <w:pPr>
        <w:pStyle w:val="Naslov2"/>
      </w:pPr>
      <w:r>
        <w:t xml:space="preserve">Vlada se je seznanila s poročilom o izvajanju sklepa glede prepovedi izdaje dovoljenj v zvezi z vojaškim orožjem </w:t>
      </w:r>
    </w:p>
    <w:p w14:paraId="10FEC51D" w14:textId="40522EA8" w:rsidR="00F55313" w:rsidRDefault="00F55313" w:rsidP="00F55313">
      <w:r>
        <w:t xml:space="preserve">Vlada Republike Slovenije se je na današnji seji seznanila s Poročilom o izvajanju sklepa Vlade Republike Slovenije z dne 31. julija 2025 glede prepovedi izdaje dovoljenj za izvoz in tranzit vojaškega orožja in opreme iz oziroma preko Republike Slovenije v Izrael ter uvoza iz Izraela v Republiko Slovenijo za mesec avgust 2025. </w:t>
      </w:r>
    </w:p>
    <w:p w14:paraId="18DCA3E8" w14:textId="77777777" w:rsidR="00F55313" w:rsidRDefault="00F55313" w:rsidP="00F55313"/>
    <w:p w14:paraId="6388C1DD" w14:textId="77777777" w:rsidR="00F55313" w:rsidRDefault="00F55313" w:rsidP="00F55313">
      <w:r>
        <w:t>Vlada RS je dne 31. julija 2025 sprejela sklep št. 51000-20/2025/2, s katerim v prvi alineji 2. točke prepoveduje izvoz in tranzit vojaškega orožja in opreme iz oziroma preko Republike Slovenije v Izrael ter uvoz iz Izraela v Republiko Slovenijo, pri uvozu izvzemši opremo, ki je v Republiki Sloveniji potrebna za področje varnosti in odpornosti. Tretja točka omenjenega sklepa nalaga Ministrstvu za obrambo, da vladi mesečno poroča o izvajanju omenjene določbe sklepa.</w:t>
      </w:r>
    </w:p>
    <w:p w14:paraId="1082192C" w14:textId="77777777" w:rsidR="00F55313" w:rsidRDefault="00F55313" w:rsidP="00F55313"/>
    <w:p w14:paraId="6A0C7750" w14:textId="77777777" w:rsidR="00F55313" w:rsidRDefault="00F55313" w:rsidP="00F55313">
      <w:r>
        <w:t xml:space="preserve">V obdobju od 1. avgusta do 31. avgusta 2025 Ministrstvo za obrambo ni izdalo nobenega dovoljenja za posamezen posel z vojaškim orožjem in opremo ali odločbe o zavrnitvi izdaje dovoljenja, niti ni obravnavalo nobene vloge, ki bi jo za tak </w:t>
      </w:r>
      <w:proofErr w:type="gramStart"/>
      <w:r>
        <w:t>posel</w:t>
      </w:r>
      <w:proofErr w:type="gramEnd"/>
      <w:r>
        <w:t xml:space="preserve"> vložila gospodarska družba, zavod ali druga organizacija.</w:t>
      </w:r>
    </w:p>
    <w:p w14:paraId="7B4A1917" w14:textId="77777777" w:rsidR="00F55313" w:rsidRDefault="00F55313" w:rsidP="00F55313"/>
    <w:p w14:paraId="64B1902C" w14:textId="77777777" w:rsidR="00F55313" w:rsidRDefault="00F55313" w:rsidP="00F55313">
      <w:r>
        <w:t xml:space="preserve">Ker je Uredba o soglasjih za proizvodnjo in dovoljenjih za promet z vojaškim orožjem in opremo ter predhodnih dovoljenjih za uvoz, izvoz, tranzit in prenos obrambnih proizvodov v tretjem odstavku 12. člena določala, da »dovoljenje za posamezen posel za izvedbo tranzita ni potrebno, če država članica izvaža obrambne proizvode v tretje države čez ozemlje Republike Slovenije ali jih uvaža iz tretjih držav« je Ministrstvo za obrambo v mesecu avgustu 2025 pripravilo Uredbo o spremembi Uredbe o soglasjih za proizvodnjo in dovoljenjih za promet z vojaškim orožjem in opremo ter predhodnih dovoljenjih za uvoz, izvoz, tranzit in prenos obrambnih proizvodov, ki jo je Vlada RS sprejela na 167. redni seji dne 11. septembra 2025. </w:t>
      </w:r>
    </w:p>
    <w:p w14:paraId="0AF4DBE7" w14:textId="77777777" w:rsidR="00F55313" w:rsidRDefault="00F55313" w:rsidP="00F55313"/>
    <w:p w14:paraId="6EA4E051" w14:textId="2BD4B143" w:rsidR="00F55313" w:rsidRDefault="00F55313" w:rsidP="00F55313">
      <w:r>
        <w:t>S predlagano spremembo je vzpostavljen nadzor nad tranzitom tudi v primerih, če država članica izvaža obrambne proizvode v tretje države čez ozemlje Republike Slovenije ali jih uvaža iz tretjih držav. Gre za ureditev, ki je veljala že pred letom 2017.</w:t>
      </w:r>
    </w:p>
    <w:p w14:paraId="54FF158C" w14:textId="6507E35B" w:rsidR="00FE4D64" w:rsidRDefault="00F55313" w:rsidP="00F55313">
      <w:pPr>
        <w:pStyle w:val="Vir"/>
      </w:pPr>
      <w:r>
        <w:t>Vir: Ministrstvo za obrambo</w:t>
      </w:r>
      <w:r w:rsidR="00FE4D64">
        <w:t xml:space="preserve"> </w:t>
      </w:r>
    </w:p>
    <w:p w14:paraId="1643E0B5" w14:textId="0D5986B8" w:rsidR="00F45A8D" w:rsidRDefault="00F45A8D" w:rsidP="00F45A8D">
      <w:pPr>
        <w:pStyle w:val="Naslov2"/>
      </w:pPr>
      <w:r>
        <w:t>Vlada se je seznanila s poročilom upravljavca območja geometričnega središča Republike Slovenije</w:t>
      </w:r>
    </w:p>
    <w:p w14:paraId="1BD77599" w14:textId="1FD032EF" w:rsidR="00F45A8D" w:rsidRDefault="00F45A8D" w:rsidP="00F45A8D">
      <w:r>
        <w:t>Vlada Republike Slovenije se je seznanila s poročilom upravljavca območja geometričnega središča Republike Slovenije o izvedbi programa del za leto 2024, ki ga je pripravil koncesionar za upravljanje območja geometričnega središča Republike Slovenije, Društvo za razvoj in varovanje GEOSS-a.</w:t>
      </w:r>
    </w:p>
    <w:p w14:paraId="33C720C9" w14:textId="77777777" w:rsidR="00F45A8D" w:rsidRDefault="00F45A8D" w:rsidP="00F45A8D"/>
    <w:p w14:paraId="79418D51" w14:textId="640FC61A" w:rsidR="00F45A8D" w:rsidRDefault="00F45A8D" w:rsidP="00F45A8D">
      <w:r>
        <w:t>V skladu s tretjim odstavkom 9. člena Zakona o geometričnem središču Slovenije (ZGSS) je upravljavec območja geometričnega središča Republike Slovenije ministrstvu predložil poročilo, ki prikazuje izvajanje vsebinskih in finančnih nalog iz potrjenega letnega programa.</w:t>
      </w:r>
    </w:p>
    <w:p w14:paraId="62D75582" w14:textId="77777777" w:rsidR="00F45A8D" w:rsidRDefault="00F45A8D" w:rsidP="00F45A8D"/>
    <w:p w14:paraId="79F84A71" w14:textId="77777777" w:rsidR="00F45A8D" w:rsidRDefault="00F45A8D" w:rsidP="00F45A8D">
      <w:r>
        <w:t xml:space="preserve">Program dela in razvoja za upravljanje območja geometričnega središča Republike Slovenije </w:t>
      </w:r>
      <w:proofErr w:type="gramStart"/>
      <w:r>
        <w:t>za</w:t>
      </w:r>
      <w:proofErr w:type="gramEnd"/>
      <w:r>
        <w:t xml:space="preserve"> leto 2024 je bil potrjen s sklepom Vlade Republike Slovenije dne 9. maja 2024. </w:t>
      </w:r>
    </w:p>
    <w:p w14:paraId="454CD8AC" w14:textId="77777777" w:rsidR="00F45A8D" w:rsidRDefault="00F45A8D" w:rsidP="00F45A8D"/>
    <w:p w14:paraId="30210FA2" w14:textId="77777777" w:rsidR="00F45A8D" w:rsidRDefault="00F45A8D" w:rsidP="00F45A8D">
      <w:r>
        <w:t>Poročilo obsega:</w:t>
      </w:r>
    </w:p>
    <w:p w14:paraId="7F6188D3" w14:textId="5EFD39D3" w:rsidR="00F45A8D" w:rsidRDefault="00F45A8D" w:rsidP="00F45A8D">
      <w:pPr>
        <w:pStyle w:val="Odstavekseznama"/>
        <w:numPr>
          <w:ilvl w:val="0"/>
          <w:numId w:val="12"/>
        </w:numPr>
      </w:pPr>
      <w:r>
        <w:t>vsebinsko izvedbo nalog, določenih v letnem programu dela</w:t>
      </w:r>
      <w:proofErr w:type="gramStart"/>
      <w:r>
        <w:t xml:space="preserve"> in</w:t>
      </w:r>
      <w:proofErr w:type="gramEnd"/>
      <w:r>
        <w:t xml:space="preserve"> razvoja,</w:t>
      </w:r>
    </w:p>
    <w:p w14:paraId="5BCAF1B9" w14:textId="233FB992" w:rsidR="00F45A8D" w:rsidRDefault="00F45A8D" w:rsidP="00F45A8D">
      <w:pPr>
        <w:pStyle w:val="Odstavekseznama"/>
        <w:numPr>
          <w:ilvl w:val="0"/>
          <w:numId w:val="12"/>
        </w:numPr>
      </w:pPr>
      <w:r>
        <w:t xml:space="preserve">finančno </w:t>
      </w:r>
      <w:proofErr w:type="gramStart"/>
      <w:r>
        <w:t>realizacijo</w:t>
      </w:r>
      <w:proofErr w:type="gramEnd"/>
      <w:r>
        <w:t xml:space="preserve"> sredstev, namenjenih za izvedbo nalog,</w:t>
      </w:r>
    </w:p>
    <w:p w14:paraId="13A835C7" w14:textId="48E6DDA7" w:rsidR="00F45A8D" w:rsidRDefault="00F45A8D" w:rsidP="00F45A8D">
      <w:pPr>
        <w:pStyle w:val="Odstavekseznama"/>
        <w:numPr>
          <w:ilvl w:val="0"/>
          <w:numId w:val="12"/>
        </w:numPr>
      </w:pPr>
      <w:r>
        <w:t>pregled doseženih ciljev ter skladnost izvajanja z vladno potrjenim programom,</w:t>
      </w:r>
    </w:p>
    <w:p w14:paraId="3723D887" w14:textId="17929085" w:rsidR="00F45A8D" w:rsidRDefault="00F45A8D" w:rsidP="00F45A8D">
      <w:pPr>
        <w:pStyle w:val="Odstavekseznama"/>
        <w:numPr>
          <w:ilvl w:val="0"/>
          <w:numId w:val="12"/>
        </w:numPr>
      </w:pPr>
      <w:r>
        <w:t>oceno stanja upravljanja območja in vzdrževanja objektov ter površin znotraj območja geometričnega središča Republike Slovenije.</w:t>
      </w:r>
    </w:p>
    <w:p w14:paraId="75368696" w14:textId="77777777" w:rsidR="00F45A8D" w:rsidRDefault="00F45A8D" w:rsidP="00F45A8D"/>
    <w:p w14:paraId="47D616A3" w14:textId="77777777" w:rsidR="00F45A8D" w:rsidRDefault="00F45A8D" w:rsidP="00F45A8D">
      <w:r>
        <w:t>Z izvajanjem programa dela za leto 2024 se zagotavlja nadaljnje učinkovito in trajnostno upravljanje območja geometričnega središča Republike Slovenije (GEOSS), ki ima pomembno simbolno, kulturno in prostorsko vrednost.</w:t>
      </w:r>
    </w:p>
    <w:p w14:paraId="37FC8B51" w14:textId="7B2F45A6" w:rsidR="00FE4D64" w:rsidRDefault="00F45A8D" w:rsidP="00F45A8D">
      <w:pPr>
        <w:pStyle w:val="Vir"/>
      </w:pPr>
      <w:r>
        <w:t>Vir: Ministrstvo za naravne vire in prostor</w:t>
      </w:r>
    </w:p>
    <w:p w14:paraId="6629805C" w14:textId="3AC16F92" w:rsidR="00533C62" w:rsidRDefault="00533C62" w:rsidP="00533C62">
      <w:pPr>
        <w:pStyle w:val="Naslov2"/>
      </w:pPr>
      <w:r>
        <w:t xml:space="preserve">Vlada sprejela odzivno poročilo na poročila Varuha človekovih pravic za leto 2024 </w:t>
      </w:r>
    </w:p>
    <w:p w14:paraId="44DD128D" w14:textId="77777777" w:rsidR="00533C62" w:rsidRDefault="00533C62" w:rsidP="00533C62">
      <w:r>
        <w:t>Poročilo predstavlja skupen odziv Vlade na dve poročili Varuha človekovih pravic, in sicer trideseto redno letno poročilo za leto 2024 in poročilo o izvajanju nalog državnega preventivnega mehanizma</w:t>
      </w:r>
      <w:proofErr w:type="gramStart"/>
      <w:r>
        <w:t xml:space="preserve"> po</w:t>
      </w:r>
      <w:proofErr w:type="gramEnd"/>
      <w:r>
        <w:t xml:space="preserve"> Opcijskem protokolu h Konvenciji OZN proti mučenju in drugim krutim, nečloveškim ali </w:t>
      </w:r>
      <w:r>
        <w:lastRenderedPageBreak/>
        <w:t>poniževalnim kaznim ali ravnanju za leto 2024. Pripravo Skupnega odzivnega poročila je, tako kot v preteklih letih, koordiniralo Ministrstvo za pravosodje, k podaji prispevkov pa so bila pozvana vsa ministrstva in vladne službe.</w:t>
      </w:r>
    </w:p>
    <w:p w14:paraId="05365B9E" w14:textId="77777777" w:rsidR="00533C62" w:rsidRDefault="00533C62" w:rsidP="00533C62"/>
    <w:p w14:paraId="701D8608" w14:textId="5B130F14" w:rsidR="00533C62" w:rsidRDefault="00533C62" w:rsidP="00533C62">
      <w:r>
        <w:t xml:space="preserve">Varuh </w:t>
      </w:r>
      <w:proofErr w:type="gramStart"/>
      <w:r>
        <w:t>letnem poročilu</w:t>
      </w:r>
      <w:proofErr w:type="gramEnd"/>
      <w:r>
        <w:t xml:space="preserve"> predstavlja svoje delo in ugotovitve v zvezi z ranljivimi skupinami in vsebinskimi področji, ki jih je obravnaval v preteklem letu. V zvezi s tem je podal 95 novih priporočil, od katerih se jih 89 nanaša na Vlado, prav tako pa je ponovno izpostavil 120 priporočil, podanih že v preteklih rednih letnih poročilih, za katera ocenjuje, da ostajajo delno ali v celoti neuresničena, in se nanašajo na Vlado.</w:t>
      </w:r>
    </w:p>
    <w:p w14:paraId="7DBADC70" w14:textId="77777777" w:rsidR="00533C62" w:rsidRDefault="00533C62" w:rsidP="00533C62"/>
    <w:p w14:paraId="37ABE6CE" w14:textId="11657EB7" w:rsidR="00533C62" w:rsidRDefault="00533C62" w:rsidP="00533C62">
      <w:r>
        <w:t xml:space="preserve">Med novimi priporočili, ki se nanašajo na Vlado, jih, glede na oceno posameznih resorjev, 16 predstavlja stalno nalogo, 29 priporočil je v celoti </w:t>
      </w:r>
      <w:proofErr w:type="gramStart"/>
      <w:r>
        <w:t>realiziranih</w:t>
      </w:r>
      <w:proofErr w:type="gramEnd"/>
      <w:r>
        <w:t xml:space="preserve">, 26 delno realiziranih in 13 nerealiziranih. </w:t>
      </w:r>
      <w:proofErr w:type="gramStart"/>
      <w:r>
        <w:t>Realizacijo</w:t>
      </w:r>
      <w:proofErr w:type="gramEnd"/>
      <w:r>
        <w:t xml:space="preserve"> 5 priporočil resorji zavračajo. Pri ponovljenih priporočilih je do izboljšanja ocene prišlo pri 23 priporočilih, pri 5 priporočilih pa do poslabšanja. Glede na oceno, podano v preteklem letu, je tako dodatno </w:t>
      </w:r>
      <w:proofErr w:type="gramStart"/>
      <w:r>
        <w:t>realiziranih</w:t>
      </w:r>
      <w:proofErr w:type="gramEnd"/>
      <w:r>
        <w:t xml:space="preserve"> 10 priporočil, število nerealiziranih priporočil se je zmanjšalo za 12, število delno realiziranih in število zavrnjenih priporočil pa ostaja enako kot prejšnje leto.</w:t>
      </w:r>
    </w:p>
    <w:p w14:paraId="2F357333" w14:textId="77777777" w:rsidR="00533C62" w:rsidRDefault="00533C62" w:rsidP="00533C62"/>
    <w:p w14:paraId="58C23717" w14:textId="04A7AA1B" w:rsidR="00533C62" w:rsidRDefault="00533C62" w:rsidP="00533C62">
      <w:r>
        <w:t xml:space="preserve">V poročilu o izvajanju nalog državnega </w:t>
      </w:r>
      <w:proofErr w:type="gramStart"/>
      <w:r>
        <w:t>preventivnega</w:t>
      </w:r>
      <w:proofErr w:type="gramEnd"/>
      <w:r>
        <w:t xml:space="preserve"> mehanizma Varuh poroča, da je v letu 2024 obiskal 72 krajev odvzema prostosti. Posebej je treba izpostaviti obiske zavodov za prestajanje kazni zapora, glede katerih Varuh </w:t>
      </w:r>
      <w:proofErr w:type="gramStart"/>
      <w:r>
        <w:t>izpostavlja</w:t>
      </w:r>
      <w:proofErr w:type="gramEnd"/>
      <w:r>
        <w:t xml:space="preserve">, da zaradi prezasedenosti zaporskih kapacitet prihaja do okoliščin, ki pomenijo mučenje oziroma nečloveško ali ponižujoče ravnanje. </w:t>
      </w:r>
    </w:p>
    <w:p w14:paraId="4E0B30BF" w14:textId="77777777" w:rsidR="00533C62" w:rsidRDefault="00533C62" w:rsidP="00533C62"/>
    <w:p w14:paraId="2DC8476C" w14:textId="30913782" w:rsidR="00533C62" w:rsidRDefault="00533C62" w:rsidP="00533C62">
      <w:r>
        <w:t xml:space="preserve">Varuh tudi v okviru nalog DPM podaja različna priporočila, vendar ta priporočila posameznim zavodom oziroma institucijam podaja sproti, enako pa se </w:t>
      </w:r>
      <w:proofErr w:type="gramStart"/>
      <w:r>
        <w:t>slednji</w:t>
      </w:r>
      <w:proofErr w:type="gramEnd"/>
      <w:r>
        <w:t xml:space="preserve"> nanje tudi odzivajo. Iz Varuhovega poročila o izvajanju nalog DPM izhaja, da je v zvezi z obiski krajev odvzema prostosti podal skupaj 294 priporočil, pri čemer prevladujejo poročila, ki se nanašajo na policijske postaje (59), domove za starejše (58), </w:t>
      </w:r>
      <w:proofErr w:type="gramStart"/>
      <w:r>
        <w:t>centre</w:t>
      </w:r>
      <w:proofErr w:type="gramEnd"/>
      <w:r>
        <w:t xml:space="preserve"> za usposabljanje, delo in varstvo (49), zapore (40) in psihiatrične bolnišnice (32). Izmed podanih priporočil je 100 že </w:t>
      </w:r>
      <w:proofErr w:type="gramStart"/>
      <w:r>
        <w:t>realiziranih</w:t>
      </w:r>
      <w:proofErr w:type="gramEnd"/>
      <w:r>
        <w:t xml:space="preserve">, 140 priporočil nerealiziranih, vendar jih institucije sprejemajo, 7 priporočil zavrnjenih. Pri 44-ih priporočilih se še ni iztekel rok za odgovor.  </w:t>
      </w:r>
    </w:p>
    <w:p w14:paraId="460E4976" w14:textId="7768BA72" w:rsidR="00FE4D64" w:rsidRDefault="00533C62" w:rsidP="00533C62">
      <w:pPr>
        <w:pStyle w:val="Vir"/>
      </w:pPr>
      <w:r>
        <w:t>Vir: Ministrstvo za pravosodje</w:t>
      </w:r>
    </w:p>
    <w:p w14:paraId="4F982211" w14:textId="29B58FE3" w:rsidR="00965B90" w:rsidRDefault="00965B90" w:rsidP="00965B90">
      <w:pPr>
        <w:pStyle w:val="Naslov2"/>
      </w:pPr>
      <w:r>
        <w:t>Vlada seznanjena s poročilom o zadolževanju občin</w:t>
      </w:r>
    </w:p>
    <w:p w14:paraId="67503FDF" w14:textId="5FE5727A" w:rsidR="00965B90" w:rsidRDefault="00965B90" w:rsidP="00965B90">
      <w:r>
        <w:t>Vlada se je seznanila s Poročilom o zadolževanju občin in pravnih oseb javnega sektorja na ravni občin v letu 2024 ter stanjem zadolženosti na dan 31. december 2024.</w:t>
      </w:r>
    </w:p>
    <w:p w14:paraId="0CAF4081" w14:textId="77777777" w:rsidR="00965B90" w:rsidRDefault="00965B90" w:rsidP="00965B90"/>
    <w:p w14:paraId="3A4A5D52" w14:textId="77777777" w:rsidR="00965B90" w:rsidRDefault="00965B90" w:rsidP="00965B90">
      <w:r>
        <w:t>Skupna zadolženost občin in pravnih oseb javnega sektorja na ravni občin se je v letu 2024 v primerjavi z letom 2023 povečala za 61,4 milijona evrov in je konec leta 2024 znašala 1,35 milijarde evrov oziroma 2,02 odstotka bruto domačega proizvoda (BDP). Od tega je znašalo stanje dolga občin približno 1 milijardo evrov, stanje dolga pravnih oseb javnega sektorja na ravni občin pa 351 milijonov evrov.</w:t>
      </w:r>
    </w:p>
    <w:p w14:paraId="51EADF11" w14:textId="77777777" w:rsidR="00965B90" w:rsidRDefault="00965B90" w:rsidP="00965B90"/>
    <w:p w14:paraId="3A7C6592" w14:textId="006594A1" w:rsidR="00965B90" w:rsidRDefault="00965B90" w:rsidP="00965B90">
      <w:r>
        <w:t>Povprečni skupni dolg na prebivalca v letu 2024 je znašal 660 evrov, od tega je znašal dolg občin na prebivalca 489 evrov in dolg pravnih oseb javnega sektorja na ravni občine 172 evrov na prebivalca.</w:t>
      </w:r>
    </w:p>
    <w:p w14:paraId="51515613" w14:textId="77777777" w:rsidR="00965B90" w:rsidRDefault="00965B90" w:rsidP="00965B90"/>
    <w:p w14:paraId="385FEE0B" w14:textId="77777777" w:rsidR="00965B90" w:rsidRDefault="00965B90" w:rsidP="00965B90">
      <w:r>
        <w:t xml:space="preserve">Ugotavljamo, da obseg skupne zadolženosti občin in pravnih oseb javnega sektorja na ravni občin v </w:t>
      </w:r>
      <w:proofErr w:type="gramStart"/>
      <w:r>
        <w:t>letu</w:t>
      </w:r>
      <w:proofErr w:type="gramEnd"/>
      <w:r>
        <w:t xml:space="preserve"> 2024 ni zaskrbljujoč. Občine (tudi) s pomočjo zadolževanja izvajajo ciljno usmerjene </w:t>
      </w:r>
      <w:proofErr w:type="gramStart"/>
      <w:r>
        <w:t>investicije</w:t>
      </w:r>
      <w:proofErr w:type="gramEnd"/>
      <w:r>
        <w:t xml:space="preserve">, katerih namen je ustvarjanje novih delovnih mest, izboljšanje življenjskih pogojev prebivalcev ter krepitev gospodarske razvitosti na lokalni ravni. Takšne </w:t>
      </w:r>
      <w:proofErr w:type="gramStart"/>
      <w:r>
        <w:t>investicije</w:t>
      </w:r>
      <w:proofErr w:type="gramEnd"/>
      <w:r>
        <w:t xml:space="preserve"> prispevajo k vzpostavitvi kakovostne infrastrukture, spodbujanju podjetniških dejavnosti in trajnostnemu razvoju občin, kar </w:t>
      </w:r>
      <w:proofErr w:type="gramStart"/>
      <w:r>
        <w:lastRenderedPageBreak/>
        <w:t>posledično</w:t>
      </w:r>
      <w:proofErr w:type="gramEnd"/>
      <w:r>
        <w:t xml:space="preserve"> pozitivno vpliva na rast BDP ter dolgoročno spodbuja konkurenčnost v blaginji lokalnih skupnosti.</w:t>
      </w:r>
    </w:p>
    <w:p w14:paraId="547BDE67" w14:textId="3FBFF3FD" w:rsidR="00FE4D64" w:rsidRDefault="00965B90" w:rsidP="00965B90">
      <w:pPr>
        <w:pStyle w:val="Vir"/>
      </w:pPr>
      <w:r>
        <w:t>Vir: Ministrstvo za finance</w:t>
      </w:r>
    </w:p>
    <w:p w14:paraId="087C2D4A" w14:textId="25A78E6D" w:rsidR="005C76CD" w:rsidRDefault="005C76CD" w:rsidP="005C76CD">
      <w:pPr>
        <w:pStyle w:val="Naslov2"/>
      </w:pPr>
      <w:r>
        <w:t>Vzajemna odprava vizumske obveznosti za kratkoročno bivanje za imetnike diplomatskih potnih listov Slovenije in Uzbekistana</w:t>
      </w:r>
    </w:p>
    <w:p w14:paraId="62E983CF" w14:textId="77777777" w:rsidR="005C76CD" w:rsidRDefault="005C76CD" w:rsidP="005C76CD">
      <w:r>
        <w:t>Vlada Republike Slovenije je izdala Uredbo o ratifikaciji Sporazuma med Vlado Republike Slovenije in Vlado Republike Uzbekistan o vzajemni odpravi vizumske obveznosti za kratkoročno bivanje za imetnike diplomatskih potnih listov, podpisanega v Ljubljani 22. maja 2025</w:t>
      </w:r>
      <w:proofErr w:type="gramStart"/>
      <w:r>
        <w:t xml:space="preserve"> in</w:t>
      </w:r>
      <w:proofErr w:type="gramEnd"/>
      <w:r>
        <w:t xml:space="preserve"> jo objavi v Uradnem listu Republike Slovenije.</w:t>
      </w:r>
    </w:p>
    <w:p w14:paraId="33729117" w14:textId="77777777" w:rsidR="005C76CD" w:rsidRDefault="005C76CD" w:rsidP="005C76CD"/>
    <w:p w14:paraId="4D34E09E" w14:textId="77777777" w:rsidR="005C76CD" w:rsidRDefault="005C76CD" w:rsidP="005C76CD">
      <w:r>
        <w:t>Na podlagi tega sporazuma bodo državljani obeh pogodbenic, ki so imetniki diplomatskih ali službenih potnih listov, izvzeti iz vizumske obveznosti za potovanje na ozemlje pogodbenic, za bivanje, ki ne presega 90 dni v katerem koli 180-dnevnem obdobju.</w:t>
      </w:r>
    </w:p>
    <w:p w14:paraId="134BD247" w14:textId="2C7C72FF" w:rsidR="00FE4D64" w:rsidRDefault="005C76CD" w:rsidP="005C76CD">
      <w:pPr>
        <w:pStyle w:val="Vir"/>
      </w:pPr>
      <w:r>
        <w:t>Vir: Ministrstvo za zunanje in evropske zadeve</w:t>
      </w:r>
    </w:p>
    <w:p w14:paraId="01D16FA6" w14:textId="0FDA50CD" w:rsidR="00965B90" w:rsidRDefault="00965B90" w:rsidP="00965B90">
      <w:pPr>
        <w:pStyle w:val="Naslov2"/>
      </w:pPr>
      <w:r>
        <w:t xml:space="preserve">O sodelovanju Republike Slovenije v povečanju kapitala Medameriške </w:t>
      </w:r>
      <w:proofErr w:type="gramStart"/>
      <w:r>
        <w:t>investicijske</w:t>
      </w:r>
      <w:proofErr w:type="gramEnd"/>
      <w:r>
        <w:t xml:space="preserve"> korporacije – IDB Invest</w:t>
      </w:r>
    </w:p>
    <w:p w14:paraId="5AB4E85A" w14:textId="77777777" w:rsidR="00965B90" w:rsidRDefault="00965B90" w:rsidP="00965B90">
      <w:r>
        <w:t>Vlada je na današnji seji potrdila sodelovanje Republike Slovenije v povečanju kapitala IDB Invest in sprejela sklep o vpisu pripadajočega dela delnic Republike Slovenije v delniški kapital IDB Invest v skupni višini skoraj 200 tisoč evrov.</w:t>
      </w:r>
    </w:p>
    <w:p w14:paraId="6942B59D" w14:textId="77777777" w:rsidR="00965B90" w:rsidRDefault="00965B90" w:rsidP="00965B90"/>
    <w:p w14:paraId="3F3E2E9D" w14:textId="77777777" w:rsidR="00965B90" w:rsidRDefault="00965B90" w:rsidP="00965B90">
      <w:r>
        <w:t xml:space="preserve">Od leta 2019 Medameriška </w:t>
      </w:r>
      <w:proofErr w:type="gramStart"/>
      <w:r>
        <w:t>investicijska</w:t>
      </w:r>
      <w:proofErr w:type="gramEnd"/>
      <w:r>
        <w:t xml:space="preserve"> korporacija deluje pod imenom IDB Invest in istega leta je Slovenija (poleg Hrvaške in Združenega kraljestva) dobila možnost postati članica IDB Invest izključno s prenosom pripadajočega dela dobička IDB, imela pa je tudi možnost nakupa dodatnih delnic, za kar se Republika Slovenija takrat ni odločila. Republika Slovenija je tako postala članica IDB Invest na podlagi Zakona o ratifikaciji Sporazuma o ustanovitvi Medameriške </w:t>
      </w:r>
      <w:proofErr w:type="gramStart"/>
      <w:r>
        <w:t>investicijske</w:t>
      </w:r>
      <w:proofErr w:type="gramEnd"/>
      <w:r>
        <w:t xml:space="preserve"> korporacije, in sicer s prenosom pripadajočega dela dobička IDB. S tem so tudi slovenska podjetja dobila možnost sodelovanja na javnih razpisih za posle, ki jih v regiji Latinske Amerike in Karibov izvaja </w:t>
      </w:r>
      <w:proofErr w:type="gramStart"/>
      <w:r>
        <w:t>IDB Invest</w:t>
      </w:r>
      <w:proofErr w:type="gramEnd"/>
      <w:r>
        <w:t>.</w:t>
      </w:r>
    </w:p>
    <w:p w14:paraId="4F8F0A10" w14:textId="77777777" w:rsidR="00965B90" w:rsidRDefault="00965B90" w:rsidP="00965B90">
      <w:r>
        <w:t xml:space="preserve">Zaradi vse večjega pomena zasebnega sektorja v mednarodnem razvojnem sodelovanju je bil na letnem zasedanju leta 2024 guvernerjem podan predlog za dokapitalizacijo IDB Invest, v skupni višini do slabih treh milijard evrov. Vlada Republike Slovenije je takrat v okviru izhodišč za letno zasedanje sprejela sklep, s katerim je podprla nov poslovni model in hkratno dokapitalizacijo IDB Invest z namenom okrepitve njene vloge v </w:t>
      </w:r>
      <w:proofErr w:type="gramStart"/>
      <w:r>
        <w:t>regiji</w:t>
      </w:r>
      <w:proofErr w:type="gramEnd"/>
      <w:r>
        <w:t xml:space="preserve"> in s tem povečanjem vpliva zasebnega sektorja, ki je gonilo razvoja gospodarstva.</w:t>
      </w:r>
    </w:p>
    <w:p w14:paraId="5ACDA86B" w14:textId="77777777" w:rsidR="00965B90" w:rsidRDefault="00965B90" w:rsidP="00965B90"/>
    <w:p w14:paraId="3D81D729" w14:textId="01C0C18B" w:rsidR="00965B90" w:rsidRDefault="00965B90" w:rsidP="00965B90">
      <w:r>
        <w:t xml:space="preserve">Za Republiko Slovenijo, ki ima v </w:t>
      </w:r>
      <w:proofErr w:type="gramStart"/>
      <w:r>
        <w:t>IDB Invest</w:t>
      </w:r>
      <w:proofErr w:type="gramEnd"/>
      <w:r>
        <w:t xml:space="preserve"> zelo nizek delež (0,01 odstotka, skupno 13 delnic oziroma slabih 180 tisoč evrov), sodelovanje pri sprejeti dokapitalizaciji IDB Invest pomeni vplačilo skoraj 200 tisoč evrov, s čimer bo pridobila 11 dodatnih delnic kapitala in ohranila delež v kapitalu ob predpostavki, da se za sodelovanje v dokapitalizaciji odločijo vse delničarke v enakem deležu, kot ga imajo sedaj.</w:t>
      </w:r>
    </w:p>
    <w:p w14:paraId="5ECEB0C7" w14:textId="39282772" w:rsidR="00FE4D64" w:rsidRDefault="00965B90" w:rsidP="00965B90">
      <w:pPr>
        <w:pStyle w:val="Vir"/>
      </w:pPr>
      <w:r>
        <w:t>Vir: Ministrstvo za finance</w:t>
      </w:r>
    </w:p>
    <w:p w14:paraId="66559A64" w14:textId="02ECEFF1" w:rsidR="00D470E4" w:rsidRDefault="00D470E4" w:rsidP="00D470E4">
      <w:pPr>
        <w:pStyle w:val="Naslov2"/>
      </w:pPr>
      <w:r>
        <w:t>Vlada določila besedilo predloga novele Zakona o službi v Slovenski vojski</w:t>
      </w:r>
    </w:p>
    <w:p w14:paraId="09125D54" w14:textId="73749BE3" w:rsidR="00D470E4" w:rsidRDefault="00D470E4" w:rsidP="00D470E4">
      <w:r>
        <w:t>Vlada Republike Slovenije je na današnji seji določila besedilo predloga zakona o spremembah in dopolnitvah Zakona o službi v Slovenski vojski (skrajšani postopek). Besedilo predloga zakona bo poslala v obravnavo Državnemu zboru.</w:t>
      </w:r>
    </w:p>
    <w:p w14:paraId="209321FB" w14:textId="77777777" w:rsidR="00D470E4" w:rsidRDefault="00D470E4" w:rsidP="00D470E4"/>
    <w:p w14:paraId="478B5214" w14:textId="77777777" w:rsidR="00D470E4" w:rsidRDefault="00D470E4" w:rsidP="00D470E4">
      <w:r>
        <w:t xml:space="preserve">Spremembe in dopolnitve Zakona o službi v Slovenski vojski so pripravljene z namenom, da se uredi problematika delovnega časa in za čas trajanja določenih vojaških aktivnosti omejijo nekatere druge pravice iz delovnega razmerja (pravica do odmora in počitka, odklopa, oskrbovalskega dopusta, očetovskega dopusta, starševskega dopusta, ki pripada očetom, varstvo določenih kategorij delavcev) v povišani pripravljenosti, v izrednem in vojnem stanju ter pri opravljanju začetnega vojaškega usposabljanja, na operativnem urjenju, na vojaški operaciji in zaradi izrednega dogodka, s </w:t>
      </w:r>
      <w:proofErr w:type="gramStart"/>
      <w:r>
        <w:t>čemer</w:t>
      </w:r>
      <w:proofErr w:type="gramEnd"/>
      <w:r>
        <w:t xml:space="preserve"> se v pravni red Republike Slovenija na obrambnem področju prenaša možnost, ki jo ponuja Direktiva 2003/88/ES Evropskega parlamenta in Sveta z dne 4. novembra 2003 o določenih vidikih organizacije delovnega časa Sodišče EU in tudi z njo v povezavi stališča, ki jih je oblikovalo Sodišče EU v sodbi C-742/19, s katero je opredelilo kriterije, skladno s katerimi se lahko posamezne dejavnosti, ki jih izvajajo oborožene sile, izključijo iz uporabe navedene direktive.</w:t>
      </w:r>
    </w:p>
    <w:p w14:paraId="46D8B670" w14:textId="77777777" w:rsidR="00D470E4" w:rsidRDefault="00D470E4" w:rsidP="00D470E4"/>
    <w:p w14:paraId="02DBB31E" w14:textId="77777777" w:rsidR="00D470E4" w:rsidRDefault="00D470E4" w:rsidP="00D470E4">
      <w:r>
        <w:t>Najpomembnejše predlagane rešitve so:</w:t>
      </w:r>
    </w:p>
    <w:p w14:paraId="417343DD" w14:textId="56E6C36B" w:rsidR="00D470E4" w:rsidRDefault="00D470E4" w:rsidP="00D470E4">
      <w:pPr>
        <w:pStyle w:val="Odstavekseznama"/>
        <w:numPr>
          <w:ilvl w:val="0"/>
          <w:numId w:val="15"/>
        </w:numPr>
      </w:pPr>
      <w:r>
        <w:t>za varovanje objektov in okolišev objektov, ki so posebnega pomena za obrambo, se na Ministrstvu za obrambo oziroma v Slovenski vojski v miru uvaja možnost internega varovanja v skladu z zakonom, ki ureja zasebno varovanja;</w:t>
      </w:r>
    </w:p>
    <w:p w14:paraId="7DFF5771" w14:textId="77777777" w:rsidR="00D470E4" w:rsidRDefault="00D470E4" w:rsidP="00D470E4"/>
    <w:p w14:paraId="47CA78F2" w14:textId="05E306E3" w:rsidR="00D470E4" w:rsidRDefault="00D470E4" w:rsidP="00D470E4">
      <w:pPr>
        <w:pStyle w:val="Odstavekseznama"/>
        <w:numPr>
          <w:ilvl w:val="0"/>
          <w:numId w:val="15"/>
        </w:numPr>
      </w:pPr>
      <w:r>
        <w:t>določa se, da vojaškim osebam ne bo več treba opravljati pripravništva;</w:t>
      </w:r>
    </w:p>
    <w:p w14:paraId="3D8EAF29" w14:textId="77777777" w:rsidR="00D470E4" w:rsidRDefault="00D470E4" w:rsidP="00D470E4"/>
    <w:p w14:paraId="25E28A2B" w14:textId="0EDE1EEE" w:rsidR="00D470E4" w:rsidRDefault="00D470E4" w:rsidP="00D470E4">
      <w:pPr>
        <w:pStyle w:val="Odstavekseznama"/>
        <w:numPr>
          <w:ilvl w:val="0"/>
          <w:numId w:val="15"/>
        </w:numPr>
      </w:pPr>
      <w:r>
        <w:t>na novo se ureja prevzem pogodbenih obveznosti, ki jih ima pripadnik ali kandidat za zaposlitev v stalni sestavi Slovenske vojske ali kandidat za opravljanje službe v rezervni sestavi Slovenske vojske iz pogodbe o zaposlitvi, pogodbe o izobraževanju ali iz pogodbe o štipendiranju z drugim delodajalcem oz. drugim štipenditorjem;</w:t>
      </w:r>
    </w:p>
    <w:p w14:paraId="7EDB5807" w14:textId="77777777" w:rsidR="00D470E4" w:rsidRDefault="00D470E4" w:rsidP="00D470E4"/>
    <w:p w14:paraId="3FCCFE87" w14:textId="2DCE449F" w:rsidR="00D470E4" w:rsidRDefault="00D470E4" w:rsidP="00D470E4">
      <w:pPr>
        <w:pStyle w:val="Odstavekseznama"/>
        <w:numPr>
          <w:ilvl w:val="0"/>
          <w:numId w:val="15"/>
        </w:numPr>
      </w:pPr>
      <w:r>
        <w:t>upoštevajoč možnost, ki jo ponuja Direktiva 2003/88/ES Evropskega parlamenta in Sveta z dne 4. novembra 2003 o določenih vidikih organizacije delovnega časa</w:t>
      </w:r>
      <w:proofErr w:type="gramStart"/>
      <w:r>
        <w:t>,</w:t>
      </w:r>
      <w:proofErr w:type="gramEnd"/>
      <w:r>
        <w:t xml:space="preserve"> in predvsem z njo v povezavi tudi stališča, ki jih je oblikovalo Sodišče Evropske unije v sodbi C-742/19, s katero je opredelilo kriterije, skladno s katerimi se lahko posamezne dejavnosti, ki jih izvajajo oborožene sile, izključijo iz uporabe navedene direktive, se ureja problematika delovnega časa in omejijo nekatere druge pravice iz delovnega razmerja (v izrednem in vojnem stanju, pri opravljanju začetnega vojaškega usposabljanja, na operativnem urjenju, v vojaški operaciji in zaradi izrednega dogodka);</w:t>
      </w:r>
    </w:p>
    <w:p w14:paraId="364D4FCB" w14:textId="77777777" w:rsidR="00D470E4" w:rsidRDefault="00D470E4" w:rsidP="00D470E4"/>
    <w:p w14:paraId="4EFAF4EA" w14:textId="33110C6F" w:rsidR="00D470E4" w:rsidRDefault="00D470E4" w:rsidP="00D470E4">
      <w:pPr>
        <w:pStyle w:val="Odstavekseznama"/>
        <w:numPr>
          <w:ilvl w:val="0"/>
          <w:numId w:val="15"/>
        </w:numPr>
      </w:pPr>
      <w:r>
        <w:t>urejajo se delovni čas, odmera in izraba letnega dopusta pri opravljanju dela v izmenah</w:t>
      </w:r>
      <w:proofErr w:type="gramStart"/>
      <w:r>
        <w:t>,</w:t>
      </w:r>
      <w:proofErr w:type="gramEnd"/>
      <w:r>
        <w:t xml:space="preserve"> ter delovni čas na straži in pri varovanju objektov in okolišev, ki so posebnega pomena za obrambo;</w:t>
      </w:r>
    </w:p>
    <w:p w14:paraId="0C928A81" w14:textId="77777777" w:rsidR="00D470E4" w:rsidRDefault="00D470E4" w:rsidP="00D470E4"/>
    <w:p w14:paraId="6CD83401" w14:textId="2AA488F1" w:rsidR="00D470E4" w:rsidRDefault="00D470E4" w:rsidP="00D470E4">
      <w:pPr>
        <w:pStyle w:val="Odstavekseznama"/>
        <w:numPr>
          <w:ilvl w:val="0"/>
          <w:numId w:val="15"/>
        </w:numPr>
      </w:pPr>
      <w:r>
        <w:t>na novo se od 1. januarja 2025 (to je z dnem uveljavitve novega plačnega sistema) vrednoti posebni pogoj – bivanje v enoti ali zavodu oz. drugem določenem mestu, in sicer v višini 100-odstotne urne postavke zadnje objavljene povprečne mesečne bruto plače v Republiki Sloveniji, ugotovljene po uradnih statističnih podatkih.</w:t>
      </w:r>
    </w:p>
    <w:p w14:paraId="3D4FEC98" w14:textId="77777777" w:rsidR="00D470E4" w:rsidRDefault="00D470E4" w:rsidP="00D470E4"/>
    <w:p w14:paraId="3E346227" w14:textId="77777777" w:rsidR="00D470E4" w:rsidRDefault="00D470E4" w:rsidP="00D470E4">
      <w:r>
        <w:t>V prvem odstavku 12. člena predloga zakona je določeno, da mora vlada najpozneje v šestih mesecih od uveljavitve tega zakona z njim uskladiti Pravila službe v Slovenski vojski, in sicer poglavje o delu in notranji službi, ki določa tudi delovni čas pripadnikov Slovenske vojske v miru, ob povišani pripravljenosti ter med opravljanjem nalog v drugi državi ter dodatno urediti določbe glede možnosti internega varovanja objektov in okolišev, ki so posebnega pomena za obrambo.</w:t>
      </w:r>
    </w:p>
    <w:p w14:paraId="7AA65153" w14:textId="77777777" w:rsidR="00D470E4" w:rsidRDefault="00D470E4" w:rsidP="00D470E4"/>
    <w:p w14:paraId="598AD137" w14:textId="37EF78F3" w:rsidR="00D470E4" w:rsidRDefault="00D470E4" w:rsidP="00D470E4">
      <w:r>
        <w:t>Finančne posledice sprejema zakona bodo po ocenah znašale 26.948.146 evrov in vključujejo:</w:t>
      </w:r>
    </w:p>
    <w:p w14:paraId="09D79D26" w14:textId="77777777" w:rsidR="00D470E4" w:rsidRDefault="00D470E4" w:rsidP="00D470E4"/>
    <w:p w14:paraId="3D8912C2" w14:textId="79092C26" w:rsidR="00D470E4" w:rsidRDefault="00D470E4" w:rsidP="00D470E4">
      <w:pPr>
        <w:pStyle w:val="Odstavekseznama"/>
        <w:numPr>
          <w:ilvl w:val="0"/>
          <w:numId w:val="16"/>
        </w:numPr>
      </w:pPr>
      <w:r>
        <w:lastRenderedPageBreak/>
        <w:t>mesečni strošek dela za večdnevno stražo in varovanje objektov in okolišev, ki so posebnega pomena za obrambo iz naslova dodatka za nadurno delo</w:t>
      </w:r>
      <w:proofErr w:type="gramStart"/>
      <w:r>
        <w:t xml:space="preserve"> je</w:t>
      </w:r>
      <w:proofErr w:type="gramEnd"/>
      <w:r>
        <w:t xml:space="preserve"> za 12 objektov ocenjen na 77.587,20 evra mesečno in 931.046,40 evra bruto na leto;</w:t>
      </w:r>
    </w:p>
    <w:p w14:paraId="4EA165E8" w14:textId="0A308F4C" w:rsidR="00D470E4" w:rsidRDefault="00D470E4" w:rsidP="00D470E4">
      <w:pPr>
        <w:pStyle w:val="Odstavekseznama"/>
        <w:numPr>
          <w:ilvl w:val="0"/>
          <w:numId w:val="16"/>
        </w:numPr>
      </w:pPr>
      <w:r>
        <w:t xml:space="preserve">zaradi opravljanje nalog na petdnevni vojaški vaji iz naslova nadur znaša 305,32 evra bruto na pripadnika; v času opravljanja začetnega usposabljanja so finančne posledice zaradi nadomestila za bivanje v višini 871,86 evra bruto na pripadnika na mesec – skupaj po tej alineji za vse pripadnike </w:t>
      </w:r>
      <w:proofErr w:type="gramStart"/>
      <w:r>
        <w:t>cca.</w:t>
      </w:r>
      <w:proofErr w:type="gramEnd"/>
      <w:r>
        <w:t xml:space="preserve"> 100.000 evrov na leto;</w:t>
      </w:r>
    </w:p>
    <w:p w14:paraId="20CF4F6C" w14:textId="167CB80F" w:rsidR="00D470E4" w:rsidRDefault="00D470E4" w:rsidP="00D470E4">
      <w:pPr>
        <w:pStyle w:val="Odstavekseznama"/>
        <w:numPr>
          <w:ilvl w:val="0"/>
          <w:numId w:val="16"/>
        </w:numPr>
      </w:pPr>
      <w:r>
        <w:t>strošek nadomestila za bivanje znaša 6.769.800 evrov bruto na leto in za leto 2025 vključuje tudi poračun od 1. januarja 2025.</w:t>
      </w:r>
    </w:p>
    <w:p w14:paraId="4C26A96A" w14:textId="77777777" w:rsidR="00D470E4" w:rsidRDefault="00D470E4" w:rsidP="00D470E4"/>
    <w:p w14:paraId="023E36C8" w14:textId="77777777" w:rsidR="00D470E4" w:rsidRDefault="00D470E4" w:rsidP="00D470E4">
      <w:r>
        <w:t>Sredstva za leto 2025 bodo zagotovljena s prerazporeditvijo znotraj finančnega načrta Slovenske vojske. Za izvajanje zakona po letu 2025 pa bodo sredstva zagotovljena v okviru proračuna v finančnih načrtih Ministrstva za obrambo pri proračunskem uporabniku Slovenski vojski.</w:t>
      </w:r>
    </w:p>
    <w:p w14:paraId="27C84005" w14:textId="77777777" w:rsidR="00D470E4" w:rsidRDefault="00D470E4" w:rsidP="00D470E4"/>
    <w:p w14:paraId="484CBD7C" w14:textId="77777777" w:rsidR="00D470E4" w:rsidRDefault="00D470E4" w:rsidP="00D470E4">
      <w:r>
        <w:t xml:space="preserve">Predlog zakona je bil v skladu s </w:t>
      </w:r>
      <w:proofErr w:type="spellStart"/>
      <w:r>
        <w:t>100.b</w:t>
      </w:r>
      <w:proofErr w:type="spellEnd"/>
      <w:r>
        <w:t xml:space="preserve"> členom Zakona o obrambi posredovan v mnenje sindikatom na Ministrstvu za obrambo, 26. septembra 2025 pa je bilo zadnje besedilo predloga zakona tudi predstavljeno vsem štirim sindikatom.</w:t>
      </w:r>
    </w:p>
    <w:p w14:paraId="298BBC6B" w14:textId="0F3B6B31" w:rsidR="00FE4D64" w:rsidRDefault="00D470E4" w:rsidP="00D470E4">
      <w:pPr>
        <w:pStyle w:val="Vir"/>
      </w:pPr>
      <w:r>
        <w:t>Vir: Ministrstvo za obrambo</w:t>
      </w:r>
    </w:p>
    <w:p w14:paraId="0F915720" w14:textId="4B2D12CB" w:rsidR="00EF500C" w:rsidRDefault="00EF500C" w:rsidP="00EF500C">
      <w:pPr>
        <w:pStyle w:val="Naslov2"/>
      </w:pPr>
      <w:r>
        <w:t xml:space="preserve">Pomembne spremembe v cestninjenju tovornih vozil - tista, ki bolj onesnažujejo, bodo plačevala več </w:t>
      </w:r>
    </w:p>
    <w:p w14:paraId="79AC5CF5" w14:textId="41724920" w:rsidR="00EF500C" w:rsidRDefault="00EF500C" w:rsidP="00EF500C">
      <w:r>
        <w:t xml:space="preserve">Z Zakonom o cestninjenju, ki je začel veljati 18. decembra 2024, se je med drugim v slovenski pravni red prenesla </w:t>
      </w:r>
      <w:proofErr w:type="gramStart"/>
      <w:r>
        <w:t>Direktiva</w:t>
      </w:r>
      <w:proofErr w:type="gramEnd"/>
      <w:r>
        <w:t xml:space="preserve"> 2022/362 EU. </w:t>
      </w:r>
      <w:proofErr w:type="gramStart"/>
      <w:r>
        <w:t>Slednja</w:t>
      </w:r>
      <w:proofErr w:type="gramEnd"/>
      <w:r>
        <w:t xml:space="preserve"> je z namenom večjega upoštevanja vpliva tovornega prometa na okolje predvidela nov način prilagajanja infrastrukturne pristojbine glede na emisije CO2. Temu sledi Splošni akt o cestninjenju, katerega bistvena vsebinska dopolnitev se nanaša na določbe, ki opredeljujejo prilagoditev sistema cestninjenja vozil, katerih največja tehnično dovoljena masa presega 3.500</w:t>
      </w:r>
      <w:proofErr w:type="gramStart"/>
      <w:r>
        <w:t xml:space="preserve"> kg</w:t>
      </w:r>
      <w:proofErr w:type="gramEnd"/>
      <w:r>
        <w:t xml:space="preserve">, glede na emisije CO2. </w:t>
      </w:r>
    </w:p>
    <w:p w14:paraId="64771F02" w14:textId="77777777" w:rsidR="00EF500C" w:rsidRDefault="00EF500C" w:rsidP="00EF500C"/>
    <w:p w14:paraId="48ED813E" w14:textId="0190A5F7" w:rsidR="00EF500C" w:rsidRDefault="00EF500C" w:rsidP="00EF500C">
      <w:r>
        <w:t xml:space="preserve">Obstoječi sistem cestninjenja DarsGo se prilagaja na način, da se bo višina infrastrukturne pristojbine razlikovala tudi glede na emisijske razrede CO2. Novi način zaračunavanja cestnine se bo začel izvajati s </w:t>
      </w:r>
      <w:proofErr w:type="gramStart"/>
      <w:r>
        <w:t>1. 11. 2025</w:t>
      </w:r>
      <w:proofErr w:type="gramEnd"/>
      <w:r>
        <w:t xml:space="preserve">. Zakon o cestninjenju, ki ureja nov način zaračunavanja cestnine za tovorna vozila, je bil usklajen s predstavniki prevoznikov v Gospodarski zbornici Slovenije in </w:t>
      </w:r>
      <w:proofErr w:type="gramStart"/>
      <w:r>
        <w:t>Obrtno podjetniški zbornici Slovenije</w:t>
      </w:r>
      <w:proofErr w:type="gramEnd"/>
      <w:r>
        <w:t>.</w:t>
      </w:r>
    </w:p>
    <w:p w14:paraId="5A84087B" w14:textId="77777777" w:rsidR="00EF500C" w:rsidRDefault="00EF500C" w:rsidP="00EF500C"/>
    <w:p w14:paraId="1646322D" w14:textId="77777777" w:rsidR="00EF500C" w:rsidRDefault="00EF500C" w:rsidP="00EF500C">
      <w:r>
        <w:t>V Splošnem aktu o cestninjenju so vključene določbe, ki se nanašajo na način določitve emisijskega razreda CO2 za posamezno vozilo, opredeljeni pa so tudi dokumenti, ki jih morajo uporabniki predložiti pri registraciji oziroma uvrstitvi v posamezen CO2 razred. Emisijski razred CO</w:t>
      </w:r>
      <w:r>
        <w:rPr>
          <w:rFonts w:ascii="Cambria Math" w:hAnsi="Cambria Math" w:cs="Cambria Math"/>
        </w:rPr>
        <w:t>₂</w:t>
      </w:r>
      <w:r>
        <w:t xml:space="preserve"> vozila ozna</w:t>
      </w:r>
      <w:r>
        <w:rPr>
          <w:rFonts w:cs="Arial"/>
        </w:rPr>
        <w:t>č</w:t>
      </w:r>
      <w:r>
        <w:t>uje razvrstitev vozila v enega od petih emisijskih razredov CO</w:t>
      </w:r>
      <w:r>
        <w:rPr>
          <w:rFonts w:ascii="Cambria Math" w:hAnsi="Cambria Math" w:cs="Cambria Math"/>
        </w:rPr>
        <w:t>₂</w:t>
      </w:r>
      <w:r>
        <w:t xml:space="preserve"> glede na specifi</w:t>
      </w:r>
      <w:r>
        <w:rPr>
          <w:rFonts w:cs="Arial"/>
        </w:rPr>
        <w:t>č</w:t>
      </w:r>
      <w:r>
        <w:t>ne emisije CO</w:t>
      </w:r>
      <w:r>
        <w:rPr>
          <w:rFonts w:ascii="Cambria Math" w:hAnsi="Cambria Math" w:cs="Cambria Math"/>
        </w:rPr>
        <w:t>₂</w:t>
      </w:r>
      <w:r>
        <w:t xml:space="preserve"> vozila v skladu z Zakonom o cestninjenju. Najni</w:t>
      </w:r>
      <w:r>
        <w:rPr>
          <w:rFonts w:cs="Arial"/>
        </w:rPr>
        <w:t>ž</w:t>
      </w:r>
      <w:r>
        <w:t>ji emisijski razred CO2 je emisijski razred CO2 1, najvi</w:t>
      </w:r>
      <w:r>
        <w:rPr>
          <w:rFonts w:cs="Arial"/>
        </w:rPr>
        <w:t>š</w:t>
      </w:r>
      <w:r>
        <w:t xml:space="preserve">ji pa emisijski razred CO2 5. </w:t>
      </w:r>
    </w:p>
    <w:p w14:paraId="1DFF9382" w14:textId="77777777" w:rsidR="00EF500C" w:rsidRDefault="00EF500C" w:rsidP="00EF500C"/>
    <w:p w14:paraId="70CAADAD" w14:textId="77777777" w:rsidR="00EF500C" w:rsidRDefault="00EF500C" w:rsidP="00EF500C">
      <w:r>
        <w:t>Dodatno so opredeljeni tudi postopki v zvezi z razvrščanjem vozil v posamezne cestninske oziroma emisijske razrede CO2. Emisijski razred CO2 1 zajema vozila, ki jih ni mogoče razvrstiti v noben drug emisijski razred CO</w:t>
      </w:r>
      <w:r>
        <w:rPr>
          <w:rFonts w:ascii="Cambria Math" w:hAnsi="Cambria Math" w:cs="Cambria Math"/>
        </w:rPr>
        <w:t>₂</w:t>
      </w:r>
      <w:r>
        <w:t>, bodisi ker stranka za vozilo ni oddala vloge za dodelitev vi</w:t>
      </w:r>
      <w:r>
        <w:rPr>
          <w:rFonts w:cs="Arial"/>
        </w:rPr>
        <w:t>š</w:t>
      </w:r>
      <w:r>
        <w:t>jega emisijskega razreda CO2, bodisi ker niso predlo</w:t>
      </w:r>
      <w:r>
        <w:rPr>
          <w:rFonts w:cs="Arial"/>
        </w:rPr>
        <w:t>ž</w:t>
      </w:r>
      <w:r>
        <w:t>ena ustrezna dokazila, ali ker podatki iz dokumentov vozila ka</w:t>
      </w:r>
      <w:r>
        <w:rPr>
          <w:rFonts w:cs="Arial"/>
        </w:rPr>
        <w:t>ž</w:t>
      </w:r>
      <w:r>
        <w:t>ejo, da vozilo ne izpolnjuje pogojev za vi</w:t>
      </w:r>
      <w:r>
        <w:rPr>
          <w:rFonts w:cs="Arial"/>
        </w:rPr>
        <w:t>š</w:t>
      </w:r>
      <w:r>
        <w:t>ji emisijski razred CO2.</w:t>
      </w:r>
    </w:p>
    <w:p w14:paraId="2A75C2AE" w14:textId="77777777" w:rsidR="00EF500C" w:rsidRDefault="00EF500C" w:rsidP="00EF500C"/>
    <w:p w14:paraId="02BA585E" w14:textId="2B6B732D" w:rsidR="00EF500C" w:rsidRDefault="00EF500C" w:rsidP="00EF500C">
      <w:r>
        <w:t xml:space="preserve">Vlada je zaradi vsebinske oziroma tehnične povezanosti Splošnega akta o cestninjenju z drugimi akti s področja cestninjenja spremenila </w:t>
      </w:r>
      <w:proofErr w:type="gramStart"/>
      <w:r>
        <w:t xml:space="preserve">tudi  </w:t>
      </w:r>
      <w:proofErr w:type="gramEnd"/>
      <w:r>
        <w:t xml:space="preserve">Sklep o določitvi višine cestnine za vozila, katerih največja dovoljena masa presega 3.500 kg, Uredba o določitvi faktorjev prilagoditve višine infrastrukturne pristojbine za vozila, katerih največja tehnično dovoljena masa presega 3.500 kg, Sklep o </w:t>
      </w:r>
      <w:r>
        <w:lastRenderedPageBreak/>
        <w:t xml:space="preserve">spremembah Sklepa o uvedbi pribitka k cestnini na določenih odsekih cestninskih cest ter Cenik cestnine za uporabo cestninskih cest. </w:t>
      </w:r>
    </w:p>
    <w:p w14:paraId="41DCC8BE" w14:textId="77777777" w:rsidR="00EF500C" w:rsidRDefault="00EF500C" w:rsidP="00EF500C"/>
    <w:p w14:paraId="4E0DFC83" w14:textId="4A6654BA" w:rsidR="00EF500C" w:rsidRDefault="00EF500C" w:rsidP="00EF500C">
      <w:r>
        <w:t>V skladu s sporazumom z Republiko Avstrijo je zaradi indeksacije cestnine spremenjena tudi Uredba o spremembah Uredbe o cestnini za uporabo cestnega predora Karavanke. Skladno s sporazumom se bo vožnja skozi Karavanke za osebna vozila podražila za 2,45</w:t>
      </w:r>
      <w:proofErr w:type="gramStart"/>
      <w:r>
        <w:t xml:space="preserve"> %</w:t>
      </w:r>
      <w:proofErr w:type="gramEnd"/>
      <w:r>
        <w:t xml:space="preserve"> in bo od 1. 1. 2026 stala 9 evrov z DDV za enkratni prehod.</w:t>
      </w:r>
    </w:p>
    <w:p w14:paraId="70C823EB" w14:textId="099D161E" w:rsidR="00FE4D64" w:rsidRDefault="00EF500C" w:rsidP="00EF500C">
      <w:pPr>
        <w:pStyle w:val="Vir"/>
      </w:pPr>
      <w:r>
        <w:t>Vir: Ministrstvo za infrastrukturo</w:t>
      </w:r>
    </w:p>
    <w:p w14:paraId="3DB6672E" w14:textId="2562F653" w:rsidR="005574A2" w:rsidRDefault="005574A2" w:rsidP="005574A2">
      <w:pPr>
        <w:pStyle w:val="Naslov2"/>
      </w:pPr>
      <w:r>
        <w:t>Sprejet Program porabe sredstev Podnebnega sklada za leta 2025–2028</w:t>
      </w:r>
    </w:p>
    <w:p w14:paraId="53993C5D" w14:textId="77777777" w:rsidR="005574A2" w:rsidRDefault="005574A2" w:rsidP="005574A2">
      <w:r>
        <w:t xml:space="preserve">Vlada je sprejela Odlok o Programu porabe sredstev Podnebnega sklada za obdobje 2025–2028, ki nadaljuje ključne ukrepe iz prejšnjega obdobja in jim dodaja sredstva za leti 2027 in 2028, višina pa je določena glede na predvidene prihodke od dražb emisijskih kuponov. </w:t>
      </w:r>
    </w:p>
    <w:p w14:paraId="38ADA06A" w14:textId="77777777" w:rsidR="005574A2" w:rsidRDefault="005574A2" w:rsidP="005574A2"/>
    <w:p w14:paraId="77EFDA2C" w14:textId="1F68E830" w:rsidR="005574A2" w:rsidRDefault="005574A2" w:rsidP="005574A2">
      <w:r>
        <w:t>Sredstva bodo razporejena po vsebinskih področjih, ki odgovarjajo na glavne podnebne izzive, tako pri blaženju kot pri prilagajanju na podnebne spremembe. Ukrepi se izvajajo prek več ministrstev in institucij, pri čemer je za vsak ukrep jasno določeno, kdo je izvajalec in upravičenec ter kako se sredstva uporabljajo. Cilj je pregledna poraba in skupen napor države pri doseganju podnebnih ciljev.</w:t>
      </w:r>
    </w:p>
    <w:p w14:paraId="4791B7C1" w14:textId="77777777" w:rsidR="005574A2" w:rsidRDefault="005574A2" w:rsidP="005574A2"/>
    <w:p w14:paraId="3C434500" w14:textId="16A04CB0" w:rsidR="005574A2" w:rsidRDefault="005574A2" w:rsidP="005574A2">
      <w:r>
        <w:t>Program predvideva 830 milijonov evrov izplačil v obdobju 2025-20</w:t>
      </w:r>
      <w:r w:rsidR="00545863">
        <w:t>2</w:t>
      </w:r>
      <w:r>
        <w:t>8. Sredstva bodo namenjena ukrepom, ki podpirajo zeleni prehod in povečujejo odpornost Slovenije na podnebne spremembe. Največji delež bo namenjen:</w:t>
      </w:r>
    </w:p>
    <w:p w14:paraId="7BBADB53" w14:textId="442269DE" w:rsidR="005574A2" w:rsidRDefault="005574A2" w:rsidP="005574A2">
      <w:pPr>
        <w:pStyle w:val="Odstavekseznama"/>
        <w:numPr>
          <w:ilvl w:val="0"/>
          <w:numId w:val="13"/>
        </w:numPr>
      </w:pPr>
      <w:r>
        <w:t xml:space="preserve">trajnostni mobilnosti (375 milijonov evrov, skoraj polovica vseh sredstev) – vključuje naložbe v posodobitev javnega potniškega prometa (nakup novih vlakov in avtobusov, prenova </w:t>
      </w:r>
      <w:proofErr w:type="spellStart"/>
      <w:r>
        <w:t>vozovničnih</w:t>
      </w:r>
      <w:proofErr w:type="spellEnd"/>
      <w:r>
        <w:t xml:space="preserve"> in informacijskih sistemov), sofinanciranje brezemisijskih vozil in polnilne infrastrukture, spodbujanje kolesarjenja in hoje ter prenos tovornega prometa s cest na železnice;</w:t>
      </w:r>
    </w:p>
    <w:p w14:paraId="4A7D068C" w14:textId="32CD2969" w:rsidR="005574A2" w:rsidRDefault="005574A2" w:rsidP="005574A2">
      <w:pPr>
        <w:pStyle w:val="Odstavekseznama"/>
        <w:numPr>
          <w:ilvl w:val="0"/>
          <w:numId w:val="13"/>
        </w:numPr>
      </w:pPr>
      <w:r>
        <w:t xml:space="preserve">razogljičenju gospodarstva (121 milijonov evrov) – sofinanciranje uspešnih </w:t>
      </w:r>
      <w:proofErr w:type="gramStart"/>
      <w:r>
        <w:t>EU projektov</w:t>
      </w:r>
      <w:proofErr w:type="gramEnd"/>
      <w:r>
        <w:t>, podpora uvajanju krožnega gospodarstva in trajnostnemu poročanju MSP ter naložbam v razogljičenje industrije;</w:t>
      </w:r>
    </w:p>
    <w:p w14:paraId="39710B64" w14:textId="672001CC" w:rsidR="005574A2" w:rsidRDefault="005574A2" w:rsidP="005574A2">
      <w:pPr>
        <w:pStyle w:val="Odstavekseznama"/>
        <w:numPr>
          <w:ilvl w:val="0"/>
          <w:numId w:val="13"/>
        </w:numPr>
      </w:pPr>
      <w:r>
        <w:t xml:space="preserve">stavbam (111 milijonov evrov) – energetska prenova javnih in stanovanjskih stavb, ukrepi za zmanjšanje energetske revščine ter gradnja skoraj </w:t>
      </w:r>
      <w:proofErr w:type="spellStart"/>
      <w:proofErr w:type="gramStart"/>
      <w:r>
        <w:t>nič</w:t>
      </w:r>
      <w:proofErr w:type="gramEnd"/>
      <w:r>
        <w:t>energijskih</w:t>
      </w:r>
      <w:proofErr w:type="spellEnd"/>
      <w:r>
        <w:t xml:space="preserve"> stavb;</w:t>
      </w:r>
    </w:p>
    <w:p w14:paraId="40CECFB3" w14:textId="5ED278F3" w:rsidR="005574A2" w:rsidRDefault="005574A2" w:rsidP="005574A2">
      <w:pPr>
        <w:pStyle w:val="Odstavekseznama"/>
        <w:numPr>
          <w:ilvl w:val="0"/>
          <w:numId w:val="13"/>
        </w:numPr>
      </w:pPr>
      <w:r>
        <w:t>obnovljivim virom energije (95 milijonov evrov) – predvsem za zamenjavo zastarelih kurilnih naprav v gospodinjstvih s sodobnimi kurilnimi napravami in toplotnimi črpalkami hranilnike energije, geotermijo ter ukrepe za večjo energetsko avtonomijo stavb ter</w:t>
      </w:r>
    </w:p>
    <w:p w14:paraId="5902CDBC" w14:textId="233F2C4F" w:rsidR="005574A2" w:rsidRDefault="005574A2" w:rsidP="005574A2">
      <w:pPr>
        <w:pStyle w:val="Odstavekseznama"/>
        <w:numPr>
          <w:ilvl w:val="0"/>
          <w:numId w:val="13"/>
        </w:numPr>
      </w:pPr>
      <w:r>
        <w:t>dodatnim ukrepom prilagajanja na podnebne spremembe (49 milijonov evrov) – zmanjševanju poplavne ogroženosti, ohranjanju biotske raznovrstnosti, prilagoditvam v gozdarstvu in kmetijstvu ter krepitvi odpornosti lokalnih skupnosti.</w:t>
      </w:r>
    </w:p>
    <w:p w14:paraId="57C7D385" w14:textId="77777777" w:rsidR="005574A2" w:rsidRDefault="005574A2" w:rsidP="005574A2"/>
    <w:p w14:paraId="5B9B789E" w14:textId="7C52191E" w:rsidR="005574A2" w:rsidRDefault="005574A2" w:rsidP="005574A2">
      <w:r>
        <w:t>Za mednarodno podnebno financiranje je namenjenih 12 milijonov evrov, za ozaveščanje in izobraževanje 26 milijonov evrov ter dodatno še sredstva za digitalno podporo, tehnično pomoč in kritje stroškov poslovanja</w:t>
      </w:r>
      <w:proofErr w:type="gramStart"/>
      <w:r>
        <w:t xml:space="preserve"> Eko</w:t>
      </w:r>
      <w:proofErr w:type="gramEnd"/>
      <w:r>
        <w:t xml:space="preserve"> sklada.</w:t>
      </w:r>
    </w:p>
    <w:p w14:paraId="766F1EA3" w14:textId="77777777" w:rsidR="005574A2" w:rsidRDefault="005574A2" w:rsidP="005574A2"/>
    <w:p w14:paraId="1FF739DE" w14:textId="77777777" w:rsidR="005574A2" w:rsidRDefault="005574A2" w:rsidP="005574A2">
      <w:r>
        <w:t>Z uveljavitvijo novega odloka preneha veljati obstoječi program porabe sredstev Podnebnega sklada za obdobje 2023–2026.</w:t>
      </w:r>
    </w:p>
    <w:p w14:paraId="4916E069" w14:textId="6A73CDCA" w:rsidR="00FE4D64" w:rsidRDefault="005574A2" w:rsidP="005574A2">
      <w:pPr>
        <w:pStyle w:val="Vir"/>
      </w:pPr>
      <w:r>
        <w:t>Vir: Ministrstvo za okolje, podnebje in energijo</w:t>
      </w:r>
    </w:p>
    <w:p w14:paraId="08ED98CB" w14:textId="0347C3D5" w:rsidR="00195EB1" w:rsidRDefault="00195EB1" w:rsidP="00195EB1">
      <w:pPr>
        <w:pStyle w:val="Naslov2"/>
      </w:pPr>
      <w:r>
        <w:t>Vlada sprejela poročilo o stanju kmetijstva, živilstva, gozdarstva in ribištva v letu 2024</w:t>
      </w:r>
    </w:p>
    <w:p w14:paraId="3623601A" w14:textId="34828A1E" w:rsidR="00195EB1" w:rsidRDefault="00195EB1" w:rsidP="00195EB1">
      <w:r>
        <w:lastRenderedPageBreak/>
        <w:t xml:space="preserve">Vlada je sprejela poročilo o stanju kmetijstva, živilstva, gozdarstva in ribištva v letu 2024. To prikazuje in analizira rezultate slovenskega kmetijstva, živilstva, gozdarstva in ribištva ter z njimi povezanih dejavnosti v letu 2023, ki so podlaga pri pripravi usmeritev in razvojnega načrtovanja. </w:t>
      </w:r>
    </w:p>
    <w:p w14:paraId="062A91F3" w14:textId="77777777" w:rsidR="00195EB1" w:rsidRDefault="00195EB1" w:rsidP="00195EB1"/>
    <w:p w14:paraId="2A2DDC37" w14:textId="0EF98335" w:rsidR="00195EB1" w:rsidRDefault="00195EB1" w:rsidP="00195EB1">
      <w:r>
        <w:t xml:space="preserve">V poročilu so zbrani najpomembnejši proizvodni in ekonomski rezultati o slovenskem kmetijstvu, živilstvu, gozdarstvu in ribištvu, ki so pripravljeni na podlagi podatkov Statističnega urada RS, Ministrstva za kmetijstvo, gozdarstvo in prehrano ter drugih uradnih virov. Poročilo se osredotoča na podrobno vsebinsko interpretacijo podatkov obravnavanega leta 2024, s poudarkom na primerjavi s predhodnim letom. </w:t>
      </w:r>
    </w:p>
    <w:p w14:paraId="3C65E1A7" w14:textId="77777777" w:rsidR="00195EB1" w:rsidRDefault="00195EB1" w:rsidP="00195EB1"/>
    <w:p w14:paraId="2B8E9BEF" w14:textId="77777777" w:rsidR="00195EB1" w:rsidRDefault="00195EB1" w:rsidP="00195EB1">
      <w:r>
        <w:t>Gospodarska rast v Sloveniji se je v letu 2024 umirila, inflacija pa se je znižala na dva odstotka. Kmetijstvo z gozdarstvom, lovstvom in ribištvom je k skupni dodani vrednosti prispevalo 1,7 odstotka, delež zaposlenosti v teh dejavnostih pa je znašal 6,1 odstotka.</w:t>
      </w:r>
    </w:p>
    <w:p w14:paraId="1900F89E" w14:textId="77777777" w:rsidR="00195EB1" w:rsidRDefault="00195EB1" w:rsidP="00195EB1"/>
    <w:p w14:paraId="554E823D" w14:textId="77777777" w:rsidR="00195EB1" w:rsidRDefault="00195EB1" w:rsidP="00195EB1">
      <w:r>
        <w:t>Po začasnih podatkih popisa kmetijskih gospodarstev (KMG) iz leta 2023 se nadaljuje trend njihovega zmanjševanja. Povprečno KMG obdeluje 8,9 hektarja kmetijskih zemljišč, kar je precej pod povprečjem EU.</w:t>
      </w:r>
    </w:p>
    <w:p w14:paraId="3FE74AE2" w14:textId="77777777" w:rsidR="00195EB1" w:rsidRDefault="00195EB1" w:rsidP="00195EB1"/>
    <w:p w14:paraId="27308915" w14:textId="77777777" w:rsidR="00195EB1" w:rsidRDefault="00195EB1" w:rsidP="00195EB1">
      <w:r>
        <w:t xml:space="preserve">Skupna kmetijska proizvodnja se je povečala za pet odstotkov, predvsem zaradi rasti rastlinske pridelave (za </w:t>
      </w:r>
      <w:proofErr w:type="gramStart"/>
      <w:r>
        <w:t>10 </w:t>
      </w:r>
      <w:proofErr w:type="gramEnd"/>
      <w:r>
        <w:t>odstotkov), medtem ko je živinoreja ostala na enaki ravni. Povečala se je razpoložljivost hrane na prebivalca pri večini rastlinskih in živalskih proizvodov. Stopnje samooskrbe so se zvišale pri žitu, krompirju, zelenjavi, sadju in medu, znižale pa pri mesu, mleku in jajcih.</w:t>
      </w:r>
    </w:p>
    <w:p w14:paraId="0C07C153" w14:textId="77777777" w:rsidR="00195EB1" w:rsidRDefault="00195EB1" w:rsidP="00195EB1"/>
    <w:p w14:paraId="209046B3" w14:textId="77777777" w:rsidR="00195EB1" w:rsidRDefault="00195EB1" w:rsidP="00195EB1">
      <w:r>
        <w:t xml:space="preserve">Ekonomski rezultati kmetijstva na skupni ravni so bili v letu 2024 občutno boljši kot v letu prej in nekoliko nad povprečjem preteklega petletnega obdobja. Neto dodana vrednost kmetijstva se je v primerjavi z letom 2023 realno povečala za </w:t>
      </w:r>
      <w:proofErr w:type="gramStart"/>
      <w:r>
        <w:t>okoli</w:t>
      </w:r>
      <w:proofErr w:type="gramEnd"/>
      <w:r>
        <w:t xml:space="preserve"> dve petini, faktorski dohodek pa realno za skoraj petino. Ob nekoliko višji vrednosti kmetijske in občutno nižji vmesni potrošnji je faktorski dohodek nominalno znašal 617 milijonov evrov. </w:t>
      </w:r>
    </w:p>
    <w:p w14:paraId="59F507AF" w14:textId="77777777" w:rsidR="00195EB1" w:rsidRDefault="00195EB1" w:rsidP="00195EB1"/>
    <w:p w14:paraId="2834A96E" w14:textId="77777777" w:rsidR="00195EB1" w:rsidRDefault="00195EB1" w:rsidP="00195EB1">
      <w:r>
        <w:t>Proračunska izplačila za kmetijstvo so znašala 437,5 milijona evrov (8 odstotkov več kot 2023), največ za razvoj podeželja (</w:t>
      </w:r>
      <w:proofErr w:type="gramStart"/>
      <w:r>
        <w:t>50 </w:t>
      </w:r>
      <w:proofErr w:type="gramEnd"/>
      <w:r>
        <w:t>odstotkov). Najpomembnejša trgovinska partnerica ostaja Hrvaška. Živilskopredelovalna industrija je stagnirala. Glavni izzivi so visoki stroški energentov in močna konkurenca, kar omejuje konkurenčnost sektorja.</w:t>
      </w:r>
    </w:p>
    <w:p w14:paraId="1BAEF7B3" w14:textId="0754A72C" w:rsidR="00FE4D64" w:rsidRDefault="00195EB1" w:rsidP="00195EB1">
      <w:pPr>
        <w:pStyle w:val="Vir"/>
      </w:pPr>
      <w:r>
        <w:t>Vir: Ministrstvo za kmetijstvo, gozdarstvo in prehrano</w:t>
      </w:r>
    </w:p>
    <w:p w14:paraId="5B84E293" w14:textId="4A27A887" w:rsidR="00334F9F" w:rsidRDefault="00334F9F" w:rsidP="00334F9F">
      <w:pPr>
        <w:pStyle w:val="Naslov2"/>
      </w:pPr>
      <w:r>
        <w:t>Vlada prerazporeja sredstva državnega proračuna</w:t>
      </w:r>
    </w:p>
    <w:p w14:paraId="3C81BB37" w14:textId="77777777" w:rsidR="00334F9F" w:rsidRDefault="00334F9F" w:rsidP="00334F9F">
      <w:r>
        <w:t>Vlada je na današnji seji odločila o prerazporeditvah pravic porabe v letošnjem državnem proračunu.</w:t>
      </w:r>
    </w:p>
    <w:p w14:paraId="57F80BFD" w14:textId="77777777" w:rsidR="00334F9F" w:rsidRDefault="00334F9F" w:rsidP="00334F9F"/>
    <w:p w14:paraId="61F0CF09" w14:textId="77777777" w:rsidR="00334F9F" w:rsidRDefault="00334F9F" w:rsidP="00334F9F">
      <w:r>
        <w:t xml:space="preserve">Med drugim Ministrstvo za naravne vire in prostor prerazporeja pravice porabe znotraj svojega finančnega načrta v višini 1,5 milijona evrov za izvajanje projektov iz Programa odprave posledic nesreč - naravne nesreče 14.-23. maj 2023, saj se na podlagi s strani občin pripravljene tehnične in </w:t>
      </w:r>
      <w:proofErr w:type="gramStart"/>
      <w:r>
        <w:t>investicijske</w:t>
      </w:r>
      <w:proofErr w:type="gramEnd"/>
      <w:r>
        <w:t xml:space="preserve"> dokumentacije, ki je temeljna vsebina za izvedbo teh projektov, v letu 2025 izkazujejo večje potrebe od načrtovanih.</w:t>
      </w:r>
    </w:p>
    <w:p w14:paraId="6E437C36" w14:textId="77777777" w:rsidR="00334F9F" w:rsidRDefault="00334F9F" w:rsidP="00334F9F"/>
    <w:p w14:paraId="2E010BB2" w14:textId="6B55CB29" w:rsidR="00334F9F" w:rsidRDefault="00334F9F" w:rsidP="00334F9F">
      <w:r>
        <w:t xml:space="preserve">Ministrstvo za notranje zadeve/Policija prerazporeja pravice porabe na Urad predsednice Republike Slovenije v višini 209 tisoč evrov za plače in materialne stroške, in sicer na podlagi Sporazuma o sodelovanju pri varovanju predsednika Republike Slovenije. Ministrstvo za gospodarstvo, turizem in šport (MGTŠ) pa prerazporeja pravice porabe na Ministrstvo za zunanje in evropske zadeve (MZEZ) v višini 161 tisoč evrov za izplačilo stroškov dela ter materialne stroške v zvezi </w:t>
      </w:r>
      <w:proofErr w:type="gramStart"/>
      <w:r>
        <w:t>napotitvijo</w:t>
      </w:r>
      <w:proofErr w:type="gramEnd"/>
      <w:r>
        <w:t xml:space="preserve"> javnega </w:t>
      </w:r>
      <w:r>
        <w:lastRenderedPageBreak/>
        <w:t>uslužbenca. Sredstva se prerazporejajo na podlagi Sporazuma o začasni spremembi kadrovskega načrta in o prenosu finančnih sredstev iz MGTŠ v MZEZ.</w:t>
      </w:r>
    </w:p>
    <w:p w14:paraId="792A6AAD" w14:textId="77777777" w:rsidR="00334F9F" w:rsidRDefault="00334F9F" w:rsidP="00334F9F"/>
    <w:p w14:paraId="6B4B65D5" w14:textId="6FF43AE9" w:rsidR="00334F9F" w:rsidRDefault="00334F9F" w:rsidP="00334F9F">
      <w:r>
        <w:t>Ministrstvo za vzgojo in izobraževanje prerazporeja sredstva na Ministrstvo za visoko šolstvo, znanost in inovacije v skupnem znesku 100 tisoč evrov na podlagi dogovora o zagotovitvi sredstev za subvencije za bivanje študentov višjih šol z dne 18. marec 2024.</w:t>
      </w:r>
    </w:p>
    <w:p w14:paraId="0BC3D961" w14:textId="468E874D" w:rsidR="00FE4D64" w:rsidRDefault="00334F9F" w:rsidP="00334F9F">
      <w:pPr>
        <w:pStyle w:val="Vir"/>
      </w:pPr>
      <w:r>
        <w:t>Vir: Ministrstvo za finance</w:t>
      </w:r>
    </w:p>
    <w:p w14:paraId="335BA47B" w14:textId="5F8EE907" w:rsidR="00C14A18" w:rsidRDefault="00635909" w:rsidP="00635909">
      <w:pPr>
        <w:pStyle w:val="Naslov2"/>
      </w:pPr>
      <w:r>
        <w:t>O</w:t>
      </w:r>
      <w:r w:rsidR="00C14A18">
        <w:t xml:space="preserve">dgovor na </w:t>
      </w:r>
      <w:r>
        <w:t>i</w:t>
      </w:r>
      <w:r w:rsidR="00C14A18">
        <w:t>nterpelacijo o delu in odgovornosti ministra za solidarno prihodnost Simona Maljevca</w:t>
      </w:r>
    </w:p>
    <w:p w14:paraId="7B49DAC6" w14:textId="77777777" w:rsidR="00635909" w:rsidRDefault="00635909" w:rsidP="00635909">
      <w:r>
        <w:t xml:space="preserve">Vlada se je seznanila z odgovorom na interpelacijo o delu in odgovornosti ministra za solidarno prihodnost Simona Maljevca in podprla odgovor ministra. </w:t>
      </w:r>
    </w:p>
    <w:p w14:paraId="4784560C" w14:textId="77777777" w:rsidR="00635909" w:rsidRDefault="00635909" w:rsidP="00635909"/>
    <w:p w14:paraId="44F3CAC6" w14:textId="5B5ADAAF" w:rsidR="00635909" w:rsidRDefault="00635909" w:rsidP="00635909">
      <w:r>
        <w:t>Ta poudarja, da sta vlada in ministrstvo kot prva začela z dejanskim vzpostavljanjem sistema dolgotrajne oskrbe, tudi s ključnim delom – ustreznim finančnim temeljem za izvajanje reforme. Prav tako sta ministrstvo in vlada prva od osamosvojitve Slovenije resno pristopila k stanovanjski politiki in za njeno izvajanje zagotovila tudi obsežna, daleč najvišja finančna sredstva.</w:t>
      </w:r>
    </w:p>
    <w:p w14:paraId="5DC1C571" w14:textId="57B6EC0A" w:rsidR="00C14A18" w:rsidRDefault="00635909" w:rsidP="00635909">
      <w:pPr>
        <w:pStyle w:val="Vir"/>
      </w:pPr>
      <w:r>
        <w:t>Vir: Ministrstvo za solidarno prihodnost</w:t>
      </w:r>
    </w:p>
    <w:p w14:paraId="72BFE919" w14:textId="04613EE1" w:rsidR="00C14A18" w:rsidRDefault="0077506B" w:rsidP="0077506B">
      <w:pPr>
        <w:pStyle w:val="Naslov2"/>
      </w:pPr>
      <w:r>
        <w:t>S</w:t>
      </w:r>
      <w:r w:rsidR="00C14A18">
        <w:t>oglasj</w:t>
      </w:r>
      <w:r>
        <w:t>e vlade</w:t>
      </w:r>
      <w:r w:rsidR="00C14A18">
        <w:t xml:space="preserve"> k </w:t>
      </w:r>
      <w:r>
        <w:t>p</w:t>
      </w:r>
      <w:r w:rsidR="00C14A18">
        <w:t xml:space="preserve">redlogu amandmajev k </w:t>
      </w:r>
      <w:proofErr w:type="gramStart"/>
      <w:r>
        <w:t>p</w:t>
      </w:r>
      <w:r w:rsidR="00C14A18">
        <w:t xml:space="preserve">redlogu </w:t>
      </w:r>
      <w:r>
        <w:t>Z</w:t>
      </w:r>
      <w:r w:rsidR="00C14A18">
        <w:t>akona</w:t>
      </w:r>
      <w:proofErr w:type="gramEnd"/>
      <w:r w:rsidR="00C14A18">
        <w:t xml:space="preserve"> o objavljanju v Uradnem listu </w:t>
      </w:r>
    </w:p>
    <w:p w14:paraId="7B3A49F3" w14:textId="77777777" w:rsidR="0077506B" w:rsidRDefault="0077506B" w:rsidP="00C14A18">
      <w:r w:rsidRPr="0077506B">
        <w:t xml:space="preserve">Vlada Republike Slovenije je </w:t>
      </w:r>
      <w:r>
        <w:t xml:space="preserve">skladno </w:t>
      </w:r>
      <w:r w:rsidRPr="0077506B">
        <w:t xml:space="preserve">s 46. členom Poslovnika Vlade Republike Slovenije soglašala s predlogom amandmajev k </w:t>
      </w:r>
      <w:proofErr w:type="gramStart"/>
      <w:r>
        <w:t>p</w:t>
      </w:r>
      <w:r w:rsidRPr="0077506B">
        <w:t xml:space="preserve">redlogu </w:t>
      </w:r>
      <w:r>
        <w:t>Z</w:t>
      </w:r>
      <w:r w:rsidRPr="0077506B">
        <w:t>akona</w:t>
      </w:r>
      <w:proofErr w:type="gramEnd"/>
      <w:r w:rsidRPr="0077506B">
        <w:t xml:space="preserve"> o objavljanju v Uradnem listu Republike Slovenije (ZOUL),  tako da bodo lahko amandmaji pravočasno vloženi v zakonodajnem postopku za obravnavo navedenega predloga zakona na seji Odbora za notranje zadeve, javno upravo in lokalno samoupravo, ki bo 8. oktobra 2025. </w:t>
      </w:r>
    </w:p>
    <w:p w14:paraId="4BFAAE6F" w14:textId="77777777" w:rsidR="0077506B" w:rsidRDefault="0077506B" w:rsidP="0077506B">
      <w:pPr>
        <w:pStyle w:val="Vir"/>
      </w:pPr>
      <w:r>
        <w:t>Vir: Služba Vlade Republike Slovenije za zakonodajo</w:t>
      </w:r>
    </w:p>
    <w:p w14:paraId="2AF0DBE2" w14:textId="4789CEC6" w:rsidR="00797864" w:rsidRDefault="00797864" w:rsidP="00797864">
      <w:pPr>
        <w:pStyle w:val="Naslov2"/>
      </w:pPr>
      <w:r>
        <w:t>Vlada imenovala novega člana sveta Muzeja novejše in sodobne zgodovine Slovenije</w:t>
      </w:r>
    </w:p>
    <w:p w14:paraId="753024B2" w14:textId="77777777" w:rsidR="00797864" w:rsidRDefault="00797864" w:rsidP="00797864">
      <w:r>
        <w:t>Vlada RS je na današnji seji v svet javnega zavoda Muzej novejše in sodobne zgodovine Slovenije imenovala dr. Leva Centriha, ki bo kot predstavnik ustanovitelja mandat opravljal do februarja 2027.</w:t>
      </w:r>
    </w:p>
    <w:p w14:paraId="52FCB853" w14:textId="77777777" w:rsidR="00797864" w:rsidRDefault="00797864" w:rsidP="00797864">
      <w:r>
        <w:t>Dr. Lev Centrih (1979) je doktor sociologije in docent za zgodovino. Zaposlen je na Univerzi na Primorskem, na Fakulteti za humanistične študije v Kopru</w:t>
      </w:r>
      <w:proofErr w:type="gramStart"/>
      <w:r>
        <w:t>,</w:t>
      </w:r>
      <w:proofErr w:type="gramEnd"/>
      <w:r>
        <w:t xml:space="preserve"> ter na Inštitutu za novejšo zgodovino v Ljubljani. Ukvarja se s pedagoškim in raziskovalnim delom, sodeluje pri domačih in mednarodnih projektih ter je avtor številnih znanstvenih objav.</w:t>
      </w:r>
    </w:p>
    <w:p w14:paraId="18085EC2" w14:textId="77777777" w:rsidR="00797864" w:rsidRDefault="00797864" w:rsidP="00797864"/>
    <w:p w14:paraId="44382523" w14:textId="36E205E1" w:rsidR="00797864" w:rsidRDefault="00797864" w:rsidP="00797864">
      <w:r>
        <w:t>V svetu zavoda bo nasledil dr. Manco Grgić Renko, ki je aprila letos odstopila z mesta članice sveta.</w:t>
      </w:r>
    </w:p>
    <w:p w14:paraId="39C16D39" w14:textId="38F59984" w:rsidR="00FE4D64" w:rsidRDefault="00797864" w:rsidP="00797864">
      <w:pPr>
        <w:pStyle w:val="Vir"/>
      </w:pPr>
      <w:r>
        <w:t>Vir: Ministrstvo za kulturo</w:t>
      </w:r>
    </w:p>
    <w:p w14:paraId="0EC7474C" w14:textId="1E91C352" w:rsidR="00402589" w:rsidRDefault="00402589" w:rsidP="00402589">
      <w:pPr>
        <w:pStyle w:val="Naslov2"/>
      </w:pPr>
      <w:r>
        <w:t>Vlada se je seznanila z odstopno izjavo članice v Svetu slovenske akreditacije in imenovala novo predstavnico ustanovitelja v Svet slovenske akreditacije</w:t>
      </w:r>
    </w:p>
    <w:p w14:paraId="6CD1CE1E" w14:textId="701237A1" w:rsidR="00402589" w:rsidRDefault="00402589" w:rsidP="00402589">
      <w:r>
        <w:t>Vlada se je na današnji seji seznanila z odstopno izjavo mag. Tatjane Colnar, članice sveta slovenske akreditacije, ki ji z dnem sprejetja sklepa preneha mandat v navedenem svetu. Za preostanek mandatnega obdobja, ki traja do 19. marca 2029, je vlada kot predstavnico ustanovitelja v svet slovenske akreditacije imenovala Betko Miklič.</w:t>
      </w:r>
    </w:p>
    <w:p w14:paraId="47DD4C56" w14:textId="77777777" w:rsidR="00402589" w:rsidRDefault="00402589" w:rsidP="00402589"/>
    <w:p w14:paraId="0FC64767" w14:textId="77777777" w:rsidR="00402589" w:rsidRDefault="00402589" w:rsidP="00402589">
      <w:r>
        <w:lastRenderedPageBreak/>
        <w:t xml:space="preserve">Betka Miklič je diplomirana ekonomistka in specialistka </w:t>
      </w:r>
      <w:proofErr w:type="gramStart"/>
      <w:r>
        <w:t>managementa</w:t>
      </w:r>
      <w:proofErr w:type="gramEnd"/>
      <w:r>
        <w:t>. Svojo poklicno pot je začela na Inšpektoratu RS za promet, od leta 2007 pa je zaposlena na Ministrstvu za infrastrukturo, kjer opravlja naloge sekretarke v Sektorju za železnice in žičnice.</w:t>
      </w:r>
    </w:p>
    <w:p w14:paraId="44ADEAD2" w14:textId="77777777" w:rsidR="00402589" w:rsidRDefault="00402589" w:rsidP="00402589">
      <w:r>
        <w:t>Je predsednica izpitnega odbora za usposabljanje osebja za obratovanje žičniških naprav. Ima dolgoletne izkušnje z vodenjem projektov, pripravo pogodb in sodelovanjem pri financiranju ter nadzoru javnih služb.</w:t>
      </w:r>
    </w:p>
    <w:p w14:paraId="5F16612A" w14:textId="77777777" w:rsidR="00402589" w:rsidRDefault="00402589" w:rsidP="00402589"/>
    <w:p w14:paraId="789A7127" w14:textId="635091BF" w:rsidR="00402589" w:rsidRDefault="00402589" w:rsidP="00402589">
      <w:r>
        <w:t xml:space="preserve">Svet slovenske akreditacije je organ upravljanja javnega zavoda </w:t>
      </w:r>
      <w:proofErr w:type="gramStart"/>
      <w:r>
        <w:t>Slovenska</w:t>
      </w:r>
      <w:proofErr w:type="gramEnd"/>
      <w:r>
        <w:t xml:space="preserve"> akreditacija, ki šteje petnajst članov. V njem so zastopani predstavniki ustanovitelja, gospodarstva, organov za ugotavljanje skladnosti, strokovnih združenj, potrošnikov, nevladnih organizacij s področja varstva okolja ter predstavniki zaposlenih. Mandat članov traja štiri leta, z možnostjo ponovnega imenovanja oziroma izvolitve.</w:t>
      </w:r>
    </w:p>
    <w:p w14:paraId="166D48AD" w14:textId="44682B9A" w:rsidR="00FE4D64" w:rsidRDefault="00402589" w:rsidP="00402589">
      <w:pPr>
        <w:pStyle w:val="Vir"/>
      </w:pPr>
      <w:r>
        <w:t>Vir: Ministrstvo za gospodarstvo, turizem in šport</w:t>
      </w:r>
    </w:p>
    <w:p w14:paraId="22989D24" w14:textId="6680DC2A" w:rsidR="00C90151" w:rsidRDefault="00C90151" w:rsidP="00C90151">
      <w:pPr>
        <w:pStyle w:val="Naslov2"/>
      </w:pPr>
      <w:r>
        <w:t>Imenovanje v upravni odbor javnega raziskovalnega zavoda Nacionalni inštitut za biologijo</w:t>
      </w:r>
    </w:p>
    <w:p w14:paraId="0EEC7DB3" w14:textId="27FB92F9" w:rsidR="00C90151" w:rsidRDefault="00C90151" w:rsidP="00C90151">
      <w:r>
        <w:t>Vlada je sklenila, da se v upravni odbor javnega raziskovalnega zavoda Nacionalni inštitut za biologijo (NIB) do izteka mandata upravnega odbora NIB kot predstavnica ustanovitelja, na predlog ministrstva, pristojnega za znanost, imenuje članica mag. Katja Žagar.</w:t>
      </w:r>
    </w:p>
    <w:p w14:paraId="35303153" w14:textId="676E4F85" w:rsidR="00FE4D64" w:rsidRDefault="00C90151" w:rsidP="00C90151">
      <w:pPr>
        <w:pStyle w:val="Vir"/>
      </w:pPr>
      <w:r>
        <w:t>Vir: Ministrstvo za visoko šolstvo, znanost in inovacije</w:t>
      </w:r>
    </w:p>
    <w:p w14:paraId="6CAE78F5" w14:textId="5F5C7480" w:rsidR="004A23D7" w:rsidRDefault="004A23D7" w:rsidP="004A23D7">
      <w:pPr>
        <w:pStyle w:val="Naslov2"/>
      </w:pPr>
      <w:r>
        <w:t>Vlada imenovala člane Odbora za upravljanje zračnega prostora</w:t>
      </w:r>
    </w:p>
    <w:p w14:paraId="07DCE1B3" w14:textId="27EDB661" w:rsidR="004A23D7" w:rsidRDefault="004A23D7" w:rsidP="004A23D7">
      <w:r>
        <w:t>Novi Zakon o letalstvu, ki v veljavo stopa 5. oktobra 2025, ureja zračni prostor in upravljanje zračnega prostora. Določa tudi, da izvajanje nalog strateške ravni upravljanja zračnega prostora izvaja Odbor za upravljanje zračnega prostora. Odbor pri izvajanju svojih nalog upošteva načela in pravila prilagodljive uporabe zračnega prostora, kot jih določa predpis EU, ki ureja skupna pravila za prilagodljivo uporabo zračnega prostora, ta zakon pa poda še druge podrobnejše ureditve, ki po svoji naravi spadajo na strateško raven. Oblikovanje posebnega instituta – odbora</w:t>
      </w:r>
      <w:proofErr w:type="gramStart"/>
      <w:r>
        <w:t>,</w:t>
      </w:r>
      <w:proofErr w:type="gramEnd"/>
      <w:r>
        <w:t xml:space="preserve"> je zahteva prava EU (skupna pravila za prilagodljivo uporabo zračnega prostora). </w:t>
      </w:r>
    </w:p>
    <w:p w14:paraId="3FCB3A83" w14:textId="77777777" w:rsidR="004A23D7" w:rsidRDefault="004A23D7" w:rsidP="004A23D7"/>
    <w:p w14:paraId="72908D0D" w14:textId="77777777" w:rsidR="004A23D7" w:rsidRDefault="004A23D7" w:rsidP="004A23D7">
      <w:r>
        <w:t xml:space="preserve">Odbor sestavljajo predstavnik ministrstva in predstavnik agencije kot predstavnika civilnih organov ter dva predstavnika ministrstva, pristojnega za obrambo, kot predstavnika vojaških organov. Člane odbora in njihove namestnike imenuje vlada. Odbor vodi predsednik, ki je predstavnik ministrstva. </w:t>
      </w:r>
    </w:p>
    <w:p w14:paraId="2E802748" w14:textId="77777777" w:rsidR="004A23D7" w:rsidRDefault="004A23D7" w:rsidP="004A23D7"/>
    <w:p w14:paraId="056FBCDE" w14:textId="77777777" w:rsidR="004A23D7" w:rsidRDefault="004A23D7" w:rsidP="004A23D7">
      <w:r>
        <w:t>Vlada Republike Slovenije je imenovala člane in namestnike Odbora za upravljanje zračnega prostora: v naslednji sestavi:</w:t>
      </w:r>
    </w:p>
    <w:p w14:paraId="2AAD3D9B" w14:textId="71451305" w:rsidR="004A23D7" w:rsidRDefault="004A23D7" w:rsidP="002E6BD1">
      <w:pPr>
        <w:pStyle w:val="Odstavekseznama"/>
        <w:numPr>
          <w:ilvl w:val="0"/>
          <w:numId w:val="17"/>
        </w:numPr>
      </w:pPr>
      <w:r>
        <w:t xml:space="preserve">Sabina Dolinšek Popadić, vodja Sektorja za letalstvo, kot predstavnica Ministrstva za infrastrukturo, </w:t>
      </w:r>
    </w:p>
    <w:p w14:paraId="53213C8C" w14:textId="508297DE" w:rsidR="004A23D7" w:rsidRDefault="004A23D7" w:rsidP="002E6BD1">
      <w:pPr>
        <w:pStyle w:val="Odstavekseznama"/>
        <w:numPr>
          <w:ilvl w:val="0"/>
          <w:numId w:val="17"/>
        </w:numPr>
      </w:pPr>
      <w:r>
        <w:t xml:space="preserve">Sabina Golob, sekretarka, kot namestnica predstavnice Ministrstva z infrastrukturo, </w:t>
      </w:r>
    </w:p>
    <w:p w14:paraId="3D1CAD83" w14:textId="1CD2FB00" w:rsidR="004A23D7" w:rsidRDefault="004A23D7" w:rsidP="002E6BD1">
      <w:pPr>
        <w:pStyle w:val="Odstavekseznama"/>
        <w:numPr>
          <w:ilvl w:val="0"/>
          <w:numId w:val="17"/>
        </w:numPr>
      </w:pPr>
      <w:r>
        <w:t>Srečko Janša, v. d. direktorja agencije, kot predstavnik Javne agencije za civilno letalstvo Republike Slovenije,</w:t>
      </w:r>
    </w:p>
    <w:p w14:paraId="10394E96" w14:textId="25DC270F" w:rsidR="004A23D7" w:rsidRDefault="004A23D7" w:rsidP="002E6BD1">
      <w:pPr>
        <w:pStyle w:val="Odstavekseznama"/>
        <w:numPr>
          <w:ilvl w:val="0"/>
          <w:numId w:val="17"/>
        </w:numPr>
      </w:pPr>
      <w:r>
        <w:t xml:space="preserve">Beno Jager, nadzornik v civilnem letalstvu II, kot namestnik predstavnika Javne agencije za civilno letalstvo Republike Slovenije, </w:t>
      </w:r>
    </w:p>
    <w:p w14:paraId="01889BB9" w14:textId="7B4D45AE" w:rsidR="004A23D7" w:rsidRDefault="004A23D7" w:rsidP="002E6BD1">
      <w:pPr>
        <w:pStyle w:val="Odstavekseznama"/>
        <w:numPr>
          <w:ilvl w:val="0"/>
          <w:numId w:val="17"/>
        </w:numPr>
      </w:pPr>
      <w:proofErr w:type="spellStart"/>
      <w:r>
        <w:t>ppk</w:t>
      </w:r>
      <w:proofErr w:type="spellEnd"/>
      <w:r>
        <w:t>. Robert Špernjak, načelnik Vojaškega letalskega organa, kot predstavnik Ministrstva za obrambo,</w:t>
      </w:r>
    </w:p>
    <w:p w14:paraId="70CAC9C4" w14:textId="01EE2253" w:rsidR="004A23D7" w:rsidRDefault="004A23D7" w:rsidP="002E6BD1">
      <w:pPr>
        <w:pStyle w:val="Odstavekseznama"/>
        <w:numPr>
          <w:ilvl w:val="0"/>
          <w:numId w:val="17"/>
        </w:numPr>
      </w:pPr>
      <w:proofErr w:type="spellStart"/>
      <w:r>
        <w:t>ppk</w:t>
      </w:r>
      <w:proofErr w:type="spellEnd"/>
      <w:r>
        <w:t xml:space="preserve">. Andrej Prinčič, višji častnik letalski inženir pomočnik načelnika za letališča in </w:t>
      </w:r>
      <w:proofErr w:type="gramStart"/>
      <w:r>
        <w:t>KK</w:t>
      </w:r>
      <w:proofErr w:type="gramEnd"/>
      <w:r>
        <w:t>, kot namestnik predstavnika Ministrstva za obrambo iz prejšnje točke,</w:t>
      </w:r>
    </w:p>
    <w:p w14:paraId="2EAB61EF" w14:textId="7ED057F8" w:rsidR="004A23D7" w:rsidRDefault="004A23D7" w:rsidP="002E6BD1">
      <w:pPr>
        <w:pStyle w:val="Odstavekseznama"/>
        <w:numPr>
          <w:ilvl w:val="0"/>
          <w:numId w:val="17"/>
        </w:numPr>
      </w:pPr>
      <w:proofErr w:type="gramStart"/>
      <w:r>
        <w:t>VU Blanka Križ</w:t>
      </w:r>
      <w:proofErr w:type="gramEnd"/>
      <w:r>
        <w:t xml:space="preserve">, Kontrolor </w:t>
      </w:r>
      <w:proofErr w:type="spellStart"/>
      <w:r>
        <w:t>ZrP</w:t>
      </w:r>
      <w:proofErr w:type="spellEnd"/>
      <w:r>
        <w:t xml:space="preserve"> – vodja skupine, kot predstavnica Ministrstva za obrambo,</w:t>
      </w:r>
    </w:p>
    <w:p w14:paraId="7FD8EB42" w14:textId="558FD8A0" w:rsidR="004A23D7" w:rsidRDefault="004A23D7" w:rsidP="002E6BD1">
      <w:pPr>
        <w:pStyle w:val="Odstavekseznama"/>
        <w:numPr>
          <w:ilvl w:val="0"/>
          <w:numId w:val="17"/>
        </w:numPr>
      </w:pPr>
      <w:r>
        <w:lastRenderedPageBreak/>
        <w:t xml:space="preserve">maj. Martin Zupančič, Kontrolor </w:t>
      </w:r>
      <w:proofErr w:type="spellStart"/>
      <w:r>
        <w:t>ZrP</w:t>
      </w:r>
      <w:proofErr w:type="spellEnd"/>
      <w:r>
        <w:t>, kot namestnik predstavnice Ministrstva za obrambo iz prejšnje točke.</w:t>
      </w:r>
    </w:p>
    <w:p w14:paraId="3134CE41" w14:textId="77777777" w:rsidR="004A23D7" w:rsidRDefault="004A23D7" w:rsidP="002E6BD1">
      <w:pPr>
        <w:pStyle w:val="Vir"/>
      </w:pPr>
      <w:r>
        <w:t>Vir: Ministrstvo za infrastrukturo</w:t>
      </w:r>
    </w:p>
    <w:p w14:paraId="17AAA593" w14:textId="351B0B82" w:rsidR="000223EC" w:rsidRDefault="000223EC" w:rsidP="000223EC">
      <w:pPr>
        <w:pStyle w:val="Naslov2"/>
      </w:pPr>
      <w:r>
        <w:t xml:space="preserve">Vlada imenovala prof. dr. Vidmarja na seznam namestnikov izvoljenega sodnika za odločanje v posameznih zadevah na Evropskem sodišču za človekove pravice </w:t>
      </w:r>
    </w:p>
    <w:p w14:paraId="089EB420" w14:textId="77777777" w:rsidR="000223EC" w:rsidRDefault="000223EC" w:rsidP="000223EC">
      <w:r>
        <w:t>Vlada Republike Slovenije je na današnji seji imenovala prof. dr. Jureta Vidmarja na seznam namestnikov izvoljenega sodnika za odločanje v posameznih zadevah na Evropskem sodišču za človekove pravice v Strasbourgu, za mandatno dobo štirih let z možnostjo ponovnega imenovanja.</w:t>
      </w:r>
    </w:p>
    <w:p w14:paraId="65463545" w14:textId="4B70DA2F" w:rsidR="00FE4D64" w:rsidRDefault="000223EC" w:rsidP="000223EC">
      <w:pPr>
        <w:pStyle w:val="Vir"/>
      </w:pPr>
      <w:r>
        <w:t>Vir: Ministrstvo za pravosodje</w:t>
      </w:r>
    </w:p>
    <w:p w14:paraId="497615D2" w14:textId="1CD02014" w:rsidR="00866181" w:rsidRDefault="00866181" w:rsidP="00866181">
      <w:pPr>
        <w:pStyle w:val="Naslov2"/>
      </w:pPr>
      <w:r>
        <w:t>Strateški svet za obrambno tehnološko in industrijsko bazo ter odpornost</w:t>
      </w:r>
    </w:p>
    <w:p w14:paraId="17608A34" w14:textId="77777777" w:rsidR="00866181" w:rsidRDefault="00866181" w:rsidP="00866181">
      <w:r>
        <w:t xml:space="preserve">Vlada je sprejela Sklep o ustanovitvi Strateškega sveta Vlade Republike Slovenije za obrambno tehnološko in industrijsko bazo ter odpornost. </w:t>
      </w:r>
    </w:p>
    <w:p w14:paraId="6DA2A157" w14:textId="77777777" w:rsidR="00866181" w:rsidRDefault="00866181" w:rsidP="00866181"/>
    <w:p w14:paraId="13146624" w14:textId="77777777" w:rsidR="00866181" w:rsidRDefault="00866181" w:rsidP="00866181">
      <w:r>
        <w:t xml:space="preserve">Strateški svet je ustanovljen z namenom spremljanja, analiziranja in predlaganja sprememb na področju obrambne tehnološke in industrijske baze ter odpornosti, vključno s spremljanjem uresničevanja Strategije razvoja obrambne industrije in tehnološke baze v Republiki Sloveniji. S sklepom je vlada določila sestavo strateškega sveta, v katerega so poleg predstavnikov pristojnih ministrstev vključeni predstavniki Slovenskega državnega holdinga, Grozda obrambne industrije Slovenije, Slovenske izvozne in razvojne banke, Strateškega razvojno-inovacijskega partnerstva na področju mobilnosti ter Fakultete za družbene vede. </w:t>
      </w:r>
    </w:p>
    <w:p w14:paraId="109F3D56" w14:textId="77777777" w:rsidR="00866181" w:rsidRDefault="00866181" w:rsidP="00866181"/>
    <w:p w14:paraId="4800BFF1" w14:textId="77777777" w:rsidR="00866181" w:rsidRDefault="00866181" w:rsidP="00866181">
      <w:r>
        <w:t>Za predsednika strateškega sveta je vlada imenovala Boštjana Pavlina, mag., Ministrstvo za obrambo.</w:t>
      </w:r>
    </w:p>
    <w:p w14:paraId="5FD06720" w14:textId="77777777" w:rsidR="00866181" w:rsidRDefault="00866181" w:rsidP="00866181"/>
    <w:p w14:paraId="59112A03" w14:textId="77777777" w:rsidR="00866181" w:rsidRDefault="00866181" w:rsidP="00866181">
      <w:r>
        <w:t>Za člane strateškega sveta so bili poleg predsednika imenovani:</w:t>
      </w:r>
    </w:p>
    <w:p w14:paraId="0285AACE" w14:textId="3C9CD1E7" w:rsidR="00866181" w:rsidRDefault="00866181" w:rsidP="00866181">
      <w:pPr>
        <w:pStyle w:val="Odstavekseznama"/>
        <w:numPr>
          <w:ilvl w:val="0"/>
          <w:numId w:val="18"/>
        </w:numPr>
      </w:pPr>
      <w:r>
        <w:t>mag. Željko Kralj, Ministrstvo za obrambo, njegov namestnik je mag. Gregor Zupan, Ministrstvo za obrambo,</w:t>
      </w:r>
    </w:p>
    <w:p w14:paraId="5CF66206" w14:textId="7F7CAD07" w:rsidR="00866181" w:rsidRDefault="00866181" w:rsidP="00866181">
      <w:pPr>
        <w:pStyle w:val="Odstavekseznama"/>
        <w:numPr>
          <w:ilvl w:val="0"/>
          <w:numId w:val="18"/>
        </w:numPr>
      </w:pPr>
      <w:r>
        <w:t>Matevž Frangež, Ministrstvo za gospodarstvo, turizem in šport, njegov namestnik je mag. Matej Skočir, Ministrstvo za gospodarstvo, turizem in šport,</w:t>
      </w:r>
    </w:p>
    <w:p w14:paraId="731B5B11" w14:textId="1B6E85CB" w:rsidR="00866181" w:rsidRDefault="00866181" w:rsidP="00866181">
      <w:pPr>
        <w:pStyle w:val="Odstavekseznama"/>
        <w:numPr>
          <w:ilvl w:val="0"/>
          <w:numId w:val="18"/>
        </w:numPr>
      </w:pPr>
      <w:r>
        <w:t>dr. Jure Gašparič, Ministrstvo za visoko šolstvo, znanost in inovacije, njegov namestnik je dr. Tomaž Boh, Ministrstvo za visoko šolstvo, znanost in inovacije,</w:t>
      </w:r>
    </w:p>
    <w:p w14:paraId="7B8198AD" w14:textId="524BE609" w:rsidR="00866181" w:rsidRDefault="00866181" w:rsidP="00866181">
      <w:pPr>
        <w:pStyle w:val="Odstavekseznama"/>
        <w:numPr>
          <w:ilvl w:val="0"/>
          <w:numId w:val="18"/>
        </w:numPr>
      </w:pPr>
      <w:r>
        <w:t>mag. Saša Jazbec, Ministrstvo za finance, njen namestnik je mag. Aleksander Nagode, Ministrstvo za finance,</w:t>
      </w:r>
    </w:p>
    <w:p w14:paraId="35CB2EA4" w14:textId="31289D8B" w:rsidR="00866181" w:rsidRDefault="00866181" w:rsidP="00866181">
      <w:pPr>
        <w:pStyle w:val="Odstavekseznama"/>
        <w:numPr>
          <w:ilvl w:val="0"/>
          <w:numId w:val="18"/>
        </w:numPr>
      </w:pPr>
      <w:r>
        <w:t>dr. Damir Črnčec, Slovenski državni holding, d. d., njegova namestnica je Simona Razvornik Škofič, Slovenski državni holding, d. d.,</w:t>
      </w:r>
    </w:p>
    <w:p w14:paraId="4EC924EA" w14:textId="284BC1FE" w:rsidR="00866181" w:rsidRDefault="00866181" w:rsidP="00866181">
      <w:pPr>
        <w:pStyle w:val="Odstavekseznama"/>
        <w:numPr>
          <w:ilvl w:val="0"/>
          <w:numId w:val="18"/>
        </w:numPr>
      </w:pPr>
      <w:r>
        <w:t>Boštjan Skalar, Grozd obrambne industrije Slovenije, g. i. z., njegov namestnik je Boštjan Marolt, Grozd obrambne industrije Slovenije, g. i. z.,</w:t>
      </w:r>
    </w:p>
    <w:p w14:paraId="159A0EF6" w14:textId="2BCFA733" w:rsidR="00866181" w:rsidRDefault="00866181" w:rsidP="00866181">
      <w:pPr>
        <w:pStyle w:val="Odstavekseznama"/>
        <w:numPr>
          <w:ilvl w:val="0"/>
          <w:numId w:val="18"/>
        </w:numPr>
      </w:pPr>
      <w:r>
        <w:t xml:space="preserve">mag. Stanka Šarc Majdič, SID – Slovenska izvozna in razvojna banka, </w:t>
      </w:r>
      <w:proofErr w:type="gramStart"/>
      <w:r>
        <w:t>d.</w:t>
      </w:r>
      <w:proofErr w:type="gramEnd"/>
      <w:r>
        <w:t>d., njen namestnik je Matej Zalar, SID – Slovenska izvozna in razvojna banka d.d.,</w:t>
      </w:r>
    </w:p>
    <w:p w14:paraId="523CA0B3" w14:textId="11D0C184" w:rsidR="00866181" w:rsidRDefault="00866181" w:rsidP="00866181">
      <w:pPr>
        <w:pStyle w:val="Odstavekseznama"/>
        <w:numPr>
          <w:ilvl w:val="0"/>
          <w:numId w:val="18"/>
        </w:numPr>
      </w:pPr>
      <w:r>
        <w:t>Tanja Mohorič, Strateško razvojno-inovacijsko partnerstvo na področju mobilnosti,</w:t>
      </w:r>
    </w:p>
    <w:p w14:paraId="7AEDC8BE" w14:textId="5C3E1787" w:rsidR="00866181" w:rsidRDefault="00866181" w:rsidP="00866181">
      <w:pPr>
        <w:pStyle w:val="Odstavekseznama"/>
        <w:numPr>
          <w:ilvl w:val="0"/>
          <w:numId w:val="18"/>
        </w:numPr>
      </w:pPr>
      <w:r>
        <w:t>dr. Anton Grizold, Univerza v Ljubljani, Fakulteta za družbene vede.</w:t>
      </w:r>
    </w:p>
    <w:p w14:paraId="0F3B1970" w14:textId="77777777" w:rsidR="00866181" w:rsidRDefault="00866181" w:rsidP="00866181"/>
    <w:p w14:paraId="694B8D44" w14:textId="77777777" w:rsidR="00866181" w:rsidRDefault="00866181" w:rsidP="00866181">
      <w:r>
        <w:t>Naloge strateškega sveta so, da na področju obrambne tehnološke in industrijske baze ter odpornosti za Vlado Republike Slovenije pripravlja mnenja in strokovne usmeritve ter:</w:t>
      </w:r>
    </w:p>
    <w:p w14:paraId="127750A8" w14:textId="1D230C8F" w:rsidR="00866181" w:rsidRDefault="00866181" w:rsidP="00866181">
      <w:pPr>
        <w:pStyle w:val="Odstavekseznama"/>
        <w:numPr>
          <w:ilvl w:val="0"/>
          <w:numId w:val="19"/>
        </w:numPr>
      </w:pPr>
      <w:r>
        <w:t xml:space="preserve">spremlja področje obrambne tehnološke in industrijske baze ter odpornosti v Republiki Sloveniji in na ravni Evropske unije ter predlaga </w:t>
      </w:r>
      <w:proofErr w:type="gramStart"/>
      <w:r>
        <w:t>aktivnosti</w:t>
      </w:r>
      <w:proofErr w:type="gramEnd"/>
      <w:r>
        <w:t xml:space="preserve"> in usmeritve glede spodbujanja razvoja ter krepitve slovenske obrambne industrije;</w:t>
      </w:r>
    </w:p>
    <w:p w14:paraId="065E068A" w14:textId="3EE84CCD" w:rsidR="00866181" w:rsidRDefault="00866181" w:rsidP="00866181">
      <w:pPr>
        <w:pStyle w:val="Odstavekseznama"/>
        <w:numPr>
          <w:ilvl w:val="0"/>
          <w:numId w:val="19"/>
        </w:numPr>
      </w:pPr>
      <w:r>
        <w:lastRenderedPageBreak/>
        <w:t xml:space="preserve">ugotavlja stopnjo učinkovitosti delovanja pristojnih organov na področju obrambne tehnološke in industrijske baze ter odpornosti ter predlaga </w:t>
      </w:r>
      <w:proofErr w:type="gramStart"/>
      <w:r>
        <w:t>aktivnosti</w:t>
      </w:r>
      <w:proofErr w:type="gramEnd"/>
      <w:r>
        <w:t xml:space="preserve"> za izboljšanje tega delovanja;</w:t>
      </w:r>
    </w:p>
    <w:p w14:paraId="602D96E0" w14:textId="753EF078" w:rsidR="00866181" w:rsidRDefault="00866181" w:rsidP="00866181">
      <w:pPr>
        <w:pStyle w:val="Odstavekseznama"/>
        <w:numPr>
          <w:ilvl w:val="0"/>
          <w:numId w:val="19"/>
        </w:numPr>
      </w:pPr>
      <w:r>
        <w:t>na predlog predsednika vlade ali ministrov oblikuje stališča do posameznih vprašanj s področja obrambne tehnološke in industrijske baze ter odpornosti;</w:t>
      </w:r>
    </w:p>
    <w:p w14:paraId="5001F8CC" w14:textId="567D6B5B" w:rsidR="00866181" w:rsidRDefault="00866181" w:rsidP="00866181">
      <w:pPr>
        <w:pStyle w:val="Odstavekseznama"/>
        <w:numPr>
          <w:ilvl w:val="0"/>
          <w:numId w:val="19"/>
        </w:numPr>
      </w:pPr>
      <w:r>
        <w:t>spodbuja in sodeluje pri organizaciji ter izvedbi strokovnih srečanj z nacionalno industrijo in znanostjo;</w:t>
      </w:r>
    </w:p>
    <w:p w14:paraId="76B299C0" w14:textId="5097344D" w:rsidR="00866181" w:rsidRDefault="00866181" w:rsidP="00866181">
      <w:pPr>
        <w:pStyle w:val="Odstavekseznama"/>
        <w:numPr>
          <w:ilvl w:val="0"/>
          <w:numId w:val="19"/>
        </w:numPr>
      </w:pPr>
      <w:r>
        <w:t>svetuje pri oblikovanju politik, sprememb predpisov in drugih ukrepov, ki bodo prispevali k večji stopnji samozadostnosti in odpornosti družbe;</w:t>
      </w:r>
    </w:p>
    <w:p w14:paraId="76254131" w14:textId="77777777" w:rsidR="00866181" w:rsidRDefault="00866181" w:rsidP="00866181">
      <w:pPr>
        <w:pStyle w:val="Odstavekseznama"/>
        <w:numPr>
          <w:ilvl w:val="0"/>
          <w:numId w:val="19"/>
        </w:numPr>
      </w:pPr>
      <w:r>
        <w:t xml:space="preserve">spodbuja razvoj dodatnih finančnih in pravnih mehanizmov </w:t>
      </w:r>
      <w:proofErr w:type="gramStart"/>
      <w:r>
        <w:t>za izvajanje podpore obrambni industriji</w:t>
      </w:r>
      <w:proofErr w:type="gramEnd"/>
      <w:r>
        <w:t>;</w:t>
      </w:r>
    </w:p>
    <w:p w14:paraId="5EBFEBEC" w14:textId="0E42E20D" w:rsidR="00866181" w:rsidRDefault="00866181" w:rsidP="00866181">
      <w:pPr>
        <w:pStyle w:val="Odstavekseznama"/>
        <w:numPr>
          <w:ilvl w:val="0"/>
          <w:numId w:val="19"/>
        </w:numPr>
      </w:pPr>
      <w:r>
        <w:t xml:space="preserve">sodeluje s pristojnimi resorji pri pripravi sistemskih sprememb in skrbi za koordinacijo </w:t>
      </w:r>
      <w:proofErr w:type="gramStart"/>
      <w:r>
        <w:t>aktivnosti</w:t>
      </w:r>
      <w:proofErr w:type="gramEnd"/>
      <w:r>
        <w:t>;</w:t>
      </w:r>
    </w:p>
    <w:p w14:paraId="03CAB23A" w14:textId="4C76C110" w:rsidR="00866181" w:rsidRDefault="00866181" w:rsidP="00866181">
      <w:pPr>
        <w:pStyle w:val="Odstavekseznama"/>
        <w:numPr>
          <w:ilvl w:val="0"/>
          <w:numId w:val="19"/>
        </w:numPr>
      </w:pPr>
      <w:r>
        <w:t>spodbuja izvoz slovenskih obrambnih proizvodov na tuje trge, tudi z institucionalno podporo;</w:t>
      </w:r>
    </w:p>
    <w:p w14:paraId="1224075B" w14:textId="78331401" w:rsidR="00866181" w:rsidRDefault="00866181" w:rsidP="00866181">
      <w:pPr>
        <w:pStyle w:val="Odstavekseznama"/>
        <w:numPr>
          <w:ilvl w:val="0"/>
          <w:numId w:val="19"/>
        </w:numPr>
      </w:pPr>
      <w:r>
        <w:t>spremlja izvajanje predlaganih ukrepov z delovnega področja strateškega sveta.</w:t>
      </w:r>
    </w:p>
    <w:p w14:paraId="0B3AEEF3" w14:textId="77777777" w:rsidR="00866181" w:rsidRDefault="00866181" w:rsidP="00866181"/>
    <w:p w14:paraId="6EED9F4A" w14:textId="77777777" w:rsidR="00866181" w:rsidRDefault="00866181" w:rsidP="00866181">
      <w:r>
        <w:t xml:space="preserve">Način delovanja strateškega sveta bo urejen s poslovnikom. Administrativno-tehnično podporo za delo strateškega sveta bo zagotavljalo Ministrstvo za obrambo. </w:t>
      </w:r>
    </w:p>
    <w:p w14:paraId="4BC27868" w14:textId="2D04D0DF" w:rsidR="00161B12" w:rsidRPr="00161B12" w:rsidRDefault="00866181" w:rsidP="00866181">
      <w:pPr>
        <w:pStyle w:val="Vir"/>
      </w:pPr>
      <w:r>
        <w:t>Vir: Ministrstvo za obrambo</w:t>
      </w:r>
    </w:p>
    <w:p w14:paraId="4A020BAD" w14:textId="57AFAFB9" w:rsidR="00FE4D64" w:rsidRDefault="00FE4D64" w:rsidP="00FE4D64"/>
    <w:p w14:paraId="4B86B859" w14:textId="77777777" w:rsidR="00FE4D64" w:rsidRDefault="00FE4D64" w:rsidP="00FE4D64">
      <w:r>
        <w:t xml:space="preserve"> </w:t>
      </w:r>
    </w:p>
    <w:p w14:paraId="0A5B19A2" w14:textId="77777777" w:rsidR="00FE4D64" w:rsidRDefault="00FE4D64" w:rsidP="00FE4D64"/>
    <w:p w14:paraId="63F31385" w14:textId="77777777" w:rsidR="00FE4D64" w:rsidRDefault="00FE4D64" w:rsidP="00FE4D64"/>
    <w:p w14:paraId="7F40D3F1" w14:textId="77777777" w:rsidR="00FE4D64" w:rsidRDefault="00FE4D64" w:rsidP="00FE4D64"/>
    <w:p w14:paraId="5B307B24" w14:textId="77777777" w:rsidR="00FE4D64" w:rsidRPr="00FE4D64" w:rsidRDefault="00FE4D64" w:rsidP="00FE4D64"/>
    <w:p w14:paraId="69DDD4B5" w14:textId="77777777" w:rsidR="006F29FA" w:rsidRDefault="006F29FA" w:rsidP="006F29FA"/>
    <w:p w14:paraId="7E505CB3" w14:textId="77777777" w:rsidR="006F29FA" w:rsidRPr="006F29FA" w:rsidRDefault="006F29FA" w:rsidP="006F29FA"/>
    <w:p w14:paraId="69E0DA8C" w14:textId="77777777" w:rsidR="00DE1B54" w:rsidRDefault="00DE1B54" w:rsidP="00DE1B54"/>
    <w:sectPr w:rsidR="00DE1B54"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531"/>
    <w:multiLevelType w:val="hybridMultilevel"/>
    <w:tmpl w:val="35987C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0E6982"/>
    <w:multiLevelType w:val="hybridMultilevel"/>
    <w:tmpl w:val="5C0A698E"/>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475616"/>
    <w:multiLevelType w:val="hybridMultilevel"/>
    <w:tmpl w:val="958ED14E"/>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B9464F9"/>
    <w:multiLevelType w:val="hybridMultilevel"/>
    <w:tmpl w:val="B42C9A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C63648A"/>
    <w:multiLevelType w:val="hybridMultilevel"/>
    <w:tmpl w:val="28BE748A"/>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9FB411C"/>
    <w:multiLevelType w:val="hybridMultilevel"/>
    <w:tmpl w:val="20E8C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96760D3"/>
    <w:multiLevelType w:val="hybridMultilevel"/>
    <w:tmpl w:val="69E4CA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D506F95"/>
    <w:multiLevelType w:val="hybridMultilevel"/>
    <w:tmpl w:val="21284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2DF25F3"/>
    <w:multiLevelType w:val="hybridMultilevel"/>
    <w:tmpl w:val="1B40AC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7A1F4161"/>
    <w:multiLevelType w:val="hybridMultilevel"/>
    <w:tmpl w:val="1F764568"/>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6576364">
    <w:abstractNumId w:val="15"/>
  </w:num>
  <w:num w:numId="2" w16cid:durableId="984821814">
    <w:abstractNumId w:val="10"/>
  </w:num>
  <w:num w:numId="3" w16cid:durableId="150218247">
    <w:abstractNumId w:val="1"/>
  </w:num>
  <w:num w:numId="4" w16cid:durableId="1026903286">
    <w:abstractNumId w:val="11"/>
  </w:num>
  <w:num w:numId="5" w16cid:durableId="231817878">
    <w:abstractNumId w:val="5"/>
  </w:num>
  <w:num w:numId="6" w16cid:durableId="2110814889">
    <w:abstractNumId w:val="17"/>
  </w:num>
  <w:num w:numId="7" w16cid:durableId="695153758">
    <w:abstractNumId w:val="6"/>
  </w:num>
  <w:num w:numId="8" w16cid:durableId="853298866">
    <w:abstractNumId w:val="9"/>
  </w:num>
  <w:num w:numId="9" w16cid:durableId="1789348953">
    <w:abstractNumId w:val="4"/>
  </w:num>
  <w:num w:numId="10" w16cid:durableId="594284352">
    <w:abstractNumId w:val="7"/>
  </w:num>
  <w:num w:numId="11" w16cid:durableId="209341497">
    <w:abstractNumId w:val="14"/>
  </w:num>
  <w:num w:numId="12" w16cid:durableId="246112175">
    <w:abstractNumId w:val="0"/>
  </w:num>
  <w:num w:numId="13" w16cid:durableId="403844725">
    <w:abstractNumId w:val="13"/>
  </w:num>
  <w:num w:numId="14" w16cid:durableId="58865893">
    <w:abstractNumId w:val="16"/>
  </w:num>
  <w:num w:numId="15" w16cid:durableId="1969899037">
    <w:abstractNumId w:val="18"/>
  </w:num>
  <w:num w:numId="16" w16cid:durableId="847600784">
    <w:abstractNumId w:val="8"/>
  </w:num>
  <w:num w:numId="17" w16cid:durableId="1019116812">
    <w:abstractNumId w:val="3"/>
  </w:num>
  <w:num w:numId="18" w16cid:durableId="53629155">
    <w:abstractNumId w:val="12"/>
  </w:num>
  <w:num w:numId="19" w16cid:durableId="89396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17FE9"/>
    <w:rsid w:val="000223EC"/>
    <w:rsid w:val="000318E4"/>
    <w:rsid w:val="00033A3B"/>
    <w:rsid w:val="00050A56"/>
    <w:rsid w:val="00076DF7"/>
    <w:rsid w:val="00085D04"/>
    <w:rsid w:val="00087069"/>
    <w:rsid w:val="00087A14"/>
    <w:rsid w:val="00097B85"/>
    <w:rsid w:val="000D5520"/>
    <w:rsid w:val="000E0657"/>
    <w:rsid w:val="00103F58"/>
    <w:rsid w:val="00110B8F"/>
    <w:rsid w:val="00113F85"/>
    <w:rsid w:val="0013016C"/>
    <w:rsid w:val="001602C9"/>
    <w:rsid w:val="00161B12"/>
    <w:rsid w:val="0016530C"/>
    <w:rsid w:val="001656BC"/>
    <w:rsid w:val="001673A5"/>
    <w:rsid w:val="00173343"/>
    <w:rsid w:val="00195EB1"/>
    <w:rsid w:val="001B01DD"/>
    <w:rsid w:val="001B42F9"/>
    <w:rsid w:val="001C3560"/>
    <w:rsid w:val="001C5F19"/>
    <w:rsid w:val="001F51BC"/>
    <w:rsid w:val="001F7F63"/>
    <w:rsid w:val="00203F5F"/>
    <w:rsid w:val="00215140"/>
    <w:rsid w:val="00220CDD"/>
    <w:rsid w:val="00231021"/>
    <w:rsid w:val="002501CE"/>
    <w:rsid w:val="002856E5"/>
    <w:rsid w:val="002C36A6"/>
    <w:rsid w:val="002D5B5D"/>
    <w:rsid w:val="002D761E"/>
    <w:rsid w:val="002E3F96"/>
    <w:rsid w:val="002E6BD1"/>
    <w:rsid w:val="002F3BE7"/>
    <w:rsid w:val="0032428F"/>
    <w:rsid w:val="00334F9F"/>
    <w:rsid w:val="00346E22"/>
    <w:rsid w:val="00351E1E"/>
    <w:rsid w:val="00357DC0"/>
    <w:rsid w:val="00361255"/>
    <w:rsid w:val="00381018"/>
    <w:rsid w:val="003847C8"/>
    <w:rsid w:val="003877EB"/>
    <w:rsid w:val="00390DF7"/>
    <w:rsid w:val="0039662C"/>
    <w:rsid w:val="003D64D8"/>
    <w:rsid w:val="003E17B6"/>
    <w:rsid w:val="003E1B89"/>
    <w:rsid w:val="003E6170"/>
    <w:rsid w:val="003F4CC5"/>
    <w:rsid w:val="00402589"/>
    <w:rsid w:val="00415527"/>
    <w:rsid w:val="00432937"/>
    <w:rsid w:val="004403EC"/>
    <w:rsid w:val="00447B57"/>
    <w:rsid w:val="00455B63"/>
    <w:rsid w:val="00460370"/>
    <w:rsid w:val="00472762"/>
    <w:rsid w:val="00483A47"/>
    <w:rsid w:val="004A23D7"/>
    <w:rsid w:val="004A7BFC"/>
    <w:rsid w:val="004A7CAD"/>
    <w:rsid w:val="004B4753"/>
    <w:rsid w:val="004B7346"/>
    <w:rsid w:val="00514121"/>
    <w:rsid w:val="00522637"/>
    <w:rsid w:val="00527867"/>
    <w:rsid w:val="00527AA5"/>
    <w:rsid w:val="005314D7"/>
    <w:rsid w:val="00533C62"/>
    <w:rsid w:val="00545863"/>
    <w:rsid w:val="005515BD"/>
    <w:rsid w:val="005574A2"/>
    <w:rsid w:val="0059143B"/>
    <w:rsid w:val="005A570D"/>
    <w:rsid w:val="005B5886"/>
    <w:rsid w:val="005C1523"/>
    <w:rsid w:val="005C76CD"/>
    <w:rsid w:val="005E1ABB"/>
    <w:rsid w:val="00614FFD"/>
    <w:rsid w:val="006274BB"/>
    <w:rsid w:val="0062759F"/>
    <w:rsid w:val="00634EFA"/>
    <w:rsid w:val="00635909"/>
    <w:rsid w:val="00635D43"/>
    <w:rsid w:val="0066249C"/>
    <w:rsid w:val="0067375D"/>
    <w:rsid w:val="006B3F12"/>
    <w:rsid w:val="006C1B31"/>
    <w:rsid w:val="006F29FA"/>
    <w:rsid w:val="0070324C"/>
    <w:rsid w:val="007120FD"/>
    <w:rsid w:val="007130E1"/>
    <w:rsid w:val="00717E59"/>
    <w:rsid w:val="0073796B"/>
    <w:rsid w:val="00750D01"/>
    <w:rsid w:val="007643A0"/>
    <w:rsid w:val="007669A3"/>
    <w:rsid w:val="0077506B"/>
    <w:rsid w:val="00781345"/>
    <w:rsid w:val="00784E57"/>
    <w:rsid w:val="0079749C"/>
    <w:rsid w:val="00797864"/>
    <w:rsid w:val="007A6460"/>
    <w:rsid w:val="007B0ADD"/>
    <w:rsid w:val="007C21FB"/>
    <w:rsid w:val="007E198F"/>
    <w:rsid w:val="007F5D6B"/>
    <w:rsid w:val="007F6EF7"/>
    <w:rsid w:val="008220A3"/>
    <w:rsid w:val="008244C0"/>
    <w:rsid w:val="008336E7"/>
    <w:rsid w:val="00836E94"/>
    <w:rsid w:val="00847AD3"/>
    <w:rsid w:val="008624E8"/>
    <w:rsid w:val="00866181"/>
    <w:rsid w:val="008A4DE4"/>
    <w:rsid w:val="008B6738"/>
    <w:rsid w:val="008B7AF2"/>
    <w:rsid w:val="008C4231"/>
    <w:rsid w:val="008D49BD"/>
    <w:rsid w:val="008F2298"/>
    <w:rsid w:val="008F533F"/>
    <w:rsid w:val="00905C96"/>
    <w:rsid w:val="009174DA"/>
    <w:rsid w:val="00933061"/>
    <w:rsid w:val="00933087"/>
    <w:rsid w:val="00945B27"/>
    <w:rsid w:val="009540E4"/>
    <w:rsid w:val="00965B90"/>
    <w:rsid w:val="00974186"/>
    <w:rsid w:val="00983241"/>
    <w:rsid w:val="00985D20"/>
    <w:rsid w:val="009900DE"/>
    <w:rsid w:val="009A13E4"/>
    <w:rsid w:val="009A41AA"/>
    <w:rsid w:val="009C2C98"/>
    <w:rsid w:val="009C2D77"/>
    <w:rsid w:val="009C562E"/>
    <w:rsid w:val="009D10D1"/>
    <w:rsid w:val="00A06971"/>
    <w:rsid w:val="00A30052"/>
    <w:rsid w:val="00A34FC4"/>
    <w:rsid w:val="00A445DF"/>
    <w:rsid w:val="00A5415F"/>
    <w:rsid w:val="00A5538E"/>
    <w:rsid w:val="00A60A37"/>
    <w:rsid w:val="00A60FBF"/>
    <w:rsid w:val="00A67305"/>
    <w:rsid w:val="00A7412B"/>
    <w:rsid w:val="00AB1DC2"/>
    <w:rsid w:val="00AD1AFD"/>
    <w:rsid w:val="00AE6CD6"/>
    <w:rsid w:val="00AF2406"/>
    <w:rsid w:val="00AF5FC8"/>
    <w:rsid w:val="00B022E5"/>
    <w:rsid w:val="00B35FB8"/>
    <w:rsid w:val="00B47F61"/>
    <w:rsid w:val="00B60F58"/>
    <w:rsid w:val="00B70F5B"/>
    <w:rsid w:val="00B753A8"/>
    <w:rsid w:val="00B84862"/>
    <w:rsid w:val="00B903E5"/>
    <w:rsid w:val="00BA5695"/>
    <w:rsid w:val="00BA743D"/>
    <w:rsid w:val="00BB1111"/>
    <w:rsid w:val="00BB73C0"/>
    <w:rsid w:val="00BE5C43"/>
    <w:rsid w:val="00C14A18"/>
    <w:rsid w:val="00C3152B"/>
    <w:rsid w:val="00C354D9"/>
    <w:rsid w:val="00C365A8"/>
    <w:rsid w:val="00C458C2"/>
    <w:rsid w:val="00C666AC"/>
    <w:rsid w:val="00C90151"/>
    <w:rsid w:val="00C97F7B"/>
    <w:rsid w:val="00CA5624"/>
    <w:rsid w:val="00CC3123"/>
    <w:rsid w:val="00CC37B3"/>
    <w:rsid w:val="00D10EB4"/>
    <w:rsid w:val="00D14EEC"/>
    <w:rsid w:val="00D22282"/>
    <w:rsid w:val="00D470E4"/>
    <w:rsid w:val="00D60A92"/>
    <w:rsid w:val="00D650E2"/>
    <w:rsid w:val="00D7373E"/>
    <w:rsid w:val="00D85532"/>
    <w:rsid w:val="00D9208E"/>
    <w:rsid w:val="00D95BC6"/>
    <w:rsid w:val="00D966FF"/>
    <w:rsid w:val="00DA3B4D"/>
    <w:rsid w:val="00DA5C0D"/>
    <w:rsid w:val="00DA5D7A"/>
    <w:rsid w:val="00DE199D"/>
    <w:rsid w:val="00DE1B54"/>
    <w:rsid w:val="00DE27BA"/>
    <w:rsid w:val="00E02AB3"/>
    <w:rsid w:val="00E05EEE"/>
    <w:rsid w:val="00E14AAE"/>
    <w:rsid w:val="00E2036F"/>
    <w:rsid w:val="00E242C1"/>
    <w:rsid w:val="00E3207D"/>
    <w:rsid w:val="00E3507E"/>
    <w:rsid w:val="00E7132A"/>
    <w:rsid w:val="00E83E60"/>
    <w:rsid w:val="00E86C78"/>
    <w:rsid w:val="00E948BD"/>
    <w:rsid w:val="00EC012E"/>
    <w:rsid w:val="00EC7318"/>
    <w:rsid w:val="00EE35F8"/>
    <w:rsid w:val="00EF1263"/>
    <w:rsid w:val="00EF500C"/>
    <w:rsid w:val="00F01966"/>
    <w:rsid w:val="00F14E30"/>
    <w:rsid w:val="00F20884"/>
    <w:rsid w:val="00F21123"/>
    <w:rsid w:val="00F21419"/>
    <w:rsid w:val="00F21BAD"/>
    <w:rsid w:val="00F23144"/>
    <w:rsid w:val="00F240E9"/>
    <w:rsid w:val="00F45A8D"/>
    <w:rsid w:val="00F462C7"/>
    <w:rsid w:val="00F55313"/>
    <w:rsid w:val="00F668BA"/>
    <w:rsid w:val="00F93A56"/>
    <w:rsid w:val="00FA792D"/>
    <w:rsid w:val="00FC2D38"/>
    <w:rsid w:val="00FC5CBD"/>
    <w:rsid w:val="00FD6F18"/>
    <w:rsid w:val="00FE4D64"/>
    <w:rsid w:val="00FE56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2.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4.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6956</Words>
  <Characters>39650</Characters>
  <Application>Microsoft Office Word</Application>
  <DocSecurity>0</DocSecurity>
  <Lines>330</Lines>
  <Paragraphs>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2025-10-01T08:24:00Z</dcterms:created>
  <dcterms:modified xsi:type="dcterms:W3CDTF">2025-10-02T11:36:00Z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