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15F57" w14:textId="17ADCAE4" w:rsidR="00F01966" w:rsidRDefault="00F01966" w:rsidP="0073796B">
      <w:pPr>
        <w:autoSpaceDE w:val="0"/>
        <w:autoSpaceDN w:val="0"/>
        <w:adjustRightInd w:val="0"/>
        <w:spacing w:line="240" w:lineRule="auto"/>
        <w:ind w:left="-1701"/>
        <w:sectPr w:rsidR="00F01966" w:rsidSect="00F01966">
          <w:headerReference w:type="default" r:id="rId11"/>
          <w:headerReference w:type="first" r:id="rId12"/>
          <w:pgSz w:w="11906" w:h="16838"/>
          <w:pgMar w:top="1128" w:right="1701" w:bottom="1134" w:left="1701" w:header="0" w:footer="794" w:gutter="0"/>
          <w:cols w:space="708"/>
          <w:titlePg/>
          <w:docGrid w:linePitch="360"/>
        </w:sectPr>
      </w:pPr>
    </w:p>
    <w:p w14:paraId="09ADF517" w14:textId="22D4F179" w:rsidR="0073796B" w:rsidRPr="009D10D1" w:rsidRDefault="0073796B" w:rsidP="009D10D1">
      <w:pPr>
        <w:pStyle w:val="Naslov"/>
      </w:pPr>
      <w:r w:rsidRPr="009D10D1">
        <w:t>SPOROČILO ZA JAVNOST</w:t>
      </w:r>
    </w:p>
    <w:p w14:paraId="71A02687" w14:textId="5E5B8689" w:rsidR="0073796B" w:rsidRPr="0039662C" w:rsidRDefault="00D10EB4" w:rsidP="0039662C">
      <w:pPr>
        <w:pStyle w:val="Naslov1"/>
      </w:pPr>
      <w:r>
        <w:t>1</w:t>
      </w:r>
      <w:r w:rsidR="002856E5">
        <w:t>70</w:t>
      </w:r>
      <w:r w:rsidR="0073796B" w:rsidRPr="0039662C">
        <w:t>. redna seja Vlade Republike Slovenije</w:t>
      </w:r>
    </w:p>
    <w:p w14:paraId="27F30B92" w14:textId="5FDCB928" w:rsidR="0073796B" w:rsidRDefault="002856E5" w:rsidP="008B7AF2">
      <w:pPr>
        <w:pStyle w:val="DatumSZJ"/>
      </w:pPr>
      <w:r>
        <w:t>25.</w:t>
      </w:r>
      <w:r w:rsidR="008220A3">
        <w:t xml:space="preserve"> </w:t>
      </w:r>
      <w:r w:rsidR="006F29FA">
        <w:t>september</w:t>
      </w:r>
      <w:r w:rsidR="00DA3B4D">
        <w:t xml:space="preserve"> </w:t>
      </w:r>
      <w:r w:rsidR="0073796B" w:rsidRPr="008B7AF2">
        <w:t>202</w:t>
      </w:r>
      <w:r w:rsidR="00F21123">
        <w:t>5</w:t>
      </w:r>
    </w:p>
    <w:p w14:paraId="62C0AD43" w14:textId="2B3BF516" w:rsidR="00D15B2F" w:rsidRDefault="00D15B2F" w:rsidP="00D15B2F">
      <w:pPr>
        <w:pStyle w:val="Naslov2"/>
      </w:pPr>
      <w:r>
        <w:t xml:space="preserve">Vlada izdala Uredbo o izvajanju </w:t>
      </w:r>
      <w:proofErr w:type="gramStart"/>
      <w:r>
        <w:t>intervencije</w:t>
      </w:r>
      <w:proofErr w:type="gramEnd"/>
      <w:r>
        <w:t xml:space="preserve"> naložbe v razvoj in dvig konkurenčnosti ter tržne naravnanosti ekoloških kmetij</w:t>
      </w:r>
    </w:p>
    <w:p w14:paraId="38D50A7D" w14:textId="77777777" w:rsidR="00D15B2F" w:rsidRDefault="00D15B2F" w:rsidP="00D15B2F">
      <w:r>
        <w:t xml:space="preserve">Vlada je izdala Uredbo o izvajanju </w:t>
      </w:r>
      <w:proofErr w:type="gramStart"/>
      <w:r>
        <w:t>intervencije</w:t>
      </w:r>
      <w:proofErr w:type="gramEnd"/>
      <w:r>
        <w:t xml:space="preserve"> naložbe v razvoj in dvig konkurenčnosti ter tržne naravnanosti ekoloških kmetij iz strateškega načrta skupne kmetijske politike 2023–2027. </w:t>
      </w:r>
    </w:p>
    <w:p w14:paraId="60003945" w14:textId="77777777" w:rsidR="00D15B2F" w:rsidRDefault="00D15B2F" w:rsidP="00D15B2F"/>
    <w:p w14:paraId="03A2006F" w14:textId="77777777" w:rsidR="00D15B2F" w:rsidRDefault="00D15B2F" w:rsidP="00D15B2F">
      <w:r>
        <w:t xml:space="preserve">V okviru </w:t>
      </w:r>
      <w:proofErr w:type="gramStart"/>
      <w:r>
        <w:t>intervencije</w:t>
      </w:r>
      <w:proofErr w:type="gramEnd"/>
      <w:r>
        <w:t xml:space="preserve"> se podpirajo naložbe v nakup kmetijske mehanizacije, namenjene ekološki pridelavi hrane, naložbe v rastlinjak in naložbe v trajni nasad. Uredba določa namen in cilje </w:t>
      </w:r>
      <w:proofErr w:type="gramStart"/>
      <w:r>
        <w:t>intervencije</w:t>
      </w:r>
      <w:proofErr w:type="gramEnd"/>
      <w:r>
        <w:t>, vlagatelja in upravičenca, vrste naložb, upravičene in neupravičene stroške, pogoje za dodelitev podpore, merila za ocenjevanje vlog, pogoje za izplačilo sredstev, obveznosti, finančne določbe in upravne sankcije za izvajanje naložb v primarno pridelavo kmetijskih proizvodov. Upravičenci lahko uveljavljajo predplačilo do vključno 50 odstotkov vrednosti odobrenih sredstev.</w:t>
      </w:r>
    </w:p>
    <w:p w14:paraId="453D2536" w14:textId="78F7592B" w:rsidR="00B34045" w:rsidRDefault="00D15B2F" w:rsidP="00D15B2F">
      <w:pPr>
        <w:pStyle w:val="Vir"/>
      </w:pPr>
      <w:r>
        <w:t>Vir: Ministrstvo za kmetijstvo, gozdarstvo in prehrano</w:t>
      </w:r>
    </w:p>
    <w:p w14:paraId="1CD773A3" w14:textId="5C0806DA" w:rsidR="00D15B2F" w:rsidRDefault="00D15B2F" w:rsidP="00D15B2F">
      <w:pPr>
        <w:pStyle w:val="Naslov2"/>
      </w:pPr>
      <w:r>
        <w:t>Vlada izdala Uredbo o javni službi kmetijskega svetovanja za obdobje 2026–2028</w:t>
      </w:r>
    </w:p>
    <w:p w14:paraId="00DB1048" w14:textId="77777777" w:rsidR="00D15B2F" w:rsidRDefault="00D15B2F" w:rsidP="00D15B2F">
      <w:r>
        <w:t>Vlada je izdala Uredbo o javni službi kmetijskega svetovanja za obdobje 2026–2028. Ta določa naloge, cilje in prednostne usmeritve javne službe kmetijskega svetovanja (JSKS) ter način izvajanja JSKS, obseg storitev, usposabljanje, financiranje, dolžnosti izvajalca, vsebino pogodbe, programe dela JSKS in način poročanja.</w:t>
      </w:r>
      <w:r>
        <w:tab/>
      </w:r>
      <w:r>
        <w:tab/>
      </w:r>
      <w:r>
        <w:tab/>
      </w:r>
      <w:r>
        <w:tab/>
      </w:r>
      <w:r>
        <w:tab/>
      </w:r>
      <w:r>
        <w:tab/>
      </w:r>
      <w:r>
        <w:tab/>
      </w:r>
    </w:p>
    <w:p w14:paraId="6F0C48FC" w14:textId="77777777" w:rsidR="00D15B2F" w:rsidRDefault="00D15B2F" w:rsidP="00D15B2F"/>
    <w:p w14:paraId="4558D98B" w14:textId="77777777" w:rsidR="00D15B2F" w:rsidRDefault="00D15B2F" w:rsidP="00D15B2F">
      <w:r>
        <w:t xml:space="preserve">Na podlagi uredbe se izvajalec JSKS imenuje za obdobje treh let, in sicer od 1. januarja 2026 do 31. decembra 2028. Obdobje imenovanja izvajalca je določeno v povezavi z obdobjem izvajanja strateškega načrta 2023–2027, saj so naloge, cilji in prednostne usmeritve JSKS določene tudi na podlagi ukrepov kmetijske politike, ki se bodo </w:t>
      </w:r>
      <w:proofErr w:type="gramStart"/>
      <w:r>
        <w:t>izvajale</w:t>
      </w:r>
      <w:proofErr w:type="gramEnd"/>
      <w:r>
        <w:t xml:space="preserve"> do vključno leta 2028.</w:t>
      </w:r>
    </w:p>
    <w:p w14:paraId="7C9E8162" w14:textId="77777777" w:rsidR="00D15B2F" w:rsidRDefault="00D15B2F" w:rsidP="00D15B2F"/>
    <w:p w14:paraId="67D68F46" w14:textId="77777777" w:rsidR="00D15B2F" w:rsidRDefault="00D15B2F" w:rsidP="00D15B2F">
      <w:r>
        <w:t xml:space="preserve">JSKS se izvaja na celotnem območju Republike Slovenije za vse kmetijske panoge na področju razvoja podeželja v skladu z izhodišči Ministrstva za kmetijstvo, gozdarstvo in prehrano (MKGP) in letnim programom dela JSKS. </w:t>
      </w:r>
    </w:p>
    <w:p w14:paraId="2D43683E" w14:textId="77777777" w:rsidR="00D15B2F" w:rsidRDefault="00D15B2F" w:rsidP="00D15B2F"/>
    <w:p w14:paraId="0E02D703" w14:textId="77777777" w:rsidR="00D15B2F" w:rsidRDefault="00D15B2F" w:rsidP="00D15B2F">
      <w:r>
        <w:t xml:space="preserve">Storitve izvajalca JSKS so namenjene nosilcem in članom kmetijskih gospodarstev ter tudi širši javnosti in ministrstvom. Naloge JSKS so namenjene dvigu inovacijske in prilagoditvene sposobnosti slovenskega kmetijstva ter večji vlogi znanja pri odločanju; izboljšanju usposobljenosti na kmetijah; krepitvi svetovalnega dela za razvojne potrebe kmetijstva in izvajanje Resolucije o nacionalnem programu o strateških usmeritvah razvoja slovenskega kmetijstva in živilstva »Naša hrana, podeželje in naravni viri od leta 2021«; krepitvi raziskovalne in svetovalne infrastrukture ter izboljšanju strokovno-raziskovalnega sodelovanja med institucijami v verigi prenosa znanja; </w:t>
      </w:r>
      <w:proofErr w:type="gramStart"/>
      <w:r>
        <w:t>učinkovitejšemu prenos</w:t>
      </w:r>
      <w:proofErr w:type="gramEnd"/>
      <w:r>
        <w:t xml:space="preserve"> znanja z globalne in nacionalne ravni v kmetijstvo.</w:t>
      </w:r>
    </w:p>
    <w:p w14:paraId="1DFF4251" w14:textId="77777777" w:rsidR="00D15B2F" w:rsidRDefault="00D15B2F" w:rsidP="00D15B2F"/>
    <w:p w14:paraId="649FE80D" w14:textId="77777777" w:rsidR="00D15B2F" w:rsidRDefault="00D15B2F" w:rsidP="00D15B2F">
      <w:r>
        <w:t>Uredba začne veljati naslednji dan po objavi v Uradnem listu Republike Slovenije.</w:t>
      </w:r>
    </w:p>
    <w:p w14:paraId="2C6AF64E" w14:textId="659637A0" w:rsidR="00B34045" w:rsidRDefault="00D15B2F" w:rsidP="00D15B2F">
      <w:pPr>
        <w:pStyle w:val="Vir"/>
      </w:pPr>
      <w:r>
        <w:t>Vir: Ministrstvo za kmetijstvo, gozdarstvo in prehrano</w:t>
      </w:r>
    </w:p>
    <w:p w14:paraId="7B82F52B" w14:textId="3DCD29CE" w:rsidR="00143ADF" w:rsidRDefault="00143ADF" w:rsidP="00143ADF">
      <w:pPr>
        <w:pStyle w:val="Naslov2"/>
      </w:pPr>
      <w:r>
        <w:t>Vlada izdala Uredbo o dopolnitvah Uredbe o dodeljevanju vlakovnih poti, uporabnini in režimu učinkovitosti na javni železniški infrastrukturi</w:t>
      </w:r>
    </w:p>
    <w:p w14:paraId="6A047059" w14:textId="77777777" w:rsidR="00143ADF" w:rsidRDefault="00143ADF" w:rsidP="00143ADF"/>
    <w:p w14:paraId="4756FEBE" w14:textId="77777777" w:rsidR="00143ADF" w:rsidRDefault="00143ADF" w:rsidP="00143ADF">
      <w:r>
        <w:t xml:space="preserve">Uredba o dodeljevanju vlakovnih poti, uporabnini in režimu učinkovitosti na javni železniški infrastrukturi določa postopke dodeljevanja </w:t>
      </w:r>
      <w:proofErr w:type="gramStart"/>
      <w:r>
        <w:t>vlakovnih pot</w:t>
      </w:r>
      <w:proofErr w:type="gramEnd"/>
      <w:r>
        <w:t xml:space="preserve">. V letu 2024 se je začel projekt nadgradnje železniškega vozlišča Ljubljana s posledično zmanjšano pretočnostjo železniškega prometa in kompleksnejšim izvajanjem zapor prometa, ki povzroča bistveno večje stroške prevoznikov in posledično zahteva drugačne rešitve izplačila nadomestil, kot so določene v uredbi.  </w:t>
      </w:r>
    </w:p>
    <w:p w14:paraId="6F7794E4" w14:textId="77777777" w:rsidR="00143ADF" w:rsidRDefault="00143ADF" w:rsidP="00143ADF"/>
    <w:p w14:paraId="5997CECF" w14:textId="77777777" w:rsidR="00143ADF" w:rsidRDefault="00143ADF" w:rsidP="00143ADF">
      <w:r>
        <w:t xml:space="preserve">Z novo uredbo omejitev višine nadomestila motenj v železniškem prometu, ki je omejena na 90 odstotkov višine uporabnine, za leti 2024 in 2025 ne velja. Nadomestilo za ti dve leti se določi z obsegom sredstev s pogodbo o izvajanju obvezne gospodarske javne službe vzdrževanja javne železniške infrastrukture. Predlagano je tudi, da vlada dopolni obseg oprostitve plačila uporabnine za obdobje od 1. 1. 2026 do 31. 12. </w:t>
      </w:r>
      <w:proofErr w:type="gramStart"/>
      <w:r>
        <w:t xml:space="preserve">2027  </w:t>
      </w:r>
      <w:proofErr w:type="gramEnd"/>
      <w:r>
        <w:t>na način, da so zaradi večjih investicijskih del vsi prevozniki v železniškem prometu oproščeni plačila uporabnine, v istem obdobju prevozniki tudi niso upravičeni do nadomestila za motnje v železniškem prometu.</w:t>
      </w:r>
    </w:p>
    <w:p w14:paraId="2FE5CF44" w14:textId="77777777" w:rsidR="00143ADF" w:rsidRDefault="00143ADF" w:rsidP="00143ADF">
      <w:pPr>
        <w:pStyle w:val="Vir"/>
      </w:pPr>
      <w:r>
        <w:t>Vir: Ministrstvo za infrastrukturo</w:t>
      </w:r>
    </w:p>
    <w:p w14:paraId="713E85D4" w14:textId="52B000C9" w:rsidR="00FA2767" w:rsidRDefault="00FA2767" w:rsidP="00FA2767">
      <w:pPr>
        <w:pStyle w:val="Naslov2"/>
      </w:pPr>
      <w:r>
        <w:t>Odlok o ustanovitvi Komisije Vlade Republike Slovenije za ugovor vesti vojaški dolžnosti</w:t>
      </w:r>
    </w:p>
    <w:p w14:paraId="6C73D8F3" w14:textId="3C6C99CC" w:rsidR="00FA2767" w:rsidRDefault="00FA2767" w:rsidP="00FA2767">
      <w:r>
        <w:t>Vlada Republike Slovenije je izdala Odlok o ustanovitvi Komisije Vlade Republike Slovenije za ugovor vesti vojaški dolžnosti, ki se objavi v Uradnem listu Republike Slovenije. Z dnem uveljavitve odloka preneha veljati Sklep Vlade Republike Slovenije o imenovanju Komisije Vlade Republike Slovenije za ugovor vesti vojaški dolžnosti z dne 27. julij 2006.</w:t>
      </w:r>
    </w:p>
    <w:p w14:paraId="3356C8A1" w14:textId="77777777" w:rsidR="00FA2767" w:rsidRDefault="00FA2767" w:rsidP="00FA2767"/>
    <w:p w14:paraId="235BA720" w14:textId="307CC2AD" w:rsidR="00FA2767" w:rsidRDefault="00FA2767" w:rsidP="00FA2767">
      <w:r>
        <w:t xml:space="preserve">O priznanju pravice do ugovora vesti vojaški dolžnosti v skladu z Zakonom o vojaški dolžnosti </w:t>
      </w:r>
      <w:proofErr w:type="gramStart"/>
      <w:r>
        <w:t>odločajo</w:t>
      </w:r>
      <w:proofErr w:type="gramEnd"/>
      <w:r>
        <w:t xml:space="preserve"> za območje več občin komisije, ki jih imenuje ministrstvo, pristojno za upravo. O pritožbah zoper odločitve teh komisij odloča komisija, ki jo imenuje vlada.</w:t>
      </w:r>
    </w:p>
    <w:p w14:paraId="18093906" w14:textId="0E2739EA" w:rsidR="00B34045" w:rsidRDefault="00FA2767" w:rsidP="00FA2767">
      <w:pPr>
        <w:pStyle w:val="Vir"/>
      </w:pPr>
      <w:r>
        <w:t>Vir: Ministrstvo za javno upravo</w:t>
      </w:r>
    </w:p>
    <w:p w14:paraId="40B5E06C" w14:textId="079B8528" w:rsidR="0024527B" w:rsidRDefault="0024527B" w:rsidP="0024527B">
      <w:pPr>
        <w:pStyle w:val="Naslov2"/>
      </w:pPr>
      <w:r>
        <w:t>Določili višino globe za presežne emisije toplogrednih plinov za leto 2024</w:t>
      </w:r>
    </w:p>
    <w:p w14:paraId="7B15D8F0" w14:textId="77777777" w:rsidR="0024527B" w:rsidRDefault="0024527B" w:rsidP="0024527B">
      <w:r>
        <w:t>Vlada je sprejela sklep, s katerim določa višino globe za tiste subjekte, ki ne izpolnijo obveznosti predaje emisijskih kuponov glede na dejanske emisije toplogrednih plinov. Gre za enega ključnih mehanizmov zagotavljanja, da vsi povzročitelji izpustov prispevajo k zmanjšanju emisij in spoštovanju podnebnih ciljev.</w:t>
      </w:r>
    </w:p>
    <w:p w14:paraId="103076A9" w14:textId="77777777" w:rsidR="0024527B" w:rsidRDefault="0024527B" w:rsidP="0024527B"/>
    <w:p w14:paraId="2E44F475" w14:textId="77777777" w:rsidR="0024527B" w:rsidRDefault="0024527B" w:rsidP="0024527B">
      <w:r>
        <w:t xml:space="preserve">Upravljavci naprav, regulirani subjekti, operatorji zrakoplovov in ladjarske družbe, ki so </w:t>
      </w:r>
      <w:proofErr w:type="gramStart"/>
      <w:r>
        <w:t>vključeni</w:t>
      </w:r>
      <w:proofErr w:type="gramEnd"/>
      <w:r>
        <w:t xml:space="preserve"> v evropsko shemo trgovanja z emisijami (EU ETS) morajo vsako leto v registru Unije predati emisijske kupone v količini, ki ustreza celotnim emisijam toplogrednih plinov v preteklem letu. Če subjekt te obveznosti ne izpolni, mora za vsako tono ekvivalenta CO</w:t>
      </w:r>
      <w:r>
        <w:rPr>
          <w:rFonts w:ascii="Cambria Math" w:hAnsi="Cambria Math" w:cs="Cambria Math"/>
        </w:rPr>
        <w:t>₂</w:t>
      </w:r>
      <w:r>
        <w:t>, ki presega predane kupone, pla</w:t>
      </w:r>
      <w:r>
        <w:rPr>
          <w:rFonts w:cs="Arial"/>
        </w:rPr>
        <w:t>č</w:t>
      </w:r>
      <w:r>
        <w:t>ati globo.</w:t>
      </w:r>
    </w:p>
    <w:p w14:paraId="2662F5C9" w14:textId="77777777" w:rsidR="0024527B" w:rsidRDefault="0024527B" w:rsidP="0024527B"/>
    <w:p w14:paraId="3D7BEC39" w14:textId="77777777" w:rsidR="0024527B" w:rsidRDefault="0024527B" w:rsidP="0024527B">
      <w:r>
        <w:t>Višina globe se vsako leto prilagodi evropskemu indeksu cen življenjskih potrebščin, vlada pa jo določi s sklepom. Za leto 2024 globa znaša 130,34 evra za tono ekvivalenta CO</w:t>
      </w:r>
      <w:r>
        <w:rPr>
          <w:rFonts w:ascii="Cambria Math" w:hAnsi="Cambria Math" w:cs="Cambria Math"/>
        </w:rPr>
        <w:t>₂</w:t>
      </w:r>
      <w:r>
        <w:t>.</w:t>
      </w:r>
    </w:p>
    <w:p w14:paraId="2C47105D" w14:textId="56221621" w:rsidR="00B34045" w:rsidRDefault="0024527B" w:rsidP="0024527B">
      <w:pPr>
        <w:pStyle w:val="Vir"/>
      </w:pPr>
      <w:r>
        <w:t>Vir: Ministrstvo za okolje, podnebje in energijo</w:t>
      </w:r>
    </w:p>
    <w:p w14:paraId="1C39E923" w14:textId="15A03D45" w:rsidR="00ED432F" w:rsidRDefault="00ED432F" w:rsidP="00ED432F">
      <w:pPr>
        <w:pStyle w:val="Naslov2"/>
      </w:pPr>
      <w:r>
        <w:t>Vlada dala soglasje za uporabo besede »Slovenija« v imenu zavoda v ustanavljanju</w:t>
      </w:r>
    </w:p>
    <w:p w14:paraId="5D805345" w14:textId="77777777" w:rsidR="00ED432F" w:rsidRDefault="00ED432F" w:rsidP="00ED432F">
      <w:r>
        <w:t>Vlada je prejela predlog ustanoviteljev zavoda Boštjana Bandlja ter dr. Jureta Kneza glede uporabe imena »Slovenija« v imenu zavoda v ustanavljanju, ki bi se imenoval »RAZVOJNIK – Inštitut za napredek Slovenije«.</w:t>
      </w:r>
    </w:p>
    <w:p w14:paraId="1F0772E2" w14:textId="77777777" w:rsidR="00ED432F" w:rsidRDefault="00ED432F" w:rsidP="00ED432F"/>
    <w:p w14:paraId="7BCF0264" w14:textId="77777777" w:rsidR="00ED432F" w:rsidRDefault="00ED432F" w:rsidP="00ED432F">
      <w:r>
        <w:t xml:space="preserve">Temeljni cilj in namen zavoda je izvajanje neodvisnih, strokovnih in sistemskih raziskav in analiz ter priprava zakonodajnih predlogov in priporočil z vseh področij družbenega življenja, ki prispevajo k napredku Slovenije in krepitvi blaginje prebivalk in prebivalcev Slovenije. </w:t>
      </w:r>
    </w:p>
    <w:p w14:paraId="4F9BC2AB" w14:textId="77777777" w:rsidR="00ED432F" w:rsidRDefault="00ED432F" w:rsidP="00ED432F"/>
    <w:p w14:paraId="2587FC34" w14:textId="69A926E3" w:rsidR="00ED432F" w:rsidRDefault="00ED432F" w:rsidP="00ED432F">
      <w:r>
        <w:t xml:space="preserve">Vlada je v postopku ugotavljala, ali bo zavod opravljal dejavnost na območju celotne države ter ali je dejavnost, ki jo bo opravljal, v javnem interesu Republike Slovenije. Ugotovila je, da je delovanje zavoda predvideno za celotno Slovenijo in da je zavod ustanovljen in bo deloval kot neprofitna organizacija v javnem interesu, osredotočen na pripravo neodvisnih analiz, raziskav in strateških priporočil na področju javnih politik s ciljem prispevati k dolgoročnemu napredku Slovenije. Med glavnimi področji delovanja bodo gospodarski razvoj, družbene politike, izobraževanje, infrastruktura, pravna država in digitalna preobrazba, prav tako bo nudil perspektivo za nadaljnji razvoj in povezovanje. </w:t>
      </w:r>
    </w:p>
    <w:p w14:paraId="6CE327D0" w14:textId="77777777" w:rsidR="00ED432F" w:rsidRDefault="00ED432F" w:rsidP="00ED432F"/>
    <w:p w14:paraId="617B36FE" w14:textId="77777777" w:rsidR="00ED432F" w:rsidRDefault="00ED432F" w:rsidP="00ED432F">
      <w:r>
        <w:t xml:space="preserve">Ugotovljeno je bilo tudi, da sta ustanovitelja zavoda, gospod Boštjan Bandelj in dr. Jure Knez, uveljavljena slovenska podjetnika in vizionarja. Dr. Jure Knez je inženir in podjetnik, ki je zgradil globalno tehnološko podjetje in sodi med vodilne strokovnjake na področju merilne tehnike. Prav tako podpira mlad podjetniški ekosistem preko Katapulta ter soustvarja okolje, v katerem so solastništvo, strast in trajnost ključni elementi uspeha. Gospod Boštjan Bandelj je ustanovitelj, lastnik in direktor podjetja Belektron, ki se ukvarja s trgovanjem z emisijskimi kuponi. </w:t>
      </w:r>
    </w:p>
    <w:p w14:paraId="4EF9A5C9" w14:textId="77777777" w:rsidR="00ED432F" w:rsidRDefault="00ED432F" w:rsidP="00ED432F"/>
    <w:p w14:paraId="5A59DEFE" w14:textId="77777777" w:rsidR="00ED432F" w:rsidRDefault="00ED432F" w:rsidP="00ED432F">
      <w:r>
        <w:t>Vlada je v postopku izdaje dovoljenja za uporabo imena »Slovenija« v imenu zavoda, prav tako ugotovila, da dejavnost, ki jo opravlja predlagatelj, izkazuje javni interes za Republiko Slovenijo.</w:t>
      </w:r>
    </w:p>
    <w:p w14:paraId="79569C75" w14:textId="77777777" w:rsidR="00ED432F" w:rsidRDefault="00ED432F" w:rsidP="00ED432F">
      <w:pPr>
        <w:pStyle w:val="Vir"/>
      </w:pPr>
      <w:r>
        <w:t>Vir: Ministrstvo za gospodarstvo, turizem in šport</w:t>
      </w:r>
    </w:p>
    <w:p w14:paraId="747EACCD" w14:textId="716DBA9B" w:rsidR="00D50E9C" w:rsidRDefault="00D50E9C" w:rsidP="00D50E9C">
      <w:pPr>
        <w:pStyle w:val="Naslov2"/>
      </w:pPr>
      <w:r>
        <w:t>Določili zavezance za obvezno organiziranje varovanja v obratih večjega tveganja za okolje</w:t>
      </w:r>
    </w:p>
    <w:p w14:paraId="4895B97D" w14:textId="77777777" w:rsidR="00D50E9C" w:rsidRDefault="00D50E9C" w:rsidP="00D50E9C">
      <w:r>
        <w:t>Vlada je izdala sklepe, s katerimi je gospodarske družbe, ki upravljajo obrate večjega tveganja za okolje, določila za zavezance za obvezno organiziranje varovanja.</w:t>
      </w:r>
    </w:p>
    <w:p w14:paraId="32F9BFAF" w14:textId="77777777" w:rsidR="00D50E9C" w:rsidRDefault="00D50E9C" w:rsidP="00D50E9C"/>
    <w:p w14:paraId="323B7D28" w14:textId="77777777" w:rsidR="00D50E9C" w:rsidRDefault="00D50E9C" w:rsidP="00D50E9C">
      <w:r>
        <w:t>Pravna podlaga za to odločitev je 69. člen Zakona o zasebnem varovanju in Uredba o obveznem organiziranju varovanja. Ti določata, da morajo pravne in fizične osebe, ki uporabljajo</w:t>
      </w:r>
      <w:proofErr w:type="gramStart"/>
      <w:r>
        <w:t xml:space="preserve"> ali</w:t>
      </w:r>
      <w:proofErr w:type="gramEnd"/>
      <w:r>
        <w:t xml:space="preserve"> hranijo ljudem in okolju nevarne snovi, zagotoviti ustrezno varovanje. To velja tudi za podjetja, ki so zaradi ravnanja z nevarnimi snovmi razvrščena med obrate tveganja za okolje v skladu z Uredbo o preprečevanju večjih nesreč in zmanjševanju njihovih posledic.</w:t>
      </w:r>
    </w:p>
    <w:p w14:paraId="2F3D468B" w14:textId="77777777" w:rsidR="00D50E9C" w:rsidRDefault="00D50E9C" w:rsidP="00D50E9C"/>
    <w:p w14:paraId="5CC80242" w14:textId="77777777" w:rsidR="00D50E9C" w:rsidRDefault="00D50E9C" w:rsidP="00D50E9C">
      <w:r>
        <w:t xml:space="preserve">Ministrstvo za okolje, podnebje in energijo je pristojno za določanje zavezancev v primerih, ko se varovanje izvaja tudi zaradi varstva okolja. Takšni ukrepi preprečujejo morebitne izpuste nevarnih snovi, ki bi lahko nastali zaradi kaznivih dejanj, in so pomemben del sistema za preprečevanje večjih nesreč ter zmanjševanje njihovih posledic. Register obratov tveganja za okolje vodi MOPE in je javno dostopen na spletnem naslovu </w:t>
      </w:r>
      <w:proofErr w:type="spellStart"/>
      <w:r>
        <w:t>gov</w:t>
      </w:r>
      <w:proofErr w:type="spellEnd"/>
      <w:r>
        <w:t>.si.</w:t>
      </w:r>
    </w:p>
    <w:p w14:paraId="000B8DEC" w14:textId="77777777" w:rsidR="00D50E9C" w:rsidRDefault="00D50E9C" w:rsidP="00D50E9C"/>
    <w:p w14:paraId="56505872" w14:textId="77777777" w:rsidR="00D50E9C" w:rsidRDefault="00D50E9C" w:rsidP="00D50E9C">
      <w:r>
        <w:t>Pred pripravo sklepov se je ministrstvo posvetovalo z zavezanci, med drugim na posvetu za upravljavce obratov tveganja, ki je potekal 8. marca 2018 v Ljubljani.</w:t>
      </w:r>
    </w:p>
    <w:p w14:paraId="635DF2B7" w14:textId="77777777" w:rsidR="00D50E9C" w:rsidRDefault="00D50E9C" w:rsidP="00D50E9C"/>
    <w:p w14:paraId="79100036" w14:textId="7548FB7B" w:rsidR="00D50E9C" w:rsidRDefault="00D50E9C" w:rsidP="00D50E9C">
      <w:r>
        <w:t xml:space="preserve">Na podlagi registra obratov tveganja za okolje so za zavezance za obvezno organiziranje varovanja določena naslednja podjetja: </w:t>
      </w:r>
      <w:proofErr w:type="gramStart"/>
      <w:r>
        <w:t>Albaugh</w:t>
      </w:r>
      <w:proofErr w:type="gramEnd"/>
      <w:r>
        <w:t xml:space="preserve"> TKI d. o. o., ATOTECH SLOVENIJA d. d., BELINKA PERKEMIJA d. o. o., F.</w:t>
      </w:r>
      <w:r w:rsidR="00D92BAB">
        <w:t xml:space="preserve"> </w:t>
      </w:r>
      <w:r>
        <w:t xml:space="preserve">A. MAIK d. o. o., FENOLIT d. d., KANSAI HELIOS Slovenija d. o. o., INTEREUROPA d. d., LECANA d. o. o., MELAMIN d. d., PLAMA-PUR d. o. o., STEKLARNA ROGAŠKA d. o. o., TAB d. d., TALUM d. d., TITUS d. o. o., TKI Hrastnik d. d., ISTRABENZ PLINI </w:t>
      </w:r>
    </w:p>
    <w:p w14:paraId="26355423" w14:textId="53337B5A" w:rsidR="00D50E9C" w:rsidRDefault="00D50E9C" w:rsidP="00D50E9C">
      <w:proofErr w:type="gramStart"/>
      <w:r>
        <w:t>d.</w:t>
      </w:r>
      <w:proofErr w:type="gramEnd"/>
      <w:r>
        <w:t xml:space="preserve"> o. o. in INA Slovenija d. o. o.</w:t>
      </w:r>
    </w:p>
    <w:p w14:paraId="7C67220E" w14:textId="66E98DA4" w:rsidR="00B34045" w:rsidRDefault="00D50E9C" w:rsidP="00D50E9C">
      <w:pPr>
        <w:pStyle w:val="Vir"/>
      </w:pPr>
      <w:r>
        <w:lastRenderedPageBreak/>
        <w:t>Vir: Ministrstvo za okolje, podnebje in energijo</w:t>
      </w:r>
    </w:p>
    <w:p w14:paraId="37066F4C" w14:textId="79A24A5A" w:rsidR="00593807" w:rsidRDefault="00593807" w:rsidP="00593807">
      <w:pPr>
        <w:pStyle w:val="Naslov2"/>
      </w:pPr>
      <w:r>
        <w:t>Sklep o prenehanju veljavnosti sklepov vlade v povezavi z izdajo digitalnega potrdila v času pandemije Covid-19</w:t>
      </w:r>
    </w:p>
    <w:p w14:paraId="50DD9EBE" w14:textId="77777777" w:rsidR="00593807" w:rsidRDefault="00593807" w:rsidP="00593807">
      <w:r>
        <w:t xml:space="preserve">Vlada Republike Slovenije je sprejela odločitev, da prenehata veljati sklepa iz let 2021, ki sta bila sprejeta za </w:t>
      </w:r>
      <w:proofErr w:type="gramStart"/>
      <w:r>
        <w:t>soočanje</w:t>
      </w:r>
      <w:proofErr w:type="gramEnd"/>
      <w:r>
        <w:t xml:space="preserve"> s posledicami pandemije Covid-19 v zvezi z izdajo digitalnega zelenega potrdila o cepljenju, testiranju in prebolevnosti.</w:t>
      </w:r>
    </w:p>
    <w:p w14:paraId="611FBB42" w14:textId="77777777" w:rsidR="00593807" w:rsidRDefault="00593807" w:rsidP="00593807"/>
    <w:p w14:paraId="195FC3D2" w14:textId="77777777" w:rsidR="00593807" w:rsidRDefault="00593807" w:rsidP="00593807">
      <w:r>
        <w:t>Ker po koncu pandemije tovrstni ukrepi niso več potrebni, v novelirano Uredbo o določitvi sredstev elektronske identifikacije pa je že ustrezno vključena določitev organov, pristojnih za sprejem vlog, je vlada odločila, da obravnavana sklepa prenehata veljati. S tem se zagotavlja tudi usklajenost z Zakonom o elektronski identifikaciji in storitvah zaupanja (ZEISZ), ki predvideva določitev pristojnih organov izključno z uredbo.</w:t>
      </w:r>
    </w:p>
    <w:p w14:paraId="09E817E6" w14:textId="77777777" w:rsidR="00593807" w:rsidRDefault="00593807" w:rsidP="00593807">
      <w:pPr>
        <w:pStyle w:val="Vir"/>
      </w:pPr>
      <w:r>
        <w:t>Vir: Ministrstvo za digitalno preobrazbo</w:t>
      </w:r>
    </w:p>
    <w:p w14:paraId="6CC65F64" w14:textId="26125AA4" w:rsidR="00593807" w:rsidRDefault="00593807" w:rsidP="00593807">
      <w:pPr>
        <w:pStyle w:val="Naslov2"/>
      </w:pPr>
      <w:r>
        <w:t>Soglasje vlade glede višine zneska plačila za učinkovito rabo omejene naravne dobrine za uporabo radijskih frekvenc v pasu 174–230</w:t>
      </w:r>
      <w:proofErr w:type="gramStart"/>
      <w:r>
        <w:t xml:space="preserve"> MHz</w:t>
      </w:r>
      <w:proofErr w:type="gramEnd"/>
    </w:p>
    <w:p w14:paraId="564CF089" w14:textId="77777777" w:rsidR="00593807" w:rsidRDefault="00593807" w:rsidP="00593807">
      <w:r>
        <w:t>Vlada Republike Slovenije je na današnji seji sprejela soglasje o predlogu Agencije za komunikacijska omrežja in storitve RS (AKOS) o višini plačila za učinkovito rabo omejene naravne dobrine radijskih frekvenc za digitalno prizemno zvokovno radiodifuzijo DAB + v radiofrekvenčnem pasu 174–230</w:t>
      </w:r>
      <w:proofErr w:type="gramStart"/>
      <w:r>
        <w:t xml:space="preserve"> MHz</w:t>
      </w:r>
      <w:proofErr w:type="gramEnd"/>
      <w:r>
        <w:t xml:space="preserve"> in načina njegovega plačila. </w:t>
      </w:r>
    </w:p>
    <w:p w14:paraId="60B494D4" w14:textId="77777777" w:rsidR="00593807" w:rsidRDefault="00593807" w:rsidP="00593807"/>
    <w:p w14:paraId="0ABE79C9" w14:textId="77777777" w:rsidR="00593807" w:rsidRDefault="00593807" w:rsidP="00593807">
      <w:r>
        <w:t>Plačilo znaša 36,43 evra na 1000 prebivalcev za 10-letno obdobje, preračunano za različna obdobja od enega</w:t>
      </w:r>
      <w:proofErr w:type="gramStart"/>
      <w:r>
        <w:t xml:space="preserve"> do</w:t>
      </w:r>
      <w:proofErr w:type="gramEnd"/>
      <w:r>
        <w:t xml:space="preserve"> desetih let in revalorizirano glede na indeks cen življenjskih potrebščin. Izvesti ga je treba v enkratnem znesku v 30 dneh od vročitve odločbe o dodelitvi radijskih frekvenc za multipleks.</w:t>
      </w:r>
    </w:p>
    <w:p w14:paraId="4852D5A8" w14:textId="77777777" w:rsidR="00593807" w:rsidRDefault="00593807" w:rsidP="00593807">
      <w:r>
        <w:t xml:space="preserve">Predlog temelji na določbah Zakona o elektronskih komunikacijah (ZEKom-2). Vlada in </w:t>
      </w:r>
      <w:proofErr w:type="gramStart"/>
      <w:r>
        <w:t>resorno</w:t>
      </w:r>
      <w:proofErr w:type="gramEnd"/>
      <w:r>
        <w:t xml:space="preserve"> ministrstvo ocenjujeta, da je predlog AKOS glede višine in načina plačila primeren.</w:t>
      </w:r>
    </w:p>
    <w:p w14:paraId="64B2E6B7" w14:textId="2CDB6C5E" w:rsidR="00B34045" w:rsidRDefault="00593807" w:rsidP="00593807">
      <w:pPr>
        <w:pStyle w:val="Vir"/>
      </w:pPr>
      <w:r>
        <w:t>Vir: Ministrstvo za digitalno preobrazbo</w:t>
      </w:r>
    </w:p>
    <w:p w14:paraId="0AAF4CB5" w14:textId="6F064BC4" w:rsidR="00BC42E0" w:rsidRDefault="00BC42E0" w:rsidP="00BC42E0">
      <w:pPr>
        <w:pStyle w:val="Naslov2"/>
      </w:pPr>
      <w:r>
        <w:t>Sprejet rebalans poslovnega in finančnega načrta JŠRIPS za leto 2025</w:t>
      </w:r>
    </w:p>
    <w:p w14:paraId="65DD0DC0" w14:textId="77777777" w:rsidR="00BC42E0" w:rsidRDefault="00BC42E0" w:rsidP="00BC42E0">
      <w:r>
        <w:t xml:space="preserve">Vlada je sprejela Rebalans Poslovnega in finančnega načrta Javnega štipendijskega, razvojnega, invalidskega in preživninskega sklada Republike Slovenije za leto 2025, ki vključuje sredstva za delovanje javnega sklada, programe evropske kohezijske politike 2021–2027 in programe štipendij Ad </w:t>
      </w:r>
      <w:proofErr w:type="gramStart"/>
      <w:r>
        <w:t>futura</w:t>
      </w:r>
      <w:proofErr w:type="gramEnd"/>
      <w:r>
        <w:t xml:space="preserve">. </w:t>
      </w:r>
    </w:p>
    <w:p w14:paraId="35D84C1F" w14:textId="767097E0" w:rsidR="00B34045" w:rsidRDefault="00BC42E0" w:rsidP="00BC42E0">
      <w:pPr>
        <w:pStyle w:val="Vir"/>
      </w:pPr>
      <w:r>
        <w:t>Vir: Ministrstvo za delo, družino, socialne zadeve in enake možnosti</w:t>
      </w:r>
    </w:p>
    <w:p w14:paraId="1184AC30" w14:textId="4E158AB2" w:rsidR="0055264A" w:rsidRDefault="0055264A" w:rsidP="0055264A">
      <w:pPr>
        <w:pStyle w:val="Naslov2"/>
      </w:pPr>
      <w:r>
        <w:t>Informacija v zvezi z izvajanjem Uredbe EU o preglednosti in ciljanju v političnem oglaševanju</w:t>
      </w:r>
    </w:p>
    <w:p w14:paraId="70376258" w14:textId="4816D44E" w:rsidR="0055264A" w:rsidRDefault="0055264A" w:rsidP="0055264A">
      <w:r>
        <w:t>Vlada Republike Slovenije se je seznanila z informacijo v zvezi z izvajanjem Uredbe (EU) 2024/900 Evropskega parlamenta in Sveta z dne 13. marca 2024 o preglednosti in ciljanju v političnem oglaševanju.</w:t>
      </w:r>
    </w:p>
    <w:p w14:paraId="17C4CF45" w14:textId="77777777" w:rsidR="0055264A" w:rsidRDefault="0055264A" w:rsidP="0055264A"/>
    <w:p w14:paraId="745042EF" w14:textId="13B5D41E" w:rsidR="0055264A" w:rsidRDefault="0055264A" w:rsidP="0055264A">
      <w:r>
        <w:t xml:space="preserve">Uredba EU o preglednosti in ciljanju v političnem oglaševanju določa enotna pravila na ravni Evropske unije glede </w:t>
      </w:r>
      <w:proofErr w:type="gramStart"/>
      <w:r>
        <w:t>transparentnosti</w:t>
      </w:r>
      <w:proofErr w:type="gramEnd"/>
      <w:r>
        <w:t xml:space="preserve"> političnega oglaševanja. Uredba se bo začela v polnem obsegu uporabljati 10. oktobra 2025 in od takrat naprej bo moral biti vsak politični oglas (spletni ali ne-spletni) izrecno označen kot tak, pri objavi pa bodo morale biti izpolnjene tudi druge obveznosti v zvezi s preglednostjo, na primer, kdo je naročnik oglasa in na katero politično kampanjo (za volitve ali </w:t>
      </w:r>
      <w:r>
        <w:lastRenderedPageBreak/>
        <w:t xml:space="preserve">referendum ali zakonodajni postopek) se nanaša, v politični oglas bo treba vključiti tudi tako imenovano obvestilo o preglednosti (v obliki spletnega naslova ali </w:t>
      </w:r>
      <w:proofErr w:type="gramStart"/>
      <w:r>
        <w:t>QR kode</w:t>
      </w:r>
      <w:proofErr w:type="gramEnd"/>
      <w:r>
        <w:t>), preko katere bo med drugim razvidno tudi, koliko oglas stane. Uredba EU nalaga obveznosti predvsem ponudnikom storitev političnega oglaševanja, izdajateljem storitev političnega oglaševanja (kot so na primer oglaševalske agencije in mediji), pa tudi naročnikom. Prav tako se bodo v skladu z določili uredbe na portalu Evropske komisije objavljali datumi razpisanih volitev in referendumov.</w:t>
      </w:r>
    </w:p>
    <w:p w14:paraId="306CD1B4" w14:textId="4624C5DB" w:rsidR="00B34045" w:rsidRDefault="0055264A" w:rsidP="0055264A">
      <w:pPr>
        <w:pStyle w:val="Vir"/>
      </w:pPr>
      <w:r>
        <w:t>Vir: Ministrstvo za javno upravo</w:t>
      </w:r>
    </w:p>
    <w:p w14:paraId="11468D66" w14:textId="2E719115" w:rsidR="006624A6" w:rsidRDefault="006624A6" w:rsidP="006624A6">
      <w:pPr>
        <w:pStyle w:val="Naslov2"/>
      </w:pPr>
      <w:r>
        <w:t>Projekt nadgradnje in vzdrževanja informacijskih sistemov uvrščen v načrt razvojnih programov</w:t>
      </w:r>
    </w:p>
    <w:p w14:paraId="7637084E" w14:textId="77777777" w:rsidR="006624A6" w:rsidRDefault="006624A6" w:rsidP="006624A6">
      <w:r>
        <w:t xml:space="preserve">Vlada je sklenila, da se v veljavni Načrt razvojnih programov 2025 – 2028 uvrsti nov projekt Nadgradnja in vzdrževanje informacijskih sistemov Javne agencije za znanstvenoraziskovalno in inovacijsko dejavnost Republike Slovenije (ARIS). Informacijski sistem je </w:t>
      </w:r>
      <w:proofErr w:type="gramStart"/>
      <w:r>
        <w:t>potrebno</w:t>
      </w:r>
      <w:proofErr w:type="gramEnd"/>
      <w:r>
        <w:t xml:space="preserve"> nadgraditi zaradi razširitve pristojnosti na področju inovacijske dejavnosti in skladno z ostalimi spremembami Zakona o znanstvenoraziskovalni in inovacijski dejavnosti (</w:t>
      </w:r>
      <w:proofErr w:type="spellStart"/>
      <w:r>
        <w:t>ZZrID</w:t>
      </w:r>
      <w:proofErr w:type="spellEnd"/>
      <w:r>
        <w:t xml:space="preserve">). </w:t>
      </w:r>
    </w:p>
    <w:p w14:paraId="3846A0B5" w14:textId="77777777" w:rsidR="006624A6" w:rsidRDefault="006624A6" w:rsidP="006624A6"/>
    <w:p w14:paraId="089009B6" w14:textId="77777777" w:rsidR="006624A6" w:rsidRDefault="006624A6" w:rsidP="006624A6">
      <w:r>
        <w:t xml:space="preserve">V okviru spletnih </w:t>
      </w:r>
      <w:proofErr w:type="gramStart"/>
      <w:r>
        <w:t>aplikacij</w:t>
      </w:r>
      <w:proofErr w:type="gramEnd"/>
      <w:r>
        <w:t xml:space="preserve"> ARIS (AURA in Digital </w:t>
      </w:r>
      <w:proofErr w:type="spellStart"/>
      <w:r>
        <w:t>Forms</w:t>
      </w:r>
      <w:proofErr w:type="spellEnd"/>
      <w:r>
        <w:t xml:space="preserve">) je trenutno zagotovljena podpora temeljnim procesom na področju prijav, evalvacije, spremljanja, financiranja in poročanja, ki jih izvaja ARIS. V sistemu je vzpostavljeno vodenje evidenc o raziskovalnih organizacijah, drugih prejemnikih, raziskovalcih, strokovno tehničnih sodelavcih in financiranih </w:t>
      </w:r>
      <w:proofErr w:type="gramStart"/>
      <w:r>
        <w:t>aktivnostih</w:t>
      </w:r>
      <w:proofErr w:type="gramEnd"/>
      <w:r>
        <w:t xml:space="preserve">. Prav tako je podprto informacijsko oddajanje prijav ter njihovo ocenjevanje z mednarodnimi recenzenti. Vse to predstavlja dobro osnovo, ki pa jo je </w:t>
      </w:r>
      <w:proofErr w:type="gramStart"/>
      <w:r>
        <w:t>potrebno</w:t>
      </w:r>
      <w:proofErr w:type="gramEnd"/>
      <w:r>
        <w:t xml:space="preserve"> nadgraditi, da bo možno podatke o znanstvenoraziskovalni in inovacijski dejavnosti urejati na elektronsko podprt način. </w:t>
      </w:r>
    </w:p>
    <w:p w14:paraId="18D1494F" w14:textId="77777777" w:rsidR="006624A6" w:rsidRDefault="006624A6" w:rsidP="006624A6"/>
    <w:p w14:paraId="2FF62C66" w14:textId="77777777" w:rsidR="006624A6" w:rsidRDefault="006624A6" w:rsidP="006624A6">
      <w:r>
        <w:t xml:space="preserve">Vzpostaviti je </w:t>
      </w:r>
      <w:proofErr w:type="gramStart"/>
      <w:r>
        <w:t>potrebno</w:t>
      </w:r>
      <w:proofErr w:type="gramEnd"/>
      <w:r>
        <w:t xml:space="preserve"> sodoben, varen in uporabniku prijazen informacijski sistem, ki bo podpiral brezpapirno poslovanje, razbremenil ARIS v administrativnem delu in omogočil projektnim pisarnam na raziskovalnih in inovacijskih organizacijah boljši pregled nad aktivnostmi in ponudil možnost brezpapirnega urejanja postopkov. Nadgradnje, ki jih narekuje </w:t>
      </w:r>
      <w:proofErr w:type="spellStart"/>
      <w:r>
        <w:t>ZZrID</w:t>
      </w:r>
      <w:proofErr w:type="spellEnd"/>
      <w:r>
        <w:t>, so nujne za učinkovito izvajanje nalog agencije v prihodnjem obdobju.</w:t>
      </w:r>
    </w:p>
    <w:p w14:paraId="12121096" w14:textId="77777777" w:rsidR="006624A6" w:rsidRDefault="006624A6" w:rsidP="006624A6"/>
    <w:p w14:paraId="5A130190" w14:textId="77777777" w:rsidR="006624A6" w:rsidRDefault="006624A6" w:rsidP="006624A6">
      <w:r>
        <w:t>Nadgradnja je ocenjena v višini 1,1 milijona evrov. Predvidena je za obdobje od 25. novembra 2025 do 25. novembra 2028 in vključuje razvoj, nadgradnjo, vzdrževanje ter integracijo vseh ključnih funkcionalnosti informacijskega sistema ARIS. Financiranje projekta se bo zaključilo predvidoma 31. decembra 2028.</w:t>
      </w:r>
    </w:p>
    <w:p w14:paraId="1579E759" w14:textId="77777777" w:rsidR="006624A6" w:rsidRDefault="006624A6" w:rsidP="006624A6">
      <w:pPr>
        <w:pStyle w:val="Vir"/>
      </w:pPr>
      <w:r>
        <w:t>Vir: Ministrstvo za visoko šolstvo, znanost in inovacije</w:t>
      </w:r>
    </w:p>
    <w:p w14:paraId="425D7798" w14:textId="559A6F6B" w:rsidR="001234DA" w:rsidRDefault="001234DA" w:rsidP="001234DA">
      <w:pPr>
        <w:pStyle w:val="Naslov2"/>
      </w:pPr>
      <w:r>
        <w:t xml:space="preserve">V Načrt razvojnih programov za obdobje 2025−2028 uvrščen projekt Partnerstvo za preoblikovanje zdravstvenih sistemov </w:t>
      </w:r>
    </w:p>
    <w:p w14:paraId="08255AAE" w14:textId="07D3DCEA" w:rsidR="001234DA" w:rsidRDefault="001234DA" w:rsidP="001234DA">
      <w:r>
        <w:t xml:space="preserve">Vlada je na današnji seji sprejela sklep, da se v Načrt razvojnih programov za obdobje 2025−2028 uvrsti projekt Partnerstvo za preoblikovanje zdravstvenih sistemov. </w:t>
      </w:r>
    </w:p>
    <w:p w14:paraId="1C1482CE" w14:textId="77777777" w:rsidR="001234DA" w:rsidRDefault="001234DA" w:rsidP="001234DA"/>
    <w:p w14:paraId="59EAD826" w14:textId="77777777" w:rsidR="001234DA" w:rsidRDefault="001234DA" w:rsidP="001234DA">
      <w:r>
        <w:t xml:space="preserve">Projekt Partnerstvo za preoblikovanje zdravstvenih sistemov bo omogočal financiranje raziskav o temah, kot </w:t>
      </w:r>
      <w:proofErr w:type="gramStart"/>
      <w:r>
        <w:t>so</w:t>
      </w:r>
      <w:proofErr w:type="gramEnd"/>
      <w:r>
        <w:t xml:space="preserve"> organizacija zdravstvenih sistemov in sistemov oskrbe, oskrba, osredotočena na ljudi in prebivalstvo, kakovost oskrbe in varnost pacientov, upravljanje in financiranje, dostop do podatkov in njihova uporaba, načrtovanje zdravstvene delovne sile, prenos nalog, digitalizacija itd. </w:t>
      </w:r>
    </w:p>
    <w:p w14:paraId="2173164E" w14:textId="77777777" w:rsidR="001234DA" w:rsidRDefault="001234DA" w:rsidP="001234DA"/>
    <w:p w14:paraId="572B6269" w14:textId="77777777" w:rsidR="001234DA" w:rsidRDefault="001234DA" w:rsidP="001234DA">
      <w:r>
        <w:t xml:space="preserve">Splošni cilj projekta je prispevati k prehodu na bolj trajnostne, učinkovite, odporne, vključujoče, inovativne in </w:t>
      </w:r>
      <w:proofErr w:type="gramStart"/>
      <w:r>
        <w:t>visokokakovostne</w:t>
      </w:r>
      <w:proofErr w:type="gramEnd"/>
      <w:r>
        <w:t xml:space="preserve"> zdravstvene sisteme in sisteme oskrbe, osredotočene na ljudi, ki so enako dostopni vsem. </w:t>
      </w:r>
    </w:p>
    <w:p w14:paraId="366B3933" w14:textId="77777777" w:rsidR="001234DA" w:rsidRDefault="001234DA" w:rsidP="001234DA"/>
    <w:p w14:paraId="4A7E3850" w14:textId="77777777" w:rsidR="001234DA" w:rsidRDefault="001234DA" w:rsidP="001234DA">
      <w:r>
        <w:t>Projekt koordinira italijanski inštitut, skupaj z njihovim ministrstvom za zdravje in ministrstvom za raziskave. Projekt bo trajal do leta 2030.</w:t>
      </w:r>
    </w:p>
    <w:p w14:paraId="67432648" w14:textId="77777777" w:rsidR="001234DA" w:rsidRDefault="001234DA" w:rsidP="001234DA"/>
    <w:p w14:paraId="16209477" w14:textId="77777777" w:rsidR="001234DA" w:rsidRDefault="001234DA" w:rsidP="001234DA">
      <w:r>
        <w:t xml:space="preserve">Vrednost projekta je 305.248.586,69 evra, od tega Evropska komisija sofinancira 91.574.573 evrov. </w:t>
      </w:r>
    </w:p>
    <w:p w14:paraId="291DC974" w14:textId="7AEC59D1" w:rsidR="00B34045" w:rsidRDefault="001234DA" w:rsidP="001234DA">
      <w:pPr>
        <w:pStyle w:val="Vir"/>
      </w:pPr>
      <w:r>
        <w:t>Vir: Ministrstvo za zdravje</w:t>
      </w:r>
    </w:p>
    <w:p w14:paraId="5B441568" w14:textId="4E2EEDDD" w:rsidR="00722CF1" w:rsidRDefault="00722CF1" w:rsidP="00722CF1">
      <w:pPr>
        <w:pStyle w:val="Naslov2"/>
      </w:pPr>
      <w:r>
        <w:t xml:space="preserve">Načrt razvojnih programov 2025–2028 dopolnjen z novimi projekti </w:t>
      </w:r>
    </w:p>
    <w:p w14:paraId="48BC7DD3" w14:textId="77777777" w:rsidR="00722CF1" w:rsidRDefault="00722CF1" w:rsidP="00722CF1">
      <w:r>
        <w:t>Vlada je v že veljavni Načrt razvojnih programov 2025–2028 uvrstila osemnajst novih projektov, s katerimi želi zagotoviti kakovostno javno športno infrastrukturo za vse kategorije uporabnikov ter učinkovito koriščenje in ravnanje z javno športno infrastrukturo, pri čemer javna športna infrastruktura zajema športne objekte in površine za šport v naravi.</w:t>
      </w:r>
    </w:p>
    <w:p w14:paraId="0233D9B4" w14:textId="77777777" w:rsidR="00722CF1" w:rsidRDefault="00722CF1" w:rsidP="00722CF1"/>
    <w:p w14:paraId="1A337DE6" w14:textId="77777777" w:rsidR="00722CF1" w:rsidRDefault="00722CF1" w:rsidP="00722CF1">
      <w:r>
        <w:t>Novi projekti, ki so bili odobreni za sofinanciranje na podlagi Javnega razpisa za izbor sofinanciranja investicij v športno infrastrukturo v letu 2025</w:t>
      </w:r>
      <w:proofErr w:type="gramStart"/>
      <w:r>
        <w:t xml:space="preserve"> so</w:t>
      </w:r>
      <w:proofErr w:type="gramEnd"/>
      <w:r>
        <w:t>:</w:t>
      </w:r>
    </w:p>
    <w:p w14:paraId="72F7AA41" w14:textId="77777777" w:rsidR="00722CF1" w:rsidRDefault="00722CF1" w:rsidP="00722CF1"/>
    <w:p w14:paraId="44719A2D" w14:textId="42798905" w:rsidR="00722CF1" w:rsidRDefault="00722CF1" w:rsidP="00722CF1">
      <w:pPr>
        <w:pStyle w:val="Odstavekseznama"/>
        <w:numPr>
          <w:ilvl w:val="0"/>
          <w:numId w:val="11"/>
        </w:numPr>
      </w:pPr>
      <w:r>
        <w:t>Obnova igrišča in športne infrastrukture Lendava</w:t>
      </w:r>
    </w:p>
    <w:p w14:paraId="553494FA" w14:textId="2C9E8D43" w:rsidR="00722CF1" w:rsidRDefault="00722CF1" w:rsidP="00722CF1">
      <w:pPr>
        <w:pStyle w:val="Odstavekseznama"/>
        <w:numPr>
          <w:ilvl w:val="0"/>
          <w:numId w:val="11"/>
        </w:numPr>
      </w:pPr>
      <w:r>
        <w:t>Prenova atletske steze Slovenska Bistrica</w:t>
      </w:r>
    </w:p>
    <w:p w14:paraId="5D44127C" w14:textId="3A0A0C5E" w:rsidR="00722CF1" w:rsidRDefault="00722CF1" w:rsidP="00722CF1">
      <w:pPr>
        <w:pStyle w:val="Odstavekseznama"/>
        <w:numPr>
          <w:ilvl w:val="0"/>
          <w:numId w:val="11"/>
        </w:numPr>
      </w:pPr>
      <w:r>
        <w:t>Rekonstrukcija Skate parka Domžale</w:t>
      </w:r>
    </w:p>
    <w:p w14:paraId="17860CD2" w14:textId="74AF25DF" w:rsidR="00722CF1" w:rsidRDefault="00722CF1" w:rsidP="00722CF1">
      <w:pPr>
        <w:pStyle w:val="Odstavekseznama"/>
        <w:numPr>
          <w:ilvl w:val="0"/>
          <w:numId w:val="11"/>
        </w:numPr>
      </w:pPr>
      <w:r>
        <w:t>Ureditev športno-rekreativnega kompleksa v Sežani</w:t>
      </w:r>
    </w:p>
    <w:p w14:paraId="0CA68BBD" w14:textId="1CC15F3D" w:rsidR="00722CF1" w:rsidRDefault="00722CF1" w:rsidP="00722CF1">
      <w:pPr>
        <w:pStyle w:val="Odstavekseznama"/>
        <w:numPr>
          <w:ilvl w:val="0"/>
          <w:numId w:val="11"/>
        </w:numPr>
      </w:pPr>
      <w:r>
        <w:t>Ureditev športnega parka Videm pri Ptuju</w:t>
      </w:r>
    </w:p>
    <w:p w14:paraId="6C4B9505" w14:textId="335F6C4E" w:rsidR="00722CF1" w:rsidRDefault="00722CF1" w:rsidP="00722CF1">
      <w:pPr>
        <w:pStyle w:val="Odstavekseznama"/>
        <w:numPr>
          <w:ilvl w:val="0"/>
          <w:numId w:val="11"/>
        </w:numPr>
      </w:pPr>
      <w:r>
        <w:t>Novogradnja športnega objekta v ŠP Dobrovce</w:t>
      </w:r>
    </w:p>
    <w:p w14:paraId="2AA0C5F9" w14:textId="593BF480" w:rsidR="00722CF1" w:rsidRDefault="00722CF1" w:rsidP="00722CF1">
      <w:pPr>
        <w:pStyle w:val="Odstavekseznama"/>
        <w:numPr>
          <w:ilvl w:val="0"/>
          <w:numId w:val="11"/>
        </w:numPr>
      </w:pPr>
      <w:r>
        <w:t>Ureditev športnih igrišč Turnišče</w:t>
      </w:r>
    </w:p>
    <w:p w14:paraId="74D79D52" w14:textId="1CD05062" w:rsidR="00722CF1" w:rsidRDefault="00722CF1" w:rsidP="00722CF1">
      <w:pPr>
        <w:pStyle w:val="Odstavekseznama"/>
        <w:numPr>
          <w:ilvl w:val="0"/>
          <w:numId w:val="11"/>
        </w:numPr>
      </w:pPr>
      <w:r>
        <w:t>Obnova športnih površin Šmarje pri Kopru</w:t>
      </w:r>
    </w:p>
    <w:p w14:paraId="0EBB5804" w14:textId="03FA4E78" w:rsidR="00722CF1" w:rsidRDefault="00722CF1" w:rsidP="00722CF1">
      <w:pPr>
        <w:pStyle w:val="Odstavekseznama"/>
        <w:numPr>
          <w:ilvl w:val="0"/>
          <w:numId w:val="11"/>
        </w:numPr>
      </w:pPr>
      <w:r>
        <w:t>Prenova športne dvorane Novo mesto</w:t>
      </w:r>
    </w:p>
    <w:p w14:paraId="442C436E" w14:textId="490425D9" w:rsidR="00722CF1" w:rsidRDefault="00722CF1" w:rsidP="00722CF1">
      <w:pPr>
        <w:pStyle w:val="Odstavekseznama"/>
        <w:numPr>
          <w:ilvl w:val="0"/>
          <w:numId w:val="11"/>
        </w:numPr>
      </w:pPr>
      <w:r>
        <w:t>Ureditev pokritega športnega igrišča v Hrpeljah</w:t>
      </w:r>
    </w:p>
    <w:p w14:paraId="7123B2B7" w14:textId="545D2CBE" w:rsidR="00722CF1" w:rsidRDefault="00722CF1" w:rsidP="00722CF1">
      <w:pPr>
        <w:pStyle w:val="Odstavekseznama"/>
        <w:numPr>
          <w:ilvl w:val="0"/>
          <w:numId w:val="11"/>
        </w:numPr>
      </w:pPr>
      <w:r>
        <w:t>Izgradnja zunanjega športnega igrišča Budanje</w:t>
      </w:r>
    </w:p>
    <w:p w14:paraId="018C1BEF" w14:textId="7F94F65B" w:rsidR="00722CF1" w:rsidRDefault="00722CF1" w:rsidP="00722CF1">
      <w:pPr>
        <w:pStyle w:val="Odstavekseznama"/>
        <w:numPr>
          <w:ilvl w:val="0"/>
          <w:numId w:val="11"/>
        </w:numPr>
      </w:pPr>
      <w:r>
        <w:t>Prenova športnega parka Cerkno</w:t>
      </w:r>
    </w:p>
    <w:p w14:paraId="77184044" w14:textId="0B014A2E" w:rsidR="00722CF1" w:rsidRDefault="00722CF1" w:rsidP="00722CF1">
      <w:pPr>
        <w:pStyle w:val="Odstavekseznama"/>
        <w:numPr>
          <w:ilvl w:val="0"/>
          <w:numId w:val="11"/>
        </w:numPr>
      </w:pPr>
      <w:r>
        <w:t>Obnova športnega parka Portorož</w:t>
      </w:r>
    </w:p>
    <w:p w14:paraId="7866637E" w14:textId="56756880" w:rsidR="00722CF1" w:rsidRDefault="00722CF1" w:rsidP="00722CF1">
      <w:pPr>
        <w:pStyle w:val="Odstavekseznama"/>
        <w:numPr>
          <w:ilvl w:val="0"/>
          <w:numId w:val="11"/>
        </w:numPr>
      </w:pPr>
      <w:r>
        <w:t>Prenova in gradnja športnega parka Trnovo</w:t>
      </w:r>
    </w:p>
    <w:p w14:paraId="0B03C8A5" w14:textId="24E3562A" w:rsidR="00722CF1" w:rsidRDefault="00722CF1" w:rsidP="00722CF1">
      <w:pPr>
        <w:pStyle w:val="Odstavekseznama"/>
        <w:numPr>
          <w:ilvl w:val="0"/>
          <w:numId w:val="11"/>
        </w:numPr>
      </w:pPr>
      <w:r>
        <w:t>Izgradnja in obnova igrišč OŠ Blanca</w:t>
      </w:r>
    </w:p>
    <w:p w14:paraId="2B351CC3" w14:textId="7BD5EF48" w:rsidR="00722CF1" w:rsidRDefault="00722CF1" w:rsidP="00722CF1">
      <w:pPr>
        <w:pStyle w:val="Odstavekseznama"/>
        <w:numPr>
          <w:ilvl w:val="0"/>
          <w:numId w:val="11"/>
        </w:numPr>
      </w:pPr>
      <w:r>
        <w:t>Prenova športnega parka Mirna Peč</w:t>
      </w:r>
    </w:p>
    <w:p w14:paraId="2F9D2EDF" w14:textId="3F29370B" w:rsidR="00722CF1" w:rsidRDefault="00722CF1" w:rsidP="00722CF1">
      <w:pPr>
        <w:pStyle w:val="Odstavekseznama"/>
        <w:numPr>
          <w:ilvl w:val="0"/>
          <w:numId w:val="11"/>
        </w:numPr>
      </w:pPr>
      <w:r>
        <w:t>Izgradnja pomožnega igrišča Nogometni park Brinje</w:t>
      </w:r>
    </w:p>
    <w:p w14:paraId="3C1BE62C" w14:textId="50603196" w:rsidR="00722CF1" w:rsidRDefault="00722CF1" w:rsidP="00722CF1">
      <w:pPr>
        <w:pStyle w:val="Odstavekseznama"/>
        <w:numPr>
          <w:ilvl w:val="0"/>
          <w:numId w:val="11"/>
        </w:numPr>
      </w:pPr>
      <w:r>
        <w:t>Dograditev športne dvorane Radeče</w:t>
      </w:r>
    </w:p>
    <w:p w14:paraId="1559F290" w14:textId="77777777" w:rsidR="00722CF1" w:rsidRDefault="00722CF1" w:rsidP="00722CF1"/>
    <w:p w14:paraId="36BB4A37" w14:textId="77777777" w:rsidR="00722CF1" w:rsidRDefault="00722CF1" w:rsidP="00722CF1">
      <w:r>
        <w:t>Cilj je sofinancirati obnovo, novogradnjo, posodobitev ali rekonstrukcijo javne športne infrastrukture ter ureditev dostopnosti do javne športne infrastrukture za funkcionalno ovirane, s čimer bo dosežena športno-tehnološka posodobitev obstoječe javne športne infrastrukture, povečal se bo obseg javne športne infrastrukture v naravnem in javnem okolju ter uredila dostopnost do javne športne infrastrukture ljudem z različnimi vrstami in stopnjami invalidnostmi.</w:t>
      </w:r>
    </w:p>
    <w:p w14:paraId="4A1AF9E5" w14:textId="77777777" w:rsidR="00722CF1" w:rsidRDefault="00722CF1" w:rsidP="00722CF1"/>
    <w:p w14:paraId="07F19ED6" w14:textId="631560F4" w:rsidR="00722CF1" w:rsidRDefault="00722CF1" w:rsidP="00722CF1">
      <w:proofErr w:type="gramStart"/>
      <w:r>
        <w:t>Investicije</w:t>
      </w:r>
      <w:proofErr w:type="gramEnd"/>
      <w:r w:rsidR="00C75D5E">
        <w:t>,</w:t>
      </w:r>
      <w:r>
        <w:t xml:space="preserve"> </w:t>
      </w:r>
      <w:r w:rsidR="00C75D5E">
        <w:t xml:space="preserve">ki so </w:t>
      </w:r>
      <w:r>
        <w:t>sofinancirane v letu 2025, se morajo zaključiti najkasneje do 31. avgusta 2026. Sredstva za sofinanciranje s strani ministrstva za gospodarstvo, turizem in šport pa morajo biti porabljena v letu 2025.</w:t>
      </w:r>
    </w:p>
    <w:p w14:paraId="5B6726A5" w14:textId="77777777" w:rsidR="00722CF1" w:rsidRDefault="00722CF1" w:rsidP="00722CF1"/>
    <w:p w14:paraId="1F427CE8" w14:textId="77777777" w:rsidR="00722CF1" w:rsidRDefault="00722CF1" w:rsidP="00722CF1">
      <w:r>
        <w:t xml:space="preserve">Predviden datum konca financiranja projektov je odvisen od časovnega načrta prijavljene </w:t>
      </w:r>
      <w:proofErr w:type="gramStart"/>
      <w:r>
        <w:t>investicije</w:t>
      </w:r>
      <w:proofErr w:type="gramEnd"/>
      <w:r>
        <w:t>. Nekateri projekti se bodo zaključili 31. decembra 2025, nekateri pa 31. decembra 2026.</w:t>
      </w:r>
    </w:p>
    <w:p w14:paraId="54BE9883" w14:textId="77777777" w:rsidR="00722CF1" w:rsidRDefault="00722CF1" w:rsidP="00722CF1"/>
    <w:p w14:paraId="2EEDB754" w14:textId="77777777" w:rsidR="00722CF1" w:rsidRDefault="00722CF1" w:rsidP="00722CF1">
      <w:r>
        <w:t>Vrednost vseh projektov znaša dobrih 21 milijonov evrov, od tega bo 4.5 milijonov evrov proračunskih virov.</w:t>
      </w:r>
    </w:p>
    <w:p w14:paraId="174E268F" w14:textId="77777777" w:rsidR="00722CF1" w:rsidRDefault="00722CF1" w:rsidP="00722CF1">
      <w:pPr>
        <w:pStyle w:val="Vir"/>
      </w:pPr>
      <w:r>
        <w:lastRenderedPageBreak/>
        <w:t>Vir: Ministrstvo za gospodarstvo, turizem in šport</w:t>
      </w:r>
    </w:p>
    <w:p w14:paraId="2154485B" w14:textId="1A1C4950" w:rsidR="003C2517" w:rsidRDefault="003C2517" w:rsidP="003C2517">
      <w:pPr>
        <w:pStyle w:val="Naslov2"/>
      </w:pPr>
      <w:r>
        <w:t>Vlada obravnavala vmesno poročilo o ukrepih na trgu pogonskih goriv</w:t>
      </w:r>
    </w:p>
    <w:p w14:paraId="7A690CD1" w14:textId="77777777" w:rsidR="003C2517" w:rsidRDefault="003C2517" w:rsidP="003C2517">
      <w:r>
        <w:t>Vlada se je seznanila z vmesnim poročilom Delovne skupine za pripravo nabora predloga ukrepov na trgu pogonskih goriv. Skupina bo končni predlog vladi predložila do 30. oktobra 2025, vmesno poročilo pa je pripravila skladno s sklepom o ustanovitvi.</w:t>
      </w:r>
    </w:p>
    <w:p w14:paraId="2B1D9BB3" w14:textId="77777777" w:rsidR="003C2517" w:rsidRDefault="003C2517" w:rsidP="003C2517"/>
    <w:p w14:paraId="29EAD98D" w14:textId="0D314C05" w:rsidR="003C2517" w:rsidRDefault="003C2517" w:rsidP="003C2517">
      <w:r>
        <w:t xml:space="preserve">Od ustanovitve je delovna skupina opravila štiri seje – </w:t>
      </w:r>
      <w:proofErr w:type="gramStart"/>
      <w:r>
        <w:t>31.</w:t>
      </w:r>
      <w:proofErr w:type="gramEnd"/>
      <w:r>
        <w:t xml:space="preserve"> julija, 13. avgusta, 2. septembra in 12. septembra 2025. Na njih so obravnavali ključna vprašanja, med drugim: spremembe metodologije oblikovanja cen, problematiko zapiranja odročnih bencinskih servisov, trošarinsko politiko, primešavanje biogoriv, poslovanje družb v sektorju, vpliv na inflacijo in druge makroekonomske kazalnike, omejitve pri umeščanju v prostor ter konkurenčnost na trgu. Obravnavali so tudi dolgoročne ukrepe, ki bi se izvajali po poteku mandata skupine.</w:t>
      </w:r>
    </w:p>
    <w:p w14:paraId="31EFC242" w14:textId="445A7583" w:rsidR="003C2517" w:rsidRDefault="003C2517" w:rsidP="003C2517">
      <w:pPr>
        <w:pStyle w:val="Vir"/>
      </w:pPr>
      <w:r>
        <w:t xml:space="preserve">Delovna skupina nadaljuje </w:t>
      </w:r>
      <w:proofErr w:type="gramStart"/>
      <w:r>
        <w:t>z</w:t>
      </w:r>
      <w:r w:rsidR="002A40B1">
        <w:t xml:space="preserve"> </w:t>
      </w:r>
      <w:r>
        <w:t>delom</w:t>
      </w:r>
      <w:proofErr w:type="gramEnd"/>
      <w:r>
        <w:t>, zamud pri pripravi končnega poročila zaenkrat ne pričakujejo.</w:t>
      </w:r>
    </w:p>
    <w:p w14:paraId="59CAD022" w14:textId="55FC1A11" w:rsidR="00B34045" w:rsidRDefault="003C2517" w:rsidP="003C2517">
      <w:pPr>
        <w:pStyle w:val="Vir"/>
      </w:pPr>
      <w:r>
        <w:t>Vir: Ministrstvo za okolje, podnebje in energijo</w:t>
      </w:r>
    </w:p>
    <w:p w14:paraId="0877FDF0" w14:textId="3267D918" w:rsidR="00D209B6" w:rsidRDefault="00D209B6" w:rsidP="00D209B6">
      <w:pPr>
        <w:pStyle w:val="Naslov2"/>
      </w:pPr>
      <w:r>
        <w:t>Vlada o delovanju SID banke</w:t>
      </w:r>
    </w:p>
    <w:p w14:paraId="33AA16F5" w14:textId="77777777" w:rsidR="00D209B6" w:rsidRDefault="00D209B6" w:rsidP="00D209B6">
      <w:r>
        <w:t>Vlada je danes sprejela Poročilo o izvrševanju javnih pooblastil, danih SID – Slovenski izvozni in razvojni banki, za leto 2024. Tudi lani je banka v skladu s svojim poslanstvom in strategijo delovala kot zanesljiv steber financiranja slovenskega gospodarstva in infrastrukture.</w:t>
      </w:r>
    </w:p>
    <w:p w14:paraId="1F3F8541" w14:textId="77777777" w:rsidR="00D209B6" w:rsidRDefault="00D209B6" w:rsidP="00D209B6"/>
    <w:p w14:paraId="62E7D6B1" w14:textId="77777777" w:rsidR="00D209B6" w:rsidRDefault="00D209B6" w:rsidP="00D209B6">
      <w:r>
        <w:t xml:space="preserve">SID banka je specializirana banka z javnim pooblastilom za izvajanje spodbujevalnih in razvojnih nalog ter storitev na področjih mednarodne trgovine, gospodarskega in razvojnega sodelovanja, podjetniških, inovacijsko-raziskovalnih in izobraževalnih dejavnosti, ekologije in energetike ter izgradnje infrastrukture in na drugih področjih, pomembnih za razvoj Slovenije. </w:t>
      </w:r>
    </w:p>
    <w:p w14:paraId="73243A76" w14:textId="77777777" w:rsidR="00D209B6" w:rsidRDefault="00D209B6" w:rsidP="00D209B6"/>
    <w:p w14:paraId="4FE3ABDD" w14:textId="77777777" w:rsidR="00D209B6" w:rsidRDefault="00D209B6" w:rsidP="00D209B6">
      <w:r>
        <w:t xml:space="preserve">Lani je bilo sklenjenih za blizu 200 milijonov evrov novih </w:t>
      </w:r>
      <w:proofErr w:type="gramStart"/>
      <w:r>
        <w:t>kreditov</w:t>
      </w:r>
      <w:proofErr w:type="gramEnd"/>
      <w:r>
        <w:t xml:space="preserve">, skupni kreditni portfelj pa je znašal približno 1,5 milijarde evrov in se je skladno s splošnim upadom povpraševanja po podjetniških posojilih v slovenskem bančnem sistemu v primerjavi z letom prej znižal. Bilančna vsota SID banke je konec leta 2024 znašala 2,7 milijarde evrov, kar je 1,5 odstotka več kot leto prej. </w:t>
      </w:r>
    </w:p>
    <w:p w14:paraId="6C4525CF" w14:textId="77777777" w:rsidR="00D209B6" w:rsidRDefault="00D209B6" w:rsidP="00D209B6"/>
    <w:p w14:paraId="33C85EF3" w14:textId="77777777" w:rsidR="00D209B6" w:rsidRDefault="00D209B6" w:rsidP="00D209B6">
      <w:r>
        <w:t xml:space="preserve">Delovanje SID banke je v letu 2024 po metodi makroekonomskih multiplikatorjev v </w:t>
      </w:r>
      <w:proofErr w:type="gramStart"/>
      <w:r>
        <w:t>slovenskemu</w:t>
      </w:r>
      <w:proofErr w:type="gramEnd"/>
      <w:r>
        <w:t xml:space="preserve"> gospodarstvu prispevalo k dodatnima približno dvema milijardama evrov prodaje, 0,8 milijarde evrov bruto domačega proizvoda, milijardi evrov izvoza in ohranitvi ali nastanku okoli 4900 delovnih mest. </w:t>
      </w:r>
    </w:p>
    <w:p w14:paraId="06D69D87" w14:textId="28EF67B8" w:rsidR="00B34045" w:rsidRDefault="00D209B6" w:rsidP="00D209B6">
      <w:pPr>
        <w:pStyle w:val="Vir"/>
      </w:pPr>
      <w:r>
        <w:t>Vir: Ministrstvo za finance</w:t>
      </w:r>
    </w:p>
    <w:p w14:paraId="1BD96DFD" w14:textId="60BA1706" w:rsidR="00483F02" w:rsidRDefault="00483F02" w:rsidP="00483F02">
      <w:pPr>
        <w:pStyle w:val="Naslov2"/>
      </w:pPr>
      <w:r>
        <w:t>Poročilo o mednarodnem razvojnem sodelovanju Republike Slovenije za leto 2024</w:t>
      </w:r>
    </w:p>
    <w:p w14:paraId="37C55113" w14:textId="0C9288C0" w:rsidR="00483F02" w:rsidRDefault="00483F02" w:rsidP="00483F02">
      <w:r>
        <w:t xml:space="preserve">Vlada Republike Slovenije je sprejela Poročilo o mednarodnem razvojnem sodelovanju Republike Slovenije za leto 2024 in ga poslala v seznanitev Državnemu zboru. Obseg sredstev za uradno razvojno pomoč Slovenije je v letu 2024 znašal 152,81 </w:t>
      </w:r>
      <w:proofErr w:type="gramStart"/>
      <w:r>
        <w:t>milijonov</w:t>
      </w:r>
      <w:proofErr w:type="gramEnd"/>
      <w:r>
        <w:t xml:space="preserve"> evrov, kar predstavlja 0,23 odstotka bruto nacionalnega dohodka (BND). Nominalno se je obseg v letu 2024 glede na leto prej povečal za 0,08 odstotka, v deležu BND za uradno razvojno pomoč pa znižal za 0,01 odstotne točke, z 0,24 na 0,23 odstotka. </w:t>
      </w:r>
    </w:p>
    <w:p w14:paraId="27C41C4C" w14:textId="77777777" w:rsidR="00483F02" w:rsidRDefault="00483F02" w:rsidP="00483F02"/>
    <w:p w14:paraId="297E53A5" w14:textId="77777777" w:rsidR="00483F02" w:rsidRDefault="00483F02" w:rsidP="00483F02">
      <w:r>
        <w:t xml:space="preserve">Večstranska uradna razvojna pomoč je znašala 101,45 milijona evrov ali 66,4 </w:t>
      </w:r>
      <w:proofErr w:type="gramStart"/>
      <w:r>
        <w:t>odstotkov</w:t>
      </w:r>
      <w:proofErr w:type="gramEnd"/>
      <w:r>
        <w:t xml:space="preserve">, za 13 milijona evrov več kot v letu 2023, in se je izvajala predvsem preko Evropske unije (EU), sistema </w:t>
      </w:r>
      <w:r>
        <w:lastRenderedPageBreak/>
        <w:t>Organizacije združenih narodov in Skupine Svetovne banke. Dvostranska razvojna pomoč je predstavljala 51,36 milijona evrov ali 33,6 odstotka, kar je 12,91 milijona evrov manj kot v letu 2023 – predvsem zaradi omejenega poročanja stroškov oskrbe ukrajinskih beguncev in znižanja vsote oprostitev šolnin – in je vsebovala 32,12 milijona evrov ali 62,6 odstotka razvojne pomoči v ožjem pomenu, 14,39 milijona evrov ali 28 odstotkov humanitarne pomoči in 4,85 milijona evrov ali 9,4 odstotka administrativnih stroškov.</w:t>
      </w:r>
    </w:p>
    <w:p w14:paraId="6E5BB815" w14:textId="77777777" w:rsidR="00483F02" w:rsidRDefault="00483F02" w:rsidP="00483F02"/>
    <w:p w14:paraId="4FB1E0FC" w14:textId="77777777" w:rsidR="00483F02" w:rsidRDefault="00483F02" w:rsidP="00483F02">
      <w:r>
        <w:t xml:space="preserve">Največji delež dvostranske razvojne pomoči v ožjem pomenu je bil namenjen področju izobraževanja, in sicer predvsem preko šolanja in študija državljanov partnerskih držav v Sloveniji, drugi največji delež dosega pomoč projektne narave, tretji pripada namenskim prispevkom preko mednarodnih organizacij, medtem ko na četrtem mestu sledi delež namenjen oskrbi beguncev in migrantov. </w:t>
      </w:r>
    </w:p>
    <w:p w14:paraId="7610F7FD" w14:textId="77777777" w:rsidR="00483F02" w:rsidRDefault="00483F02" w:rsidP="00483F02">
      <w:r>
        <w:t xml:space="preserve">Slovenija je v letu 2024 ohranila hitro in fleksibilno odzivanje na dodatne potrebe, ki so nastale zaradi novih kriz (zlasti posledic zaostrovanja vojne v Ukrajini in posledične prehranske krize, naravnih nesreč ter </w:t>
      </w:r>
      <w:proofErr w:type="gramStart"/>
      <w:r>
        <w:t>konflikta</w:t>
      </w:r>
      <w:proofErr w:type="gramEnd"/>
      <w:r>
        <w:t xml:space="preserve"> v Gazi in zaostrovanja že obstoječih humanitarnih kriz). </w:t>
      </w:r>
    </w:p>
    <w:p w14:paraId="040699F4" w14:textId="77777777" w:rsidR="00483F02" w:rsidRDefault="00483F02" w:rsidP="00483F02">
      <w:r>
        <w:t xml:space="preserve">Obseg dvostranske humanitarne pomoči je v letu 2024 znašal 14,39 milijona evrov, od tega 7,9 odstotka za </w:t>
      </w:r>
      <w:proofErr w:type="gramStart"/>
      <w:r>
        <w:t>aktivnosti</w:t>
      </w:r>
      <w:proofErr w:type="gramEnd"/>
      <w:r>
        <w:t xml:space="preserve"> za zmanjšanje ranljivosti in tveganja za krize, preventivno delovanje ter krepitev odpornosti. Humanitarna pomoč je tudi v 2024 glede na leto 2023 zrasla, in sicer za skoraj 1 odstotek. Največji delež humanitarne pomoči (68 odstotkov) je bil namenjen nujni pomoči.</w:t>
      </w:r>
    </w:p>
    <w:p w14:paraId="0C4CCEA1" w14:textId="77777777" w:rsidR="00483F02" w:rsidRDefault="00483F02" w:rsidP="00483F02">
      <w:r>
        <w:t xml:space="preserve">Slovenija je v letu 2024 največji delež, tj. 46,7 odstotka razpoložljive dvostranske razvojne pomoči, namenila državam Zahodnega Balkana (največ Severni Makedoniji, Bosni in Hercegovini in Srbiji). Državam Evropskega sosedstva je namenila 25,7 odstotka dvostranske razvojne pomoči, državam Podsaharske Afrike pa 7,7 odstotka. Poleg tega je Slovenija 17,3 odstotka razpoložljive dvostranske razvojne pomoči v kategoriji regionalnih </w:t>
      </w:r>
      <w:proofErr w:type="gramStart"/>
      <w:r>
        <w:t>aktivnosti</w:t>
      </w:r>
      <w:proofErr w:type="gramEnd"/>
      <w:r>
        <w:t xml:space="preserve"> in aktivnosti v državi donatorici namenila državam v razvoju (največji del predstavljajo stroški oskrbe beguncev) ter 2,7 odstotka ostalim državam.</w:t>
      </w:r>
    </w:p>
    <w:p w14:paraId="4D1A77E2" w14:textId="7F5642BB" w:rsidR="00B34045" w:rsidRDefault="00483F02" w:rsidP="00483F02">
      <w:pPr>
        <w:pStyle w:val="Vir"/>
      </w:pPr>
      <w:r>
        <w:t>Vir: Ministrstvo za zunanje in evropske zadeve</w:t>
      </w:r>
    </w:p>
    <w:p w14:paraId="7B245B58" w14:textId="21DBEE1C" w:rsidR="00D209B6" w:rsidRDefault="00D209B6" w:rsidP="00D209B6">
      <w:pPr>
        <w:pStyle w:val="Naslov2"/>
      </w:pPr>
      <w:r>
        <w:t>Vlada o stališčih Slovenije glede podpisov protokolov Evropske unije z davčnega področja</w:t>
      </w:r>
    </w:p>
    <w:p w14:paraId="3F5DB02B" w14:textId="77777777" w:rsidR="00D209B6" w:rsidRDefault="00D209B6" w:rsidP="00D209B6">
      <w:r>
        <w:t xml:space="preserve">Vlada je danes sprejela predlog stališča Slovenije glede predloga sklepa Sveta Evropske unije o podpisu več protokolov o spremembi sporazumov med Evropsko unijo in več državami o </w:t>
      </w:r>
      <w:proofErr w:type="gramStart"/>
      <w:r>
        <w:t>avtomatični</w:t>
      </w:r>
      <w:proofErr w:type="gramEnd"/>
      <w:r>
        <w:t xml:space="preserve"> izmenjavi podatkov o finančnih računih za izboljšanje spoštovanja davčnih predpisov na mednarodni ravni. Unija bo protokole podpisala s San Marinom, Monakom, Lihtenštajnom, Andoro in Švico. Slovenija predloge podpira.</w:t>
      </w:r>
    </w:p>
    <w:p w14:paraId="083C2C41" w14:textId="77777777" w:rsidR="00D209B6" w:rsidRDefault="00D209B6" w:rsidP="00D209B6"/>
    <w:p w14:paraId="077A69CC" w14:textId="77777777" w:rsidR="00D209B6" w:rsidRDefault="00D209B6" w:rsidP="00D209B6">
      <w:r>
        <w:t xml:space="preserve">Sporazumi zagotavljajo pravno podlago za vzajemno </w:t>
      </w:r>
      <w:proofErr w:type="gramStart"/>
      <w:r>
        <w:t>avtomatično</w:t>
      </w:r>
      <w:proofErr w:type="gramEnd"/>
      <w:r>
        <w:t xml:space="preserve"> izmenjavo podatkov o finančnih računih med državami članicami Evropske unije in omenjenimi državami v skladu z enotnim standardom poročanja, ki ga je razvila Organizacija za gospodarsko sodelovanje in razvoj. Isti standard se uporablja v Evropski uniji na podlagi evropske </w:t>
      </w:r>
      <w:proofErr w:type="gramStart"/>
      <w:r>
        <w:t>direktive</w:t>
      </w:r>
      <w:proofErr w:type="gramEnd"/>
      <w:r>
        <w:t xml:space="preserve"> o upravnem sodelovanju (DAC). </w:t>
      </w:r>
    </w:p>
    <w:p w14:paraId="7E3962B7" w14:textId="77777777" w:rsidR="00D209B6" w:rsidRDefault="00D209B6" w:rsidP="00D209B6"/>
    <w:p w14:paraId="7A8CFBBD" w14:textId="77777777" w:rsidR="00D209B6" w:rsidRDefault="00D209B6" w:rsidP="00D209B6">
      <w:r>
        <w:t xml:space="preserve">Zaradi pomembnih sprememb enotnega standarda poročanja na mednarodni ravni, ki </w:t>
      </w:r>
      <w:proofErr w:type="gramStart"/>
      <w:r>
        <w:t xml:space="preserve">so  </w:t>
      </w:r>
      <w:proofErr w:type="gramEnd"/>
      <w:r>
        <w:t>bile odobrene 26. avgusta 2022, uporabljati pa se bodo začele 1. januarja 2026, je Unija te spremembe že uvedla, in sicer z direktivo DAC8, uporabljale pa se bodo prav tako od 1. januarja 2026.</w:t>
      </w:r>
    </w:p>
    <w:p w14:paraId="0DA28C35" w14:textId="77777777" w:rsidR="00D209B6" w:rsidRDefault="00D209B6" w:rsidP="00D209B6"/>
    <w:p w14:paraId="2FE97B30" w14:textId="77777777" w:rsidR="00D209B6" w:rsidRDefault="00D209B6" w:rsidP="00D209B6">
      <w:r>
        <w:t xml:space="preserve">Spremembe razširjajo področje uporabe enotnega standarda poročanja, da se zagotovi vključitev produktov elektronskega denarja in centralnobančnih digitalnih </w:t>
      </w:r>
      <w:proofErr w:type="gramStart"/>
      <w:r>
        <w:t>valut</w:t>
      </w:r>
      <w:proofErr w:type="gramEnd"/>
      <w:r>
        <w:t>. Prav tako dodatno izboljšujejo postopke dolžne skrbnosti in rezultate poročanja, da bi se povečala uporabnost informacij na podlagi enotnega standarda poročanja za davčne uprave in omejilo breme za finančne institucije, kjer je to mogoče.</w:t>
      </w:r>
    </w:p>
    <w:p w14:paraId="2B27A12D" w14:textId="77777777" w:rsidR="00D209B6" w:rsidRDefault="00D209B6" w:rsidP="00D209B6"/>
    <w:p w14:paraId="2A5F12CA" w14:textId="77777777" w:rsidR="00D209B6" w:rsidRDefault="00D209B6" w:rsidP="00D209B6">
      <w:r>
        <w:t xml:space="preserve">Predvidene spremembe sporazumov zajemajo spremembe za zagotovitev, da se </w:t>
      </w:r>
      <w:proofErr w:type="gramStart"/>
      <w:r>
        <w:t>avtomatične</w:t>
      </w:r>
      <w:proofErr w:type="gramEnd"/>
      <w:r>
        <w:t xml:space="preserve"> izmenjave podatkov o finančnih računih med članicami Unije in omenjenimi državami v okviru </w:t>
      </w:r>
      <w:r>
        <w:lastRenderedPageBreak/>
        <w:t>obstoječih sporazumov uskladijo in še naprej potekajo v skladu s posodobljenim enotnim standardom poročanja od 1. januarja 2026.</w:t>
      </w:r>
    </w:p>
    <w:p w14:paraId="5D85BA78" w14:textId="1C60A840" w:rsidR="00B34045" w:rsidRDefault="00D209B6" w:rsidP="00D209B6">
      <w:pPr>
        <w:pStyle w:val="Vir"/>
      </w:pPr>
      <w:r>
        <w:t>Vir: Ministrstvo za finance</w:t>
      </w:r>
    </w:p>
    <w:p w14:paraId="5DB4FF8A" w14:textId="0BE42686" w:rsidR="009E161F" w:rsidRDefault="009E161F" w:rsidP="009E161F">
      <w:pPr>
        <w:pStyle w:val="Naslov2"/>
      </w:pPr>
      <w:r>
        <w:t xml:space="preserve">Vlada podpira predlog Evropskega parlamenta in Sveta o spremembi evropske </w:t>
      </w:r>
      <w:proofErr w:type="gramStart"/>
      <w:r>
        <w:t>direktive</w:t>
      </w:r>
      <w:proofErr w:type="gramEnd"/>
      <w:r>
        <w:t xml:space="preserve"> in uredbe glede digitalizacije in skupnih specifikacij</w:t>
      </w:r>
    </w:p>
    <w:p w14:paraId="65C9389E" w14:textId="77777777" w:rsidR="009E161F" w:rsidRDefault="009E161F" w:rsidP="009E161F">
      <w:r>
        <w:t xml:space="preserve">Evropska komisija je v svojem sporočilu z naslovom “Dolgoročna konkurenčnost EU: pogled v obdobje po letu 2030“ poudarila pomen zakonodajnega sistema, ki zagotavlja doseganje ciljev z minimalnimi stroški. V okviru zaveze za zmanjšanje regulativnega in upravnega bremena za podjetja (četrti sveženj omnibus) je pripravila predlog direktive in uredbe, ki uvajata digitalizacijo zakonodajnih obveznosti za gospodarske subjekte ter skupne specifikacije, kot alternativno možnost izpolnjevanja zakonodajnih zahtev, kadar </w:t>
      </w:r>
      <w:proofErr w:type="gramStart"/>
      <w:r>
        <w:t>harmoniziranih standardov ni na voljo</w:t>
      </w:r>
      <w:proofErr w:type="gramEnd"/>
      <w:r>
        <w:t>.</w:t>
      </w:r>
    </w:p>
    <w:p w14:paraId="738DEFA5" w14:textId="77777777" w:rsidR="009E161F" w:rsidRDefault="009E161F" w:rsidP="009E161F"/>
    <w:p w14:paraId="272F7C83" w14:textId="77777777" w:rsidR="009E161F" w:rsidRDefault="009E161F" w:rsidP="009E161F">
      <w:r>
        <w:t>S predlogom o spremembi evropske direktive in uredbe</w:t>
      </w:r>
      <w:proofErr w:type="gramStart"/>
      <w:r>
        <w:t>,</w:t>
      </w:r>
      <w:proofErr w:type="gramEnd"/>
      <w:r>
        <w:t xml:space="preserve"> bi prišlo do spremembe trinajstih direktiv, ki se nanašajo na emisije hrupa v okolje, nevarne snovi v električni in elektronski opremi, plovila za rekreacijo, enostavne tlačne posode, elektromagnetno združljivost, </w:t>
      </w:r>
      <w:proofErr w:type="spellStart"/>
      <w:r>
        <w:t>neavtomatske</w:t>
      </w:r>
      <w:proofErr w:type="spellEnd"/>
      <w:r>
        <w:t xml:space="preserve"> tehtnice, merilne instrumente, dvigala, opremo za uporabo v potencialno eksplozivnih atmosferah, električno opremo znotraj določenih napetostnih mej, radijsko opremo, tlačno opremo ter pomorsko opremo. Prav tako</w:t>
      </w:r>
      <w:proofErr w:type="gramStart"/>
      <w:r>
        <w:t>,</w:t>
      </w:r>
      <w:proofErr w:type="gramEnd"/>
      <w:r>
        <w:t xml:space="preserve"> bi prišlo do spremembe sedmih uredb, ki se nanašajo na akreditacijo, žičniške naprave, osebno varovalno opremo, naprave na plinasta goriva, stroje, baterije in odpadne baterije ter okoljsko primerno zasnovo trajnostnih izdelkov.</w:t>
      </w:r>
    </w:p>
    <w:p w14:paraId="63C872E6" w14:textId="77777777" w:rsidR="009E161F" w:rsidRDefault="009E161F" w:rsidP="009E161F"/>
    <w:p w14:paraId="1BECBC12" w14:textId="77777777" w:rsidR="009E161F" w:rsidRDefault="009E161F" w:rsidP="009E161F">
      <w:r>
        <w:t>Predlagana uredba in direktiva na horizontalen način uvajata potrebne ciljno usmerjene spremembe, ki prinašajo koristi za gospodarske subjekte</w:t>
      </w:r>
      <w:proofErr w:type="gramStart"/>
      <w:r>
        <w:t xml:space="preserve"> ter</w:t>
      </w:r>
      <w:proofErr w:type="gramEnd"/>
      <w:r>
        <w:t xml:space="preserve"> hkrati zagotavljajta večjo učinkovitost zakonodaje. Uredba in direktiva urejata pravno podlago za usklajenost s sodobnimi tehnologijami, potrošniškimi navadami in zelenimi cilji, zato bosta imeli pozitiven vpliv na gospodarske </w:t>
      </w:r>
      <w:proofErr w:type="gramStart"/>
      <w:r>
        <w:t>subjekte</w:t>
      </w:r>
      <w:proofErr w:type="gramEnd"/>
      <w:r>
        <w:t>.</w:t>
      </w:r>
    </w:p>
    <w:p w14:paraId="63F7C233" w14:textId="77777777" w:rsidR="009E161F" w:rsidRDefault="009E161F" w:rsidP="009E161F"/>
    <w:p w14:paraId="32E1F931" w14:textId="77777777" w:rsidR="009E161F" w:rsidRDefault="009E161F" w:rsidP="009E161F">
      <w:r>
        <w:t xml:space="preserve">Ob tem je treba opozoriti, da predlog uvedbe skupnih specifikacij vlada podpira le kot alternativno možnost izpolnjevanja zakonodajnih zahtev, če </w:t>
      </w:r>
      <w:proofErr w:type="gramStart"/>
      <w:r>
        <w:t>harmoniziranih standardov ni na voljo</w:t>
      </w:r>
      <w:proofErr w:type="gramEnd"/>
      <w:r>
        <w:t xml:space="preserve">. Na ta način skupne specifikacije zagotavljajo skladnost proizvodov na enotnem trgu. Opozoriti pa je </w:t>
      </w:r>
      <w:proofErr w:type="gramStart"/>
      <w:r>
        <w:t>potrebno</w:t>
      </w:r>
      <w:proofErr w:type="gramEnd"/>
      <w:r>
        <w:t xml:space="preserve"> tudi na upoštevanje mednarodnega vidika skupnih specifikacij, ker globalna konkurenčnost EU podjetij ne sme biti ogrožena.</w:t>
      </w:r>
    </w:p>
    <w:p w14:paraId="7EC68179" w14:textId="77777777" w:rsidR="009E161F" w:rsidRDefault="009E161F" w:rsidP="009E161F">
      <w:pPr>
        <w:pStyle w:val="Vir"/>
      </w:pPr>
      <w:r>
        <w:t>Vir: Ministrstvo za gospodarstvo, turizem in šport</w:t>
      </w:r>
    </w:p>
    <w:p w14:paraId="6559ADC7" w14:textId="3DFEC74F" w:rsidR="00270984" w:rsidRDefault="00270984" w:rsidP="00270984">
      <w:pPr>
        <w:pStyle w:val="Naslov2"/>
      </w:pPr>
      <w:r>
        <w:t>Stališče Slovenije do osnutka skupnega stališča EU za odprtje pogajalskega sklopa 5 (viri, kmetijstvo in kohezija) za Albanijo</w:t>
      </w:r>
    </w:p>
    <w:p w14:paraId="3C6CA307" w14:textId="77777777" w:rsidR="00270984" w:rsidRDefault="00270984" w:rsidP="00270984">
      <w:r>
        <w:t xml:space="preserve">Vlada Republike Slovenije soglaša z osnutkom skupnega stališča EU za odprtje pogajalskega sklopa 5 (viri, kmetijstvo in kohezija) za Albanijo, vključno s poglavji 11 (kmetijstvo in razvoj podeželja), 12 (prehranska varnost, veterina in </w:t>
      </w:r>
      <w:proofErr w:type="spellStart"/>
      <w:r>
        <w:t>fitosanitara</w:t>
      </w:r>
      <w:proofErr w:type="spellEnd"/>
      <w:r>
        <w:t>), 13 (ribištvo in akvakultura), 22 (regionalna politika in koordinacija strukturnih instrumentov) in 33 (finančne in proračunske določbe). Vlada RS predlaga, da gradivo obravnava pristojno delovno telo Državnega zbora RS.</w:t>
      </w:r>
    </w:p>
    <w:p w14:paraId="5B51A023" w14:textId="77777777" w:rsidR="00270984" w:rsidRDefault="00270984" w:rsidP="00270984"/>
    <w:p w14:paraId="2EB7276C" w14:textId="72525346" w:rsidR="00270984" w:rsidRDefault="00270984" w:rsidP="00270984">
      <w:r>
        <w:t xml:space="preserve">Albanija v svojem pogajalskem stališču AD 16/25 CONF-ALB 13 sprejema pravni red EU in ustrezne evropske standarde iz tega sklopa, vključno s poglavji 11, 12, 13, 22 in 33, kot so veljali 2. septembra 2025, ter izjavlja, da bo od dne pristopa pripravljena na izvajanje pravnega reda EU. Albanija ne zahteva odstopanja oz. prehodnih obdobij za izvajanje pravnega reda EU in ustreznih evropskih standardov iz tega sklopa, razen glede poglavja 11 na področju podpornih shem za kmetijstvo, razvoja podeželja, mehanizmov za trgovanje z vini, aromatiziranimi vini in žganimi pijačami, glede poglavja 12 na področju prehranske varnosti in fitosanitarne politike ter poglavja 33 in prispevkov v proračun EU. </w:t>
      </w:r>
      <w:r>
        <w:lastRenderedPageBreak/>
        <w:t xml:space="preserve">Komisija je seznanjena z načrtovanjem Albanije za sprejetje izvedbenih načrtov za posamezne uredbe/direktive in poudarja, da je to </w:t>
      </w:r>
      <w:proofErr w:type="gramStart"/>
      <w:r>
        <w:t>predpogoj</w:t>
      </w:r>
      <w:proofErr w:type="gramEnd"/>
      <w:r>
        <w:t xml:space="preserve"> za nadaljnje delo v zvezi s prehodnimi obdobji.</w:t>
      </w:r>
    </w:p>
    <w:p w14:paraId="521C90F3" w14:textId="4345662B" w:rsidR="00B34045" w:rsidRDefault="00270984" w:rsidP="00270984">
      <w:pPr>
        <w:pStyle w:val="Vir"/>
      </w:pPr>
      <w:r>
        <w:t>Vir: Ministrstvo za zunanje in evropske zadeve</w:t>
      </w:r>
    </w:p>
    <w:p w14:paraId="123C99FC" w14:textId="7ACA4CFB" w:rsidR="00D15B2F" w:rsidRDefault="00D15B2F" w:rsidP="00D15B2F">
      <w:pPr>
        <w:pStyle w:val="Naslov2"/>
      </w:pPr>
      <w:r>
        <w:t>Sodelovanje Slovenije pri ustanovitvi Evropskega konzorcija za digitalno infrastrukturo za agroživilstvo</w:t>
      </w:r>
    </w:p>
    <w:p w14:paraId="58F6808D" w14:textId="77777777" w:rsidR="00D15B2F" w:rsidRDefault="00D15B2F" w:rsidP="00D15B2F">
      <w:r>
        <w:t>Vlada se je seznanila z Informacijo o nameravanem sodelovanju Republike Slovenije pri ustanovitvi Evropskega konzorcija za digitalno infrastrukturo za agroživilstvo in z osnutkom Statuta Evropskega konzorcija za digitalno infrastrukturo za agroživilstvo.</w:t>
      </w:r>
    </w:p>
    <w:p w14:paraId="03AE7718" w14:textId="77777777" w:rsidR="00D15B2F" w:rsidRDefault="00D15B2F" w:rsidP="00D15B2F"/>
    <w:p w14:paraId="571B8D56" w14:textId="77777777" w:rsidR="00D15B2F" w:rsidRDefault="00D15B2F" w:rsidP="00D15B2F">
      <w:r>
        <w:t xml:space="preserve">Evropski konzorcij za digitalno infrastrukturo (EDIC) je eden od ključnih instrumentov za pospešitev digitalne </w:t>
      </w:r>
      <w:proofErr w:type="gramStart"/>
      <w:r>
        <w:t>transformacije</w:t>
      </w:r>
      <w:proofErr w:type="gramEnd"/>
      <w:r>
        <w:t xml:space="preserve">. Osredotočen je na praktično izvajanje in ima pomemben vpliv na sektorje. Obe ministrstvi, Ministrstvo za kmetijstvo, gozdarstvo in prehrano (MKGP) in Ministrstvo za digitalno preobrazbo (MDP), v celoti podpirata vizijo EDIC za agroživilstvo v digitalno okrepljenem evropskem kmetijskem in živilskem sektorju, v katerem kmetje, podjetja in oblikovalci politik nemoteno sodelujejo prek </w:t>
      </w:r>
      <w:proofErr w:type="gramStart"/>
      <w:r>
        <w:t>interoperabilnih</w:t>
      </w:r>
      <w:proofErr w:type="gramEnd"/>
      <w:r>
        <w:t xml:space="preserve"> digitalnih infrastruktur. Z uporabo izmenjave podatkov, pametnih tehnologij in umetne inteligence bo EDIC spodbujal trajnosten, konkurenčen in odporen kmetijsko-živilski ekosistem ter podpiral dvojni zeleni in digitalni prehod.</w:t>
      </w:r>
    </w:p>
    <w:p w14:paraId="570A103B" w14:textId="77777777" w:rsidR="00D15B2F" w:rsidRDefault="00D15B2F" w:rsidP="00D15B2F"/>
    <w:p w14:paraId="381D882B" w14:textId="77777777" w:rsidR="00D15B2F" w:rsidRDefault="00D15B2F" w:rsidP="00D15B2F">
      <w:r>
        <w:t xml:space="preserve">Države, ki so doslej izrazile interes za sodelovanje v EDIC za agroživilstvo, so: Francija, Hrvaška, Belgija, Italija, Romunija, Avstrija, Finska in Nizozemska. Slovenija je izrazila interes za sodelovanje v Evropskem konzorciju za digitalno infrastrukturo za agroživilstvo že v Nacionalnem strateškem časovnem načrtu za digitalno desetletje, ki ga je Vlada Republike Slovenije sprejela 9. novembra 2023, skladno z evropsko zakonodajo Evropskega parlamenta in Sveta o vzpostavitvi programa politike Digitalno desetletje do leta 2030. </w:t>
      </w:r>
    </w:p>
    <w:p w14:paraId="5FFDA034" w14:textId="77777777" w:rsidR="00D15B2F" w:rsidRDefault="00D15B2F" w:rsidP="00D15B2F"/>
    <w:p w14:paraId="1FF7C8C7" w14:textId="77777777" w:rsidR="00D15B2F" w:rsidRDefault="00D15B2F" w:rsidP="00D15B2F">
      <w:r>
        <w:t xml:space="preserve">Kot država opazovalka je MKGP v sodelovanju z MDP v okviru prioritetne naloge digitalizacije kmetijstva in podeželja v obdobju 2024/2025 pozorno spremljala vzpostavitev statuta in </w:t>
      </w:r>
      <w:proofErr w:type="spellStart"/>
      <w:r>
        <w:t>večdržavnega</w:t>
      </w:r>
      <w:proofErr w:type="spellEnd"/>
      <w:r>
        <w:t xml:space="preserve"> projekta, katerega cilj je podpreti digitalno preobrazbo evropskega agroživilskega sektorja in sodelovanje s ključnimi deležniki v Sloveniji. </w:t>
      </w:r>
      <w:proofErr w:type="gramStart"/>
      <w:r>
        <w:t>Resorno</w:t>
      </w:r>
      <w:proofErr w:type="gramEnd"/>
      <w:r>
        <w:t xml:space="preserve"> ministrstvo, v sodelovanju z MDP, je prepoznalo prednosti in priložnosti za Slovenijo.  </w:t>
      </w:r>
    </w:p>
    <w:p w14:paraId="7FDE449E" w14:textId="77777777" w:rsidR="00D15B2F" w:rsidRDefault="00D15B2F" w:rsidP="00D15B2F">
      <w:r>
        <w:t xml:space="preserve">Kot ustanovna članica konzorcija bo Slovenija s sodelovanjem v </w:t>
      </w:r>
      <w:proofErr w:type="spellStart"/>
      <w:r>
        <w:t>večdržavnem</w:t>
      </w:r>
      <w:proofErr w:type="spellEnd"/>
      <w:r>
        <w:t xml:space="preserve"> projektu omogočila agroživilskemu sektorju dostop do naprednih digitalnih rešitev in s tem prispevala k več digitalnim ciljem, vključno z izboljšanjem podatkovne </w:t>
      </w:r>
      <w:proofErr w:type="gramStart"/>
      <w:r>
        <w:t>interoperabilnosti</w:t>
      </w:r>
      <w:proofErr w:type="gramEnd"/>
      <w:r>
        <w:t>, trajnostnim kmetijstvom in razvojem digitalnih storitev za prehransko varnost.</w:t>
      </w:r>
    </w:p>
    <w:p w14:paraId="0CFB68CC" w14:textId="77777777" w:rsidR="00D15B2F" w:rsidRDefault="00D15B2F" w:rsidP="00D15B2F">
      <w:r>
        <w:t xml:space="preserve">V skladu s 14. členom Sklepa Evropskega parlamenta in Sveta bo Francija kot država gostiteljica zaprosila Evropsko komisijo za ustanovitev konzorcija, ki bo izvajal </w:t>
      </w:r>
      <w:proofErr w:type="spellStart"/>
      <w:r>
        <w:t>večdržavni</w:t>
      </w:r>
      <w:proofErr w:type="spellEnd"/>
      <w:r>
        <w:t xml:space="preserve"> projekt. Pričakovani učinek je, da bodo kmetijski pridelovalci, mala in srednja podjetja ter prehranska industrija hitreje in z nižjimi stroški vzpostavili digitalno podatkovno infrastrukturo, izboljšali sledljivost in </w:t>
      </w:r>
      <w:proofErr w:type="gramStart"/>
      <w:r>
        <w:t>transparentnost</w:t>
      </w:r>
      <w:proofErr w:type="gramEnd"/>
      <w:r>
        <w:t xml:space="preserve"> prehranske verige ter državljanom in podjetjem Evrope omogočili dostop do inovativnih digitalnih storitev v agroživilstvu. S podpisno izjavo Slovenija potrjuje svojo podporo in vlogo pri ustanovitvi konzorcija.</w:t>
      </w:r>
    </w:p>
    <w:p w14:paraId="592456DD" w14:textId="23F01647" w:rsidR="00B34045" w:rsidRDefault="00D15B2F" w:rsidP="00D15B2F">
      <w:pPr>
        <w:pStyle w:val="Vir"/>
      </w:pPr>
      <w:r>
        <w:t>Vir: Ministrstvo za kmetijstvo, gozdarstvo in prehrano</w:t>
      </w:r>
    </w:p>
    <w:p w14:paraId="39D76429" w14:textId="65C83AAD" w:rsidR="00F31E41" w:rsidRDefault="00F31E41" w:rsidP="00F31E41">
      <w:pPr>
        <w:pStyle w:val="Naslov2"/>
      </w:pPr>
      <w:r>
        <w:t xml:space="preserve">S Sporazumom med Slovenijo in Vlado Hrvaško o graditvi, upravljanju in vzdrževanju obstoječih premostitvenih objektov na državni meji do bolj </w:t>
      </w:r>
      <w:proofErr w:type="gramStart"/>
      <w:r>
        <w:t>kvalitetnega</w:t>
      </w:r>
      <w:proofErr w:type="gramEnd"/>
      <w:r>
        <w:t xml:space="preserve"> življenja prebivalcev v obmejnem območju</w:t>
      </w:r>
    </w:p>
    <w:p w14:paraId="4CFCD03F" w14:textId="77777777" w:rsidR="00F31E41" w:rsidRDefault="00F31E41" w:rsidP="00F31E41">
      <w:r>
        <w:t xml:space="preserve">Vlada Republike Slovenije je določila besedilo Predloga zakona o ratifikaciji Sporazuma med Vlado Republike Slovenije in Vlado Republike Hrvaške o graditvi, upravljanju in vzdrževanju obstoječih </w:t>
      </w:r>
      <w:r>
        <w:lastRenderedPageBreak/>
        <w:t>premostitvenih objektov na državni meji, podpisanega v Vinici 23. junija 2025, in ga predložila Državnemu zboru Republike Slovenije.</w:t>
      </w:r>
    </w:p>
    <w:p w14:paraId="19CDD57C" w14:textId="77777777" w:rsidR="00F31E41" w:rsidRDefault="00F31E41" w:rsidP="00F31E41"/>
    <w:p w14:paraId="0883AC4C" w14:textId="4C477F71" w:rsidR="00F31E41" w:rsidRDefault="00F31E41" w:rsidP="00F31E41">
      <w:r>
        <w:t xml:space="preserve">Sporazum med Vlado Republike Slovenije in Vlado Republike Hrvaške o graditvi, upravljanju in vzdrževanju obstoječih premostitvenih objektov na državni meji se nanaša na 23 premostitvenih objektov in bo omogočil obnovo ter vzdrževanje teh premostitvenih objektov, ki so v večini že v zelo slabem stanju. S tem se bo izboljšala </w:t>
      </w:r>
      <w:proofErr w:type="gramStart"/>
      <w:r>
        <w:t>kvaliteta</w:t>
      </w:r>
      <w:proofErr w:type="gramEnd"/>
      <w:r>
        <w:t xml:space="preserve"> življenja državljanov obeh držav v obmejnem območju, prav tako se bo izboljšala varnost prometa na omenjenem območju.</w:t>
      </w:r>
    </w:p>
    <w:p w14:paraId="4C62EFB7" w14:textId="3E75A691" w:rsidR="00B34045" w:rsidRDefault="00F31E41" w:rsidP="00F31E41">
      <w:pPr>
        <w:pStyle w:val="Vir"/>
      </w:pPr>
      <w:r>
        <w:t>Vir: Ministrstvo za zunanje in evropske zadeve</w:t>
      </w:r>
    </w:p>
    <w:p w14:paraId="0FED1572" w14:textId="4C7B11EA" w:rsidR="0029616F" w:rsidRDefault="0029616F" w:rsidP="0029616F">
      <w:pPr>
        <w:pStyle w:val="Naslov2"/>
      </w:pPr>
      <w:r>
        <w:t>Sklep o potrditvi Dodatka št. 2 k Dogovoru o partnerstvu na področju komunikacij in informacij v zvezi z varnostnimi standardi CIS</w:t>
      </w:r>
    </w:p>
    <w:p w14:paraId="155C701D" w14:textId="6F28133B" w:rsidR="0029616F" w:rsidRDefault="0029616F" w:rsidP="0029616F">
      <w:r>
        <w:t>Vlada Republike Slovenije je potrdila Dodatek št. 2 k Dogovoru o partnerstvu na področju komunikacij in informacij v zvezi z varnostnimi standardi CIS.</w:t>
      </w:r>
    </w:p>
    <w:p w14:paraId="3248C7E6" w14:textId="77777777" w:rsidR="0029616F" w:rsidRDefault="0029616F" w:rsidP="0029616F"/>
    <w:p w14:paraId="1645B6C5" w14:textId="3A177DFB" w:rsidR="0029616F" w:rsidRDefault="0029616F" w:rsidP="0029616F">
      <w:r>
        <w:t>S podpisom tega dodatka 21. septembra 2023 je Republika Slovenija postala polnopravna članica NATO partnerstva na področju komunikacij in informacij v zvezi z varnostnimi standardi CIS (</w:t>
      </w:r>
      <w:proofErr w:type="spellStart"/>
      <w:r>
        <w:t>Communication</w:t>
      </w:r>
      <w:proofErr w:type="spellEnd"/>
      <w:r>
        <w:t xml:space="preserve"> </w:t>
      </w:r>
      <w:proofErr w:type="gramStart"/>
      <w:r>
        <w:t>and</w:t>
      </w:r>
      <w:proofErr w:type="gramEnd"/>
      <w:r>
        <w:t xml:space="preserve"> </w:t>
      </w:r>
      <w:proofErr w:type="spellStart"/>
      <w:r>
        <w:t>Information</w:t>
      </w:r>
      <w:proofErr w:type="spellEnd"/>
      <w:r>
        <w:t xml:space="preserve"> Systems </w:t>
      </w:r>
      <w:proofErr w:type="spellStart"/>
      <w:r>
        <w:t>Security</w:t>
      </w:r>
      <w:proofErr w:type="spellEnd"/>
      <w:r>
        <w:t xml:space="preserve"> </w:t>
      </w:r>
      <w:proofErr w:type="spellStart"/>
      <w:r>
        <w:t>Standards</w:t>
      </w:r>
      <w:proofErr w:type="spellEnd"/>
      <w:r>
        <w:t xml:space="preserve"> (CIS3) Communications and </w:t>
      </w:r>
      <w:proofErr w:type="spellStart"/>
      <w:r>
        <w:t>Information</w:t>
      </w:r>
      <w:proofErr w:type="spellEnd"/>
      <w:r>
        <w:t xml:space="preserve"> Partnership (C&amp;I)). </w:t>
      </w:r>
    </w:p>
    <w:p w14:paraId="2C59AECB" w14:textId="77777777" w:rsidR="0029616F" w:rsidRDefault="0029616F" w:rsidP="0029616F"/>
    <w:p w14:paraId="4705DE8F" w14:textId="2D29817F" w:rsidR="00B34045" w:rsidRDefault="0029616F" w:rsidP="0029616F">
      <w:r>
        <w:t>Vir: Ministrstvo za zunanje in evropske zadeve</w:t>
      </w:r>
    </w:p>
    <w:p w14:paraId="4737E22D" w14:textId="77777777" w:rsidR="00B34045" w:rsidRDefault="00B34045" w:rsidP="00B34045">
      <w:r>
        <w:t xml:space="preserve"> </w:t>
      </w:r>
    </w:p>
    <w:p w14:paraId="0651A6D4" w14:textId="0A6495CA" w:rsidR="004C1ED0" w:rsidRDefault="004C1ED0" w:rsidP="004C1ED0">
      <w:pPr>
        <w:pStyle w:val="Naslov2"/>
      </w:pPr>
      <w:r>
        <w:t>Vlada o upravnem sporazumu med Ministrstvom za kulturo Republike Slovenije in Ministrstvom za kulturo Kraljevine Španije</w:t>
      </w:r>
    </w:p>
    <w:p w14:paraId="0579C320" w14:textId="77777777" w:rsidR="004C1ED0" w:rsidRDefault="004C1ED0" w:rsidP="004C1ED0">
      <w:r>
        <w:t>Vlada RS se je na današnji seji seznanila z Informacijo o nameravanem podpisu Upravnega sporazuma med Ministrstvom za kulturo Republike Slovenije in Ministrstvom za kulturo Kraljevine Španije o sodelovanju na področju kulture.</w:t>
      </w:r>
    </w:p>
    <w:p w14:paraId="0E8D0A8B" w14:textId="77777777" w:rsidR="004C1ED0" w:rsidRDefault="004C1ED0" w:rsidP="004C1ED0"/>
    <w:p w14:paraId="2B3F4744" w14:textId="14FB7A3C" w:rsidR="004C1ED0" w:rsidRDefault="004C1ED0" w:rsidP="004C1ED0">
      <w:r>
        <w:t>Sporazum predvideva krepitev dvostranskega sodelovanja na širokem spektru kulturnih področij, od knjižnega sektorja, arhivov, muzejev in kulturne dediščine do vizualne in uprizoritvene umetnosti, glasbe, filma ter kulturnega in ustvarjalnega sektorja. Posebna pozornost je namenjena tudi kulturnim izmenjavam in rezidencam, zaščiti kulturnih pravic, vprašanjem intelektualne lastnine in umetne inteligence v kulturi.</w:t>
      </w:r>
    </w:p>
    <w:p w14:paraId="75DEEC3A" w14:textId="77777777" w:rsidR="004C1ED0" w:rsidRDefault="004C1ED0" w:rsidP="004C1ED0"/>
    <w:p w14:paraId="359DCEBA" w14:textId="53DA398E" w:rsidR="004C1ED0" w:rsidRDefault="004C1ED0" w:rsidP="004C1ED0">
      <w:r>
        <w:t>Sporazum poudarja pomen kulturnih pravic in spodbujanje kulturne raznolikosti v skladu z mednarodnimi standardi ter povezuje sodelovanje z globalnimi cilji trajnostnega razvoja. Obe državi se zavzemata, da bi bila kultura v obdobju po Agendi 2030 priznana kot samostojen steber trajnostnega razvoja in razumljena kot javno dobro.</w:t>
      </w:r>
    </w:p>
    <w:p w14:paraId="5C76BFB6" w14:textId="77777777" w:rsidR="004C1ED0" w:rsidRDefault="004C1ED0" w:rsidP="004C1ED0"/>
    <w:p w14:paraId="021072F1" w14:textId="04195FA4" w:rsidR="004C1ED0" w:rsidRDefault="004C1ED0" w:rsidP="004C1ED0">
      <w:r>
        <w:t xml:space="preserve">Podpis sporazuma je načrtovan na Svetovni konferenci UNESCO o kulturnih politikah in trajnostnem razvoju </w:t>
      </w:r>
      <w:proofErr w:type="spellStart"/>
      <w:r>
        <w:t>Mondiacult</w:t>
      </w:r>
      <w:proofErr w:type="spellEnd"/>
      <w:r>
        <w:t xml:space="preserve"> 2025, ki bo od 28. do 30. septembra v Barceloni.</w:t>
      </w:r>
    </w:p>
    <w:p w14:paraId="2260456D" w14:textId="4C1631F6" w:rsidR="00B34045" w:rsidRDefault="004C1ED0" w:rsidP="004C1ED0">
      <w:pPr>
        <w:pStyle w:val="Vir"/>
      </w:pPr>
      <w:r>
        <w:t>Vir: Ministrstvo za kulturo</w:t>
      </w:r>
    </w:p>
    <w:p w14:paraId="001B79BB" w14:textId="3CF9DA6E" w:rsidR="00BF379E" w:rsidRDefault="00BF379E" w:rsidP="00BF379E">
      <w:pPr>
        <w:pStyle w:val="Naslov2"/>
      </w:pPr>
      <w:r>
        <w:t>Vlada potrdila predloga državnih proračunov za 2026 in 2027</w:t>
      </w:r>
    </w:p>
    <w:p w14:paraId="2695C2BB" w14:textId="59C48CCE" w:rsidR="00BF379E" w:rsidRDefault="00BF379E" w:rsidP="00BF379E">
      <w:r>
        <w:t>Vlada je danes potrdila predlog sprememb državnega proračuna za leto 2026 in predlog državnega proračuna za leto 2027</w:t>
      </w:r>
      <w:r w:rsidR="008F1CF6">
        <w:t>,</w:t>
      </w:r>
      <w:r>
        <w:t xml:space="preserve"> skupaj s spremljajočimi proračunskimi dokumenti. Med prioritetami ostajajo področja znanosti, stanovanjske politike, gospodarskega razvoja in odpornosti ter varnosti. </w:t>
      </w:r>
    </w:p>
    <w:p w14:paraId="5A5C34D5" w14:textId="77777777" w:rsidR="00BF379E" w:rsidRDefault="00BF379E" w:rsidP="00BF379E"/>
    <w:p w14:paraId="1E63B25D" w14:textId="77777777" w:rsidR="00BF379E" w:rsidRDefault="00BF379E" w:rsidP="00BF379E">
      <w:r>
        <w:lastRenderedPageBreak/>
        <w:t>Vlada je usklajevanjem proračunov posvetila veliko časa, tudi v luči pomembnih sistemskih sprememb, ki jih izvaja oziroma pripravlja na področjih prenove plačnega sistema, dolgotrajne oskrbe, zdravstva, pokojninske reforme in obrambnih izdatkov. Gre za velike spremembe, ki vplivajo tudi na načrtovanje in izvajanje proračunov.</w:t>
      </w:r>
    </w:p>
    <w:p w14:paraId="71BE4B3C" w14:textId="77777777" w:rsidR="00BF379E" w:rsidRDefault="00BF379E" w:rsidP="00BF379E"/>
    <w:p w14:paraId="2C593881" w14:textId="77777777" w:rsidR="00BF379E" w:rsidRDefault="00BF379E" w:rsidP="00BF379E">
      <w:r>
        <w:t xml:space="preserve">Pri pripravi proračunskih dokumentov je vlada kot izhodišče upoštevala tudi Srednjeročni </w:t>
      </w:r>
      <w:proofErr w:type="gramStart"/>
      <w:r>
        <w:t>fiskalno</w:t>
      </w:r>
      <w:proofErr w:type="gramEnd"/>
      <w:r>
        <w:t xml:space="preserve">-strukturni načrt Republike Slovenije 2025-2028, jesensko gospodarsko napoved Urada Republike Slovenije za makroekonomske analize in razvoj ter predvideno izvajanje Načrta za okrevanje in odpornost, evropske kohezijske politike v okviru večletnega finančnega okvira za obdobje 2021-2027 in črpanje drugih evropskih sredstev. </w:t>
      </w:r>
    </w:p>
    <w:p w14:paraId="75D98281" w14:textId="77777777" w:rsidR="00BF379E" w:rsidRDefault="00BF379E" w:rsidP="00BF379E"/>
    <w:p w14:paraId="3470804E" w14:textId="77777777" w:rsidR="00BF379E" w:rsidRDefault="00BF379E" w:rsidP="00BF379E">
      <w:r>
        <w:t xml:space="preserve">V letih 2026 in 2027 v ospredju ostajajo ukrepi, namenjeni krepitvi znanosti, zagotavljanju primernih in cenovno dostopnih stanovanj, ukrepi za spodbujanje </w:t>
      </w:r>
      <w:proofErr w:type="gramStart"/>
      <w:r>
        <w:t>investicij</w:t>
      </w:r>
      <w:proofErr w:type="gramEnd"/>
      <w:r>
        <w:t xml:space="preserve"> in pospešitev prehoda v gospodarstvo z visoko produktivnostjo, pokojninsko in zdravstveno varstvo ter odpornost in varnost.</w:t>
      </w:r>
    </w:p>
    <w:p w14:paraId="5AF70A79" w14:textId="77777777" w:rsidR="00BF379E" w:rsidRDefault="00BF379E" w:rsidP="00BF379E"/>
    <w:p w14:paraId="5259B180" w14:textId="77777777" w:rsidR="00BF379E" w:rsidRDefault="00BF379E" w:rsidP="00BF379E">
      <w:r>
        <w:t>Za leto 2026 so prihodki načrtovani v višini 15,6 milijarde evrov, odhodki pa v višini 17,7 milijarde evrov. Prihodki so v primerjavi z lani sprejetim proračunom za leto 2026 nižji za 2,1 odstotka, odhodki pa so višji za 3,2 odstotka. Proračunski primanjkljaj je predviden v višini 2,1 milijarde evrov oziroma 2,9 odstotka bruto domačega proizvoda (BDP).</w:t>
      </w:r>
    </w:p>
    <w:p w14:paraId="55FB6AC4" w14:textId="77777777" w:rsidR="00BF379E" w:rsidRDefault="00BF379E" w:rsidP="00BF379E"/>
    <w:p w14:paraId="293BD74B" w14:textId="77777777" w:rsidR="00BF379E" w:rsidRDefault="00BF379E" w:rsidP="00BF379E">
      <w:r>
        <w:t>Za leto 2027 so prihodki načrtovani v višini 16 milijard evrov, odhodki pa v višini 18,1 milijarde evrov. Primanjkljaj naj bi tako znašal 2,1 milijarde evrov oziroma 2,8 odstotka BDP.</w:t>
      </w:r>
    </w:p>
    <w:p w14:paraId="77BF15E9" w14:textId="77777777" w:rsidR="00BF379E" w:rsidRDefault="00BF379E" w:rsidP="00BF379E"/>
    <w:p w14:paraId="78B8784A" w14:textId="77777777" w:rsidR="00BF379E" w:rsidRDefault="00BF379E" w:rsidP="00BF379E">
      <w:r>
        <w:t xml:space="preserve">Vlada je potrdila tudi </w:t>
      </w:r>
      <w:proofErr w:type="gramStart"/>
      <w:r>
        <w:t>predlog Zakona</w:t>
      </w:r>
      <w:proofErr w:type="gramEnd"/>
      <w:r>
        <w:t xml:space="preserve"> o izvrševanju proračunov Republike Slovenije za leti 2026 in 2027, ki med drugim ureja povprečnino za občine. Ta bo predvidoma znašala 810 evrov, kar je več od doseženega dogovora z občinami oktobra lani. Pogajanja z občinami o povprečnini v prihodnjih dveh letih sicer še niso zaključena; v primeru drugačnega dogovora bo zakon in znesek povprečnine kot običajno prilagojen v postopku sprejemanja v državnem zboru.</w:t>
      </w:r>
    </w:p>
    <w:p w14:paraId="57EB9768" w14:textId="77777777" w:rsidR="00BF379E" w:rsidRDefault="00BF379E" w:rsidP="00BF379E"/>
    <w:p w14:paraId="041C599C" w14:textId="77777777" w:rsidR="00BF379E" w:rsidRDefault="00BF379E" w:rsidP="00BF379E">
      <w:r>
        <w:t>Letni dodatek za upokojence bo tudi prihodnje leto izplačan v različnih zneskih, in sicer v petih višinah od 160 evrov do 470 evrov.</w:t>
      </w:r>
    </w:p>
    <w:p w14:paraId="4EA66D91" w14:textId="77777777" w:rsidR="00BF379E" w:rsidRDefault="00BF379E" w:rsidP="00BF379E"/>
    <w:p w14:paraId="61C640D8" w14:textId="72A928F0" w:rsidR="00BF379E" w:rsidRDefault="00BF379E" w:rsidP="00BF379E">
      <w:r>
        <w:t>Predlog predvideva tudi uskladitev lestvice za odmero dohodnine in olajšav za leto 2026 v višini 50 odstotkov rasti povprečne mesečne plače v Sloveniji za junij 2025 glede na junij 2024. Socialni partnerji se bodo o tem še pogovarjali</w:t>
      </w:r>
      <w:r w:rsidR="00247CD2">
        <w:t>,</w:t>
      </w:r>
      <w:r>
        <w:t xml:space="preserve"> in če bo dosežen drugačen dogovor o uskladitvi, bo zakon prilagojen v postopku sprejemanja v državnem zboru.</w:t>
      </w:r>
    </w:p>
    <w:p w14:paraId="0DB29143" w14:textId="77777777" w:rsidR="00BF379E" w:rsidRDefault="00BF379E" w:rsidP="00BF379E"/>
    <w:p w14:paraId="49887088" w14:textId="167B754F" w:rsidR="00BF379E" w:rsidRDefault="00BF379E" w:rsidP="00BF379E">
      <w:r>
        <w:t>Vlada je določila tudi dokončen predlog zaključnega računa državnega proračuna za leto 2024.</w:t>
      </w:r>
    </w:p>
    <w:p w14:paraId="05269DBA" w14:textId="11A5C19B" w:rsidR="00BF379E" w:rsidRDefault="00BF379E" w:rsidP="00BF379E">
      <w:pPr>
        <w:pStyle w:val="Vir"/>
      </w:pPr>
      <w:r w:rsidRPr="00BF379E">
        <w:t>Vir: Ministrstvo za finance</w:t>
      </w:r>
    </w:p>
    <w:p w14:paraId="22D29C5C" w14:textId="7782C4B9" w:rsidR="003D7A90" w:rsidRDefault="003D7A90" w:rsidP="003D7A90">
      <w:pPr>
        <w:pStyle w:val="Naslov2"/>
      </w:pPr>
      <w:r>
        <w:t>Poročilo o stanju in gibanju davčnega dolga</w:t>
      </w:r>
    </w:p>
    <w:p w14:paraId="04C54812" w14:textId="77777777" w:rsidR="003D7A90" w:rsidRDefault="003D7A90" w:rsidP="003D7A90">
      <w:r>
        <w:t xml:space="preserve">Vlada se je na današnji seji seznanila s poročilom Finančne uprave (FURS) o stanju in gibanju </w:t>
      </w:r>
      <w:proofErr w:type="gramStart"/>
      <w:r>
        <w:t>davčnega dolga na dan</w:t>
      </w:r>
      <w:proofErr w:type="gramEnd"/>
      <w:r>
        <w:t xml:space="preserve"> 31. december 2024. Gre za poročilo, ki se nanaša na vse štiri javnofinančne blagajne - proračun države, Zavod za pokojninsko in invalidsko zavarovanje Slovenije (ZPIZ), Zavod za zdravstveno zavarovanje Slovenije (ZZZS) ter proračune občin.</w:t>
      </w:r>
    </w:p>
    <w:p w14:paraId="494C83A7" w14:textId="77777777" w:rsidR="003D7A90" w:rsidRDefault="003D7A90" w:rsidP="003D7A90"/>
    <w:p w14:paraId="1F6A9B6E" w14:textId="1AAF11D9" w:rsidR="003D7A90" w:rsidRDefault="003D7A90" w:rsidP="003D7A90">
      <w:r>
        <w:t>V letu 2024 je FURS pobral neto 25 milijard evrov prihodkov za vse štiri blagajne javnega financiranja, kar je za dve milijardi evrov ali 11,6 odstotka več kakor v letu pred tem.</w:t>
      </w:r>
    </w:p>
    <w:p w14:paraId="5FF1F09E" w14:textId="77777777" w:rsidR="003D7A90" w:rsidRDefault="003D7A90" w:rsidP="003D7A90"/>
    <w:p w14:paraId="57D989F9" w14:textId="176384FF" w:rsidR="003D7A90" w:rsidRDefault="003D7A90" w:rsidP="003D7A90">
      <w:r>
        <w:lastRenderedPageBreak/>
        <w:t xml:space="preserve">Na dan 31. december 2024 je bil davčni dolg za vse blagajne javnega financiranja 902 milijon evrov. V letu 2024 se je davčni dolg povečal za 60 milijonov evrov ali 7,1 odstotka v primerjavi z letom prej. </w:t>
      </w:r>
    </w:p>
    <w:p w14:paraId="4F8F0C71" w14:textId="77777777" w:rsidR="003D7A90" w:rsidRDefault="003D7A90" w:rsidP="003D7A90">
      <w:r>
        <w:t xml:space="preserve">Pri spremljanju gibanja davčnega dolga je treba upoštevati tudi gibanje deleža </w:t>
      </w:r>
      <w:proofErr w:type="gramStart"/>
      <w:r>
        <w:t>dolga</w:t>
      </w:r>
      <w:proofErr w:type="gramEnd"/>
      <w:r>
        <w:t xml:space="preserve"> glede na letno pobrane javnofinančne prihodke FURS. Delež davčnega dolga za vse javnofinančne blagajne v vseh letno pobranih javnofinančnih prihodkih FURS se je v letu 2024 zmanjšal na 3,6 odstotka, medtem ko je v letu ustanovitve FURS, tj. letu 2014, obsegal 10,4 odstotka.</w:t>
      </w:r>
    </w:p>
    <w:p w14:paraId="6A4A85A3" w14:textId="77777777" w:rsidR="003D7A90" w:rsidRDefault="003D7A90" w:rsidP="003D7A90"/>
    <w:p w14:paraId="3DDD35F9" w14:textId="5FA8D043" w:rsidR="003D7A90" w:rsidRDefault="003D7A90" w:rsidP="003D7A90">
      <w:r>
        <w:t xml:space="preserve">Če pri obravnavi zaključnega računa pozornost namenimo samo dolgu, nastalemu in zapadlemu v letu 2024, je po stanju na dan 31. december 2024 obsegal za vse javnofinančne blagajne 297 milijonov evrov. Ob sestavi tega poročila se je po stanju na dan 31. marec 2025 dolg, nastali v letu 2024, že zmanjšal na 151 milijonov evrov. Obseg dajatev, plačanih po zapadlosti z </w:t>
      </w:r>
      <w:proofErr w:type="gramStart"/>
      <w:r>
        <w:t>do</w:t>
      </w:r>
      <w:proofErr w:type="gramEnd"/>
      <w:r>
        <w:t xml:space="preserve"> enomesečno zamudo, je od 60 do 80 milijonov evrov mesečno, hkrati pa so že bili izvedeni dodatni ukrepi izterjave. </w:t>
      </w:r>
    </w:p>
    <w:p w14:paraId="34781B84" w14:textId="77777777" w:rsidR="003D7A90" w:rsidRDefault="003D7A90" w:rsidP="003D7A90"/>
    <w:p w14:paraId="6A6C7303" w14:textId="47F59C40" w:rsidR="003D7A90" w:rsidRDefault="003D7A90" w:rsidP="003D7A90">
      <w:r>
        <w:t xml:space="preserve">S ciljem obvladovanja davčnega dolga je FURS izvajal številne ukrepe za spodbujanje prostovoljnega plačevanja in izterjave, na primer: opominjanje, pobote obveznosti z zapadlimi terjatvami, unovčitve predloženih zavarovanj, davčno izvršbo in druge zahtevnejše ukrepe uveljavljanja davčnega dolga in predlagal stečaje ali izbrise. </w:t>
      </w:r>
    </w:p>
    <w:p w14:paraId="50FFAF3A" w14:textId="77777777" w:rsidR="003D7A90" w:rsidRDefault="003D7A90" w:rsidP="003D7A90"/>
    <w:p w14:paraId="5D8526F6" w14:textId="7EC46FBD" w:rsidR="003D7A90" w:rsidRDefault="003D7A90" w:rsidP="003D7A90">
      <w:r>
        <w:t>Davčni dolg po stanju 31. decembra 2024 je po možnostih izterjave razdeljen na aktivni dolg v vrednosti 481milijonov evrov in pogojno izterljivi dolg v znesku 420 milijonov evrov (za slednjega je verjetnost izterjave minimalna)</w:t>
      </w:r>
      <w:proofErr w:type="gramStart"/>
      <w:r>
        <w:t xml:space="preserve"> .</w:t>
      </w:r>
      <w:proofErr w:type="gramEnd"/>
      <w:r>
        <w:t xml:space="preserve"> V strukturi davčnega dolga ima aktivni dolg 53,4-odstotni delež. Postopki za izterjavo tega dela </w:t>
      </w:r>
      <w:proofErr w:type="gramStart"/>
      <w:r>
        <w:t>dolga</w:t>
      </w:r>
      <w:proofErr w:type="gramEnd"/>
      <w:r>
        <w:t xml:space="preserve"> potekajo, zato je verjetnost izterjave navedenega dolga velika v nasprotju s pogojno izterljivim dolgom, ki obsega 46,6 odstotka dolga. Večina tega dolga je namreč predmet insolvenčnih postopkov (v katere je prijavljenega 60,3 odstotka pogojno izterljivega davčnega dolga) in se posledično zanj ne sme voditi niti postopek izvršbe niti zavarovanja. Po stanju 31. decembra 2024 je bil obseg pogojno izterljivega dolga, prijavljenega v insolvenčne postopke, 253 milijonov evrov, kar pomeni 28,1 odstotka davčnega dolga.</w:t>
      </w:r>
    </w:p>
    <w:p w14:paraId="0B909480" w14:textId="58348248" w:rsidR="00CB2E2A" w:rsidRDefault="003D7A90" w:rsidP="003D7A90">
      <w:pPr>
        <w:pStyle w:val="Vir"/>
      </w:pPr>
      <w:r>
        <w:t>Vir: Ministrstvo za finance</w:t>
      </w:r>
    </w:p>
    <w:p w14:paraId="3AD9BE6F" w14:textId="6E4E20B1" w:rsidR="003D7A90" w:rsidRDefault="003D7A90" w:rsidP="003D7A90">
      <w:pPr>
        <w:pStyle w:val="Naslov2"/>
      </w:pPr>
      <w:r>
        <w:t>Poročilo o davčnih izdatkih</w:t>
      </w:r>
    </w:p>
    <w:p w14:paraId="4E6B7054" w14:textId="77777777" w:rsidR="003D7A90" w:rsidRDefault="003D7A90" w:rsidP="003D7A90">
      <w:r>
        <w:t>Vlada je na današnji seji sprejela poročilo o davčnih izdatkih v letu 2023, ki vključuje ocene zmanjšanja davčnih prihodkov na ravni različnih davkov.</w:t>
      </w:r>
    </w:p>
    <w:p w14:paraId="0AC135B6" w14:textId="77777777" w:rsidR="003D7A90" w:rsidRDefault="003D7A90" w:rsidP="003D7A90"/>
    <w:p w14:paraId="31364FE0" w14:textId="77777777" w:rsidR="003D7A90" w:rsidRDefault="003D7A90" w:rsidP="003D7A90">
      <w:r>
        <w:t>Poročilo je pomembno z vidika preglednosti izvajanja davčne politike, saj vsebuje davčne izdatke po posameznih vrstah davkov skupaj z oceno vpliva na javnofinančne prihodke. Pomembno je redno, analitično in objektivno spremljati vse vrste davčnih izdatkov in s tem vplivati na upravičenost določenih davčnih izdatkov. Pogosto se namreč pokaže, da so davčni izdatki le nadomestilo za neposredna plačila iz proračuna, kar zmanjšuje javnofinančno preglednost.</w:t>
      </w:r>
    </w:p>
    <w:p w14:paraId="0BA3062A" w14:textId="77777777" w:rsidR="003D7A90" w:rsidRDefault="003D7A90" w:rsidP="003D7A90"/>
    <w:p w14:paraId="08303F2B" w14:textId="77777777" w:rsidR="003D7A90" w:rsidRDefault="003D7A90" w:rsidP="003D7A90">
      <w:r>
        <w:t>Davčni izdatki sami po sebi niso najbolj želeni instrument, saj lahko zmanjšujejo učinkovitost, preglednost, uspešnost, poštenost in enostavnost davčnega sistema ter s tem ogrožajo javnofinančno vzdržnost in sprejemanje sistema kot pravičnega. Kljub temu pa dobro zasnovani davčni instrumenti – zlasti različne olajšave, oprostitve in nižje stopnje – lahko v določenih primerih prispevajo k višji ravni blaginje, gospodarski rasti in učinkovitejši socialni politiki. Njihov vpliv na ravnanje in odločanje ekonomskih subjektov, tako pozitiven kot negativen, zato zahteva stalno spremljanje, vrednotenje in prilagajanje, s čimer se zagotavlja bolj premišljeno in uravnoteženo izvajanje davčne politike.</w:t>
      </w:r>
    </w:p>
    <w:p w14:paraId="3DF41A28" w14:textId="77777777" w:rsidR="003D7A90" w:rsidRDefault="003D7A90" w:rsidP="003D7A90"/>
    <w:p w14:paraId="589C3996" w14:textId="77777777" w:rsidR="003D7A90" w:rsidRDefault="003D7A90" w:rsidP="003D7A90">
      <w:r>
        <w:t xml:space="preserve">Iz poročila izhaja, da se obseg neposredno dodeljenih spodbud v obliki oprostitev in vračil davkov povečuje. V letu 2023 se je znesek davčnih izdatkov namreč povečal za 16 odstotkov glede na leto 2022 oziroma za 23 odstotkov glede na leto 2021. V poročilu je navedeno tudi, da so davčni izdatki v </w:t>
      </w:r>
      <w:r>
        <w:lastRenderedPageBreak/>
        <w:t>letu 2023 znašali 3.291 milijonov evrov</w:t>
      </w:r>
      <w:proofErr w:type="gramStart"/>
      <w:r>
        <w:t xml:space="preserve"> oziroma</w:t>
      </w:r>
      <w:proofErr w:type="gramEnd"/>
      <w:r>
        <w:t xml:space="preserve"> 5,1 odstotka bruto domačega proizvoda (BDP), kar je za desetinko odstotne točke več kot leto prej. Iz poročila izhaja tudi, da največji izpad javnofinančnih prihodkov v obliki davčnih izdatkov predstavljajo nižja stopnja pri davku na dodano vrednost (DDV) ter olajšave in oprostitve pri dohodnini, skupaj </w:t>
      </w:r>
      <w:proofErr w:type="gramStart"/>
      <w:r>
        <w:t>4</w:t>
      </w:r>
      <w:proofErr w:type="gramEnd"/>
      <w:r>
        <w:t xml:space="preserve"> odstotke BDP v letu 2023. </w:t>
      </w:r>
    </w:p>
    <w:p w14:paraId="7C5A0D26" w14:textId="77777777" w:rsidR="003D7A90" w:rsidRDefault="003D7A90" w:rsidP="003D7A90"/>
    <w:p w14:paraId="25B76CF5" w14:textId="77777777" w:rsidR="003D7A90" w:rsidRDefault="003D7A90" w:rsidP="003D7A90">
      <w:r>
        <w:t>Največja skupina davčnega izdatka pri DDV predstavlja nižja stopnja za hrano in pijačo, ki pomeni 446 milijonov evrov izgubljenih javnofinančnih prihodkov v letu 2023.</w:t>
      </w:r>
    </w:p>
    <w:p w14:paraId="08DBBA1D" w14:textId="77777777" w:rsidR="003D7A90" w:rsidRDefault="003D7A90" w:rsidP="003D7A90"/>
    <w:p w14:paraId="707FAC78" w14:textId="77777777" w:rsidR="003D7A90" w:rsidRDefault="003D7A90" w:rsidP="003D7A90">
      <w:r>
        <w:t>Pri dohodnini največja dva davčna izdatka (</w:t>
      </w:r>
      <w:proofErr w:type="spellStart"/>
      <w:r>
        <w:t>neobdavčitev</w:t>
      </w:r>
      <w:proofErr w:type="spellEnd"/>
      <w:r>
        <w:t xml:space="preserve"> določenih dohodkov in davčna oprostitev pri izplačilu regresa za letni dopust) skupaj znižata javnofinančne prihodke za 640 milijonov evrov.</w:t>
      </w:r>
    </w:p>
    <w:p w14:paraId="6F79738A" w14:textId="6D0871CD" w:rsidR="00CB2E2A" w:rsidRDefault="003D7A90" w:rsidP="003D7A90">
      <w:pPr>
        <w:pStyle w:val="Vir"/>
      </w:pPr>
      <w:r>
        <w:t>Vir: Ministrstvo za finance</w:t>
      </w:r>
    </w:p>
    <w:p w14:paraId="77B995F8" w14:textId="02A91A3E" w:rsidR="00F35F91" w:rsidRDefault="00F35F91" w:rsidP="00F35F91">
      <w:pPr>
        <w:pStyle w:val="Naslov2"/>
      </w:pPr>
      <w:r>
        <w:t xml:space="preserve">Vlada o z </w:t>
      </w:r>
      <w:proofErr w:type="gramStart"/>
      <w:r>
        <w:t>Analizi</w:t>
      </w:r>
      <w:proofErr w:type="gramEnd"/>
      <w:r>
        <w:t xml:space="preserve"> plač v javnem sektorju za leto 2024</w:t>
      </w:r>
    </w:p>
    <w:p w14:paraId="1CC8D9D8" w14:textId="77777777" w:rsidR="00F35F91" w:rsidRDefault="00F35F91" w:rsidP="00F35F91">
      <w:r>
        <w:t xml:space="preserve">Vlada Republike Slovenije se je seznanila z Analizo plač v javnem sektorju za leto 2024 in mnenji reprezentativnih sindikatov javnega sektorja ter jih posreduje Državnemu zboru Republike Slovenije. </w:t>
      </w:r>
    </w:p>
    <w:p w14:paraId="6059FE3F" w14:textId="77777777" w:rsidR="00F35F91" w:rsidRDefault="00F35F91" w:rsidP="00F35F91"/>
    <w:p w14:paraId="777B9B5D" w14:textId="77777777" w:rsidR="00F35F91" w:rsidRDefault="00F35F91" w:rsidP="00F35F91">
      <w:r>
        <w:t xml:space="preserve">Ministrstvo za javno upravo je na podlagi 49. člena Zakona o skupnih temeljih sistema plač v javnem sektorju (ZSTSPJS) dolžno voditi evidenco plač v javnem sektorju, zato v skladu s predpisano metodologijo iz 48. člena ZSTSPJS enkrat letno pripravi analizo gibanja plač v javnem sektorju in jo posreduje v mnenje </w:t>
      </w:r>
      <w:proofErr w:type="gramStart"/>
      <w:r>
        <w:t>reprezentativnih sindikatom</w:t>
      </w:r>
      <w:proofErr w:type="gramEnd"/>
      <w:r>
        <w:t xml:space="preserve"> javnega sektorja. </w:t>
      </w:r>
    </w:p>
    <w:p w14:paraId="5C042EE0" w14:textId="77777777" w:rsidR="00F35F91" w:rsidRDefault="00F35F91" w:rsidP="00F35F91"/>
    <w:p w14:paraId="27873D64" w14:textId="77777777" w:rsidR="00F35F91" w:rsidRDefault="00F35F91" w:rsidP="00F35F91">
      <w:r>
        <w:t xml:space="preserve">Vlada Republike Slovenije analizo skupaj z mnenji sindikatov javnega sektorja predloži Državnemu zboru Republike Slovenije skupaj z Zaključnim računom državnega proračuna Republike Slovenije. </w:t>
      </w:r>
    </w:p>
    <w:p w14:paraId="0A4ADC08" w14:textId="77777777" w:rsidR="00F35F91" w:rsidRDefault="00F35F91" w:rsidP="00F35F91"/>
    <w:p w14:paraId="74E7C2F2" w14:textId="77777777" w:rsidR="00F35F91" w:rsidRDefault="00F35F91" w:rsidP="00F35F91">
      <w:r>
        <w:t xml:space="preserve">V analizi so podatki proračunskih uporabnikov o osnovnih plačah, dodatkih, delovni uspešnosti, izplačilih za delo preko polnega delovnega časa in dežurstvu ter številu zaposlenih glede na časovno obdobje, po podskupinah dejavnosti iz registra proračunskih uporabnikov, plačnih podskupinah in tarifnih razredih. Analiza temelji na podatkih, ki jih proračunski uporabniki posredujejo v Informacijski sistem </w:t>
      </w:r>
      <w:proofErr w:type="gramStart"/>
      <w:r>
        <w:t xml:space="preserve">za  </w:t>
      </w:r>
      <w:proofErr w:type="gramEnd"/>
      <w:r>
        <w:t xml:space="preserve">posredovanje in analizo podatkov o plačah, drugih izplačilih in številu zaposlenih v javnem sektorju (ISPAP). Analiza se nanaša na leto 2024 v primerjavi z letom 2023. </w:t>
      </w:r>
    </w:p>
    <w:p w14:paraId="7A2EA5E9" w14:textId="77777777" w:rsidR="00F35F91" w:rsidRDefault="00F35F91" w:rsidP="00F35F91"/>
    <w:p w14:paraId="6A9FE057" w14:textId="77777777" w:rsidR="00F35F91" w:rsidRDefault="00F35F91" w:rsidP="00F35F91">
      <w:r>
        <w:t>Iz analize izhaja, da so na povečanje mase bruto plač v letu 2024 pomembno vplivali predvsem naslednji dejavniki:</w:t>
      </w:r>
    </w:p>
    <w:p w14:paraId="126E5DD3" w14:textId="4C99B230" w:rsidR="00F35F91" w:rsidRDefault="00F35F91" w:rsidP="00F35F91">
      <w:pPr>
        <w:pStyle w:val="Odstavekseznama"/>
        <w:numPr>
          <w:ilvl w:val="0"/>
          <w:numId w:val="12"/>
        </w:numPr>
      </w:pPr>
      <w:r>
        <w:t>višje osnovne plače zaradi uskladitve vrednosti plačnih razredov za 3,36</w:t>
      </w:r>
      <w:proofErr w:type="gramStart"/>
      <w:r>
        <w:t xml:space="preserve"> %</w:t>
      </w:r>
      <w:proofErr w:type="gramEnd"/>
      <w:r>
        <w:t xml:space="preserve"> s prvim junijem leta 2024;</w:t>
      </w:r>
    </w:p>
    <w:p w14:paraId="2F121091" w14:textId="2E80E885" w:rsidR="00F35F91" w:rsidRDefault="00F35F91" w:rsidP="00F35F91">
      <w:pPr>
        <w:pStyle w:val="Odstavekseznama"/>
        <w:numPr>
          <w:ilvl w:val="0"/>
          <w:numId w:val="12"/>
        </w:numPr>
      </w:pPr>
      <w:r>
        <w:t>višja izplačila dodatkov in delovne uspešnosti zaradi višje vrednosti plačnih razredov, v primerih, ko se ti obračunavajo kot odstotek od osnovne plače. Za enak odstotek, kot so bile povišane vrednosti plačnih razredov, so se povišali dodatki, ki so določeni v nominalnih vrednostih;</w:t>
      </w:r>
    </w:p>
    <w:p w14:paraId="631244E5" w14:textId="4129AFBE" w:rsidR="00F35F91" w:rsidRDefault="00F35F91" w:rsidP="00F35F91">
      <w:pPr>
        <w:pStyle w:val="Odstavekseznama"/>
        <w:numPr>
          <w:ilvl w:val="0"/>
          <w:numId w:val="12"/>
        </w:numPr>
      </w:pPr>
      <w:r>
        <w:t>višje plače za sodnike rednih sodišč, državne tožilce in državno odvetniške funkcionarje na podlagi dopolnilne odločbe Ustavnega sodišča;</w:t>
      </w:r>
    </w:p>
    <w:p w14:paraId="4EE9E433" w14:textId="459C227E" w:rsidR="00F35F91" w:rsidRDefault="00F35F91" w:rsidP="00F35F91">
      <w:pPr>
        <w:pStyle w:val="Odstavekseznama"/>
        <w:numPr>
          <w:ilvl w:val="0"/>
          <w:numId w:val="12"/>
        </w:numPr>
      </w:pPr>
      <w:r>
        <w:t>napredovanja javnih uslužbencev in pravosodnih funkcionarjev v višji plačni razred, naziv oziroma višji naziv;</w:t>
      </w:r>
    </w:p>
    <w:p w14:paraId="7DE45EA7" w14:textId="220B560A" w:rsidR="00F35F91" w:rsidRDefault="00F35F91" w:rsidP="00F35F91">
      <w:pPr>
        <w:pStyle w:val="Odstavekseznama"/>
        <w:numPr>
          <w:ilvl w:val="0"/>
          <w:numId w:val="12"/>
        </w:numPr>
      </w:pPr>
      <w:r>
        <w:t>povečano število zaposlenih (število zaposlenih oseb za 1,2</w:t>
      </w:r>
      <w:proofErr w:type="gramStart"/>
      <w:r>
        <w:t xml:space="preserve"> %</w:t>
      </w:r>
      <w:proofErr w:type="gramEnd"/>
      <w:r>
        <w:t>, število zaposlenih po urah za 1,5 %).</w:t>
      </w:r>
    </w:p>
    <w:p w14:paraId="3D101C9D" w14:textId="77777777" w:rsidR="00F35F91" w:rsidRDefault="00F35F91" w:rsidP="00F35F91"/>
    <w:p w14:paraId="2E2674E6" w14:textId="77777777" w:rsidR="00F35F91" w:rsidRDefault="00F35F91" w:rsidP="00F35F91">
      <w:r>
        <w:t>Povprečno mesečno število zaposlenih oseb je bilo 193.821 v letu 2024 (191.475 v letu 2023) in se je povečalo za 1,2</w:t>
      </w:r>
      <w:proofErr w:type="gramStart"/>
      <w:r>
        <w:t xml:space="preserve"> %</w:t>
      </w:r>
      <w:proofErr w:type="gramEnd"/>
      <w:r>
        <w:t>. Povprečno mesečno število zaposlenih po plačanih urah je bilo 189.098 v letu 2024 (186.269 v letu 2023) in se je povečalo za 1,5</w:t>
      </w:r>
      <w:proofErr w:type="gramStart"/>
      <w:r>
        <w:t xml:space="preserve"> %</w:t>
      </w:r>
      <w:proofErr w:type="gramEnd"/>
      <w:r>
        <w:t>.</w:t>
      </w:r>
    </w:p>
    <w:p w14:paraId="145F686F" w14:textId="77777777" w:rsidR="00F35F91" w:rsidRDefault="00F35F91" w:rsidP="00F35F91"/>
    <w:p w14:paraId="2B362BBD" w14:textId="47443AB8" w:rsidR="00F35F91" w:rsidRDefault="00F35F91" w:rsidP="00F35F91">
      <w:r>
        <w:lastRenderedPageBreak/>
        <w:t>Povprečna plača na nivoju celotnega javnega sektorja za leto 2024 znaša 2.586 evrov in se je glede na leto 2023 povečala za 4</w:t>
      </w:r>
      <w:proofErr w:type="gramStart"/>
      <w:r>
        <w:t xml:space="preserve"> %</w:t>
      </w:r>
      <w:proofErr w:type="gramEnd"/>
      <w:r>
        <w:t xml:space="preserve"> (za leto 2023 je ta znašala 2.487 evrov).</w:t>
      </w:r>
    </w:p>
    <w:p w14:paraId="5838BB17" w14:textId="77777777" w:rsidR="00F35F91" w:rsidRDefault="00F35F91" w:rsidP="00F35F91"/>
    <w:p w14:paraId="136E3B7F" w14:textId="5C90950C" w:rsidR="00F35F91" w:rsidRDefault="00F35F91" w:rsidP="00F35F91">
      <w:r>
        <w:t>Masa izplačil za dodatke za leto 2024 je znašala 480,9 mio EUR (471,2 mio evrov za leto 2023), kar je za 2,1</w:t>
      </w:r>
      <w:proofErr w:type="gramStart"/>
      <w:r>
        <w:t xml:space="preserve"> %</w:t>
      </w:r>
      <w:proofErr w:type="gramEnd"/>
      <w:r>
        <w:t xml:space="preserve"> več kot za leto 2023. </w:t>
      </w:r>
    </w:p>
    <w:p w14:paraId="06ED3E53" w14:textId="77777777" w:rsidR="00F35F91" w:rsidRDefault="00F35F91" w:rsidP="00F35F91"/>
    <w:p w14:paraId="567C98B1" w14:textId="1E47BAA1" w:rsidR="00F35F91" w:rsidRDefault="00F35F91" w:rsidP="00F35F91">
      <w:r>
        <w:t>Največji delež v skupni masi dodatkov predstavlja dodatek za delovno dobo, in sicer 51,6</w:t>
      </w:r>
      <w:proofErr w:type="gramStart"/>
      <w:r>
        <w:t xml:space="preserve"> %</w:t>
      </w:r>
      <w:proofErr w:type="gramEnd"/>
      <w:r>
        <w:t xml:space="preserve"> (248,0 mio evrov). Med ostalimi dodatki največji delež v skupni masi predstavljajo dodatki za delo v manj ugodnem delovnem času, to je 25,3</w:t>
      </w:r>
      <w:proofErr w:type="gramStart"/>
      <w:r>
        <w:t xml:space="preserve"> %</w:t>
      </w:r>
      <w:proofErr w:type="gramEnd"/>
      <w:r>
        <w:t xml:space="preserve"> (121,9 mio evrov). </w:t>
      </w:r>
    </w:p>
    <w:p w14:paraId="04FAB464" w14:textId="77777777" w:rsidR="00F35F91" w:rsidRDefault="00F35F91" w:rsidP="00F35F91"/>
    <w:p w14:paraId="20E71DFF" w14:textId="7D127E5D" w:rsidR="00F35F91" w:rsidRDefault="00F35F91" w:rsidP="00F35F91">
      <w:r>
        <w:t>Sredstva za delovno uspešnost predstavljajo 5,3</w:t>
      </w:r>
      <w:proofErr w:type="gramStart"/>
      <w:r>
        <w:t xml:space="preserve"> %</w:t>
      </w:r>
      <w:proofErr w:type="gramEnd"/>
      <w:r>
        <w:t xml:space="preserve"> mase bruto plač za leto 2024. V primerjavi z letom 2023 so se izplačila za delovno uspešnost (vse vrste) v celotnem javnem sektorju za leto 2024 povišala za 9,9</w:t>
      </w:r>
      <w:proofErr w:type="gramStart"/>
      <w:r>
        <w:t xml:space="preserve"> %</w:t>
      </w:r>
      <w:proofErr w:type="gramEnd"/>
      <w:r>
        <w:t xml:space="preserve"> oziroma za 28,5 mio evrov in so znašala 315,4 mio evrov. </w:t>
      </w:r>
    </w:p>
    <w:p w14:paraId="5D7685EB" w14:textId="77777777" w:rsidR="00F35F91" w:rsidRDefault="00F35F91" w:rsidP="00F35F91"/>
    <w:p w14:paraId="26FC70C0" w14:textId="77777777" w:rsidR="00F35F91" w:rsidRDefault="00F35F91" w:rsidP="00F35F91">
      <w:r>
        <w:t>Analiza plač v javnem sektorju za leto 2024, s katero se je danes seznanila vlada, bo objavljena na spletni strani Ministrstva za javno upravo.</w:t>
      </w:r>
    </w:p>
    <w:p w14:paraId="73FA774B" w14:textId="3D7E2A33" w:rsidR="00CB2E2A" w:rsidRDefault="00F35F91" w:rsidP="00F35F91">
      <w:pPr>
        <w:pStyle w:val="Vir"/>
      </w:pPr>
      <w:r>
        <w:t>Vir: Ministrstvo za javno upravo</w:t>
      </w:r>
    </w:p>
    <w:p w14:paraId="7A53DD7C" w14:textId="0941BEA1" w:rsidR="00473726" w:rsidRDefault="00473726" w:rsidP="00473726">
      <w:pPr>
        <w:pStyle w:val="Naslov2"/>
      </w:pPr>
      <w:r>
        <w:t>Vlada sprejela predlog novele</w:t>
      </w:r>
      <w:r w:rsidR="0039207B">
        <w:t xml:space="preserve"> Z</w:t>
      </w:r>
      <w:r>
        <w:t>akona o davčnem postopku</w:t>
      </w:r>
    </w:p>
    <w:p w14:paraId="7D647DCA" w14:textId="77777777" w:rsidR="00473726" w:rsidRDefault="00473726" w:rsidP="00473726">
      <w:r>
        <w:t xml:space="preserve">S predlaganimi spremembami se med drugim v slovenski pravni red prenašata evropski </w:t>
      </w:r>
      <w:proofErr w:type="gramStart"/>
      <w:r>
        <w:t>direktivi</w:t>
      </w:r>
      <w:proofErr w:type="gramEnd"/>
      <w:r>
        <w:t xml:space="preserve"> glede obveznosti poročanja in izmenjave informacij o dohodkih iz transakcij s kriptosredstvi ter informativnega obrazca za obračun povrhnjega davka.</w:t>
      </w:r>
    </w:p>
    <w:p w14:paraId="133ABBC7" w14:textId="77777777" w:rsidR="00473726" w:rsidRDefault="00473726" w:rsidP="00473726"/>
    <w:p w14:paraId="4F426B7A" w14:textId="77777777" w:rsidR="00473726" w:rsidRDefault="00473726" w:rsidP="00473726">
      <w:r>
        <w:t>S predlaganimi spremembami in dopolnitvami Zakona o davčnem postopku se v slovenski pravni red prenaša evropska direktiva o upravnem sodelovanju na področju obdavčevanja, ki ureja obveznost poročanja ter avtomatično izmenjavo informacij med davčnimi organi držav članic Evropske unije o dohodkih iz transakcij s kriptosredstvi</w:t>
      </w:r>
      <w:proofErr w:type="gramStart"/>
      <w:r>
        <w:t xml:space="preserve"> ter</w:t>
      </w:r>
      <w:proofErr w:type="gramEnd"/>
      <w:r>
        <w:t xml:space="preserve"> evropska direktiva o upravnem sodelovanju na področju obdavčevanja, ki uvaja usklajen okvir v zvezi z izvajanjem obveznosti glede vložitve enotnega informativnega obrazca za obračun povrhnjega davka ter hkrati razširja področje uporabe avtomatične izmenjave informacij na informativni obrazec za obračun povrhnjega davka.</w:t>
      </w:r>
    </w:p>
    <w:p w14:paraId="42220B46" w14:textId="77777777" w:rsidR="00473726" w:rsidRDefault="00473726" w:rsidP="00473726"/>
    <w:p w14:paraId="2F17621C" w14:textId="77777777" w:rsidR="00473726" w:rsidRDefault="00473726" w:rsidP="00473726">
      <w:r>
        <w:t xml:space="preserve">Druge spremembe in dopolnitve veljavnih določil davčnega postopka so namenjene zagotovitvi </w:t>
      </w:r>
      <w:proofErr w:type="gramStart"/>
      <w:r>
        <w:t>transparentnega</w:t>
      </w:r>
      <w:proofErr w:type="gramEnd"/>
      <w:r>
        <w:t>, učinkovitega in pravilnega izvajanja v praksi, določnosti in predvidljivosti ravnanja zavezancev za davek ter drugih udeležencev pri izpolnjevanju davčnih obveznosti, davčnega organa pri vodenju davčnih postopkov ter lažjega in hitrejšega uveljavljanja pravic in pravnih koristi zavezancev za davek.</w:t>
      </w:r>
    </w:p>
    <w:p w14:paraId="6254211D" w14:textId="2F1B924E" w:rsidR="00B34045" w:rsidRDefault="00473726" w:rsidP="00473726">
      <w:pPr>
        <w:pStyle w:val="Vir"/>
      </w:pPr>
      <w:r>
        <w:t>Vir: Ministrstvo za finance</w:t>
      </w:r>
    </w:p>
    <w:p w14:paraId="6953B2DC" w14:textId="51AE51F7" w:rsidR="000910AF" w:rsidRDefault="000910AF" w:rsidP="000910AF">
      <w:pPr>
        <w:pStyle w:val="Naslov2"/>
      </w:pPr>
      <w:r>
        <w:t xml:space="preserve">Vlada določila besedilo </w:t>
      </w:r>
      <w:proofErr w:type="gramStart"/>
      <w:r>
        <w:t>predloga Zakona</w:t>
      </w:r>
      <w:proofErr w:type="gramEnd"/>
      <w:r>
        <w:t xml:space="preserve"> o dopolnitvi Zakona o Družbi za avtoceste v Republiki Sloveniji</w:t>
      </w:r>
    </w:p>
    <w:p w14:paraId="66846552" w14:textId="1DFF7C59" w:rsidR="003C3108" w:rsidRPr="00FC4031" w:rsidRDefault="003C3108" w:rsidP="003C3108">
      <w:pPr>
        <w:ind w:left="34"/>
        <w:rPr>
          <w:rFonts w:cs="Arial"/>
          <w:iCs/>
          <w:szCs w:val="20"/>
        </w:rPr>
      </w:pPr>
      <w:r w:rsidRPr="00FC4031">
        <w:rPr>
          <w:rFonts w:cs="Arial"/>
          <w:iCs/>
          <w:szCs w:val="20"/>
        </w:rPr>
        <w:t xml:space="preserve">Vlada Republike Slovenije je določila besedilo </w:t>
      </w:r>
      <w:proofErr w:type="gramStart"/>
      <w:r w:rsidRPr="00FC4031">
        <w:rPr>
          <w:rFonts w:cs="Arial"/>
          <w:iCs/>
          <w:szCs w:val="20"/>
        </w:rPr>
        <w:t>predloga Zakona</w:t>
      </w:r>
      <w:proofErr w:type="gramEnd"/>
      <w:r w:rsidRPr="00FC4031">
        <w:rPr>
          <w:rFonts w:cs="Arial"/>
          <w:iCs/>
          <w:szCs w:val="20"/>
        </w:rPr>
        <w:t xml:space="preserve"> o dopolnitvi Zakona o Družbi za avtoceste v Republiki Sloveniji in ga pošlje v obravnavo Državnemu zboru Republike Slovenije po </w:t>
      </w:r>
      <w:r>
        <w:rPr>
          <w:rFonts w:cs="Arial"/>
          <w:iCs/>
          <w:szCs w:val="20"/>
        </w:rPr>
        <w:t xml:space="preserve">nujnem </w:t>
      </w:r>
      <w:r w:rsidRPr="00FC4031">
        <w:rPr>
          <w:rFonts w:cs="Arial"/>
          <w:iCs/>
          <w:szCs w:val="20"/>
        </w:rPr>
        <w:t>postopku.</w:t>
      </w:r>
    </w:p>
    <w:p w14:paraId="3FC43DD2" w14:textId="77777777" w:rsidR="003C3108" w:rsidRDefault="003C3108" w:rsidP="000910AF"/>
    <w:p w14:paraId="134ED581" w14:textId="359C1451" w:rsidR="000910AF" w:rsidRDefault="000910AF" w:rsidP="000910AF">
      <w:r>
        <w:t xml:space="preserve">DARS je bil ustanovljen v letu 1993 kot javno podjetje, pristojno predvsem za vodenje gradnje avtocest. V letu 2004 se je DARS iz javnega podjetja preoblikoval v delniško družbo, ki je ostala v 100-odstotni lasti Republike Slovenije. Istega leta se je družbi pripojilo tudi Javno podjetje za vzdrževanje avtocest. Z Republiko Slovenijo je DARS sklenil dve dolgoročni pogodbi: pogodbo o izvajanju naročila za opravljanje nalog gradnje in obnavljanja avtocest, po </w:t>
      </w:r>
      <w:proofErr w:type="gramStart"/>
      <w:r>
        <w:t>kateri</w:t>
      </w:r>
      <w:proofErr w:type="gramEnd"/>
      <w:r>
        <w:t xml:space="preserve"> je vse naloge izvajal za račun države, </w:t>
      </w:r>
      <w:r>
        <w:lastRenderedPageBreak/>
        <w:t>ter koncesijsko pogodbo za vzdrževanje in upravljanje avtocest, po kateri je kot koncesionar prevzel v vzdrževanje in upravljanje avtoceste, ki jih je zgradil.</w:t>
      </w:r>
    </w:p>
    <w:p w14:paraId="52618297" w14:textId="77777777" w:rsidR="000910AF" w:rsidRDefault="000910AF" w:rsidP="000910AF"/>
    <w:p w14:paraId="01DBB4B3" w14:textId="66EAAD17" w:rsidR="000910AF" w:rsidRDefault="000910AF" w:rsidP="000910AF">
      <w:r>
        <w:t xml:space="preserve">Zaradi izpolnjevanja zahtev Pakta za stabilnost in rast glede višine javnega dolga je Republika Slovenija zmanjšala tveganja tako, da je čim večji del možnega javnega dolga prenesla na zasebni sektor s preoblikovanjem razmerij med Republiko Slovenijo in DARS ter tako zmanjšala možno breme servisiranja dolgov za izvedbo Nacionalnega programa izgradnje avtocest v Republiki Sloveniji (NPIA) na javne finance Republike Slovenije. </w:t>
      </w:r>
    </w:p>
    <w:p w14:paraId="64AFE256" w14:textId="77777777" w:rsidR="000910AF" w:rsidRDefault="000910AF" w:rsidP="000910AF"/>
    <w:p w14:paraId="4A8AD6A2" w14:textId="77777777" w:rsidR="000910AF" w:rsidRDefault="000910AF" w:rsidP="000910AF">
      <w:r>
        <w:t>Računsko sodišče Republike Slovenije je v reviziji smotrnosti izvajanja in financiranja gradnje avtocest v Republiki Sloveniji v obdobju 2004–2007 med drugim zahtevalo, da se zagotovi izločitev premoženja Republike Slovenije v upravljanju DARS iz poslovnih knjig te družbe ter izvede prenos tega premoženja v premoženjsko bilanco države. Vlada je v aprilu 2010 potrdila model, po katerem je DARS imetnik stavbne pravice na omrežju avtocest in hitrih cest, medtem ko zemljišča ostanejo v lasti Republike Slovenije. DARS ima tako pravico imeti v lasti navedeno infrastrukturo, s tem pa tudi pravico pobiranja cestnine ter obveznost upravljanja in servisiranja dolgov.</w:t>
      </w:r>
    </w:p>
    <w:p w14:paraId="4B58EA14" w14:textId="77777777" w:rsidR="000910AF" w:rsidRDefault="000910AF" w:rsidP="000910AF"/>
    <w:p w14:paraId="2D18EA51" w14:textId="6EF1ED9E" w:rsidR="000910AF" w:rsidRDefault="000910AF" w:rsidP="000910AF">
      <w:r>
        <w:t xml:space="preserve">V skladu z 10. členom Zakona o Družbi za avtoceste v Republiki Sloveniji (ZDARS-1) in s pogodbo o izvajanju naročila se sredstva iz naslova nadomestila za ustanovitev stavbne pravice zbirajo na posebni proračunski postavki. Ocenjena »poštena vrednost« nadomestila za stavbno pravico znaša zaokroženo 190.760.000,00 evra. </w:t>
      </w:r>
    </w:p>
    <w:p w14:paraId="2FE1F23B" w14:textId="77777777" w:rsidR="000910AF" w:rsidRDefault="000910AF" w:rsidP="000910AF"/>
    <w:p w14:paraId="0A167BE2" w14:textId="7F879238" w:rsidR="000910AF" w:rsidRDefault="000910AF" w:rsidP="000910AF">
      <w:r>
        <w:t>V letu 2025 bo DARS poplačal celotni znesek nadomestila za ustanovitev stavbne pravice, prav tako je za leto 2025 za izvedbo nalog iz 4. člena ZDARS-1 predvidena poraba večine doslej zbranih sredstev iz naslova nadomestila za stavbno pravico, ki so zbrana na namenski postavki za financiranje nalog iz 4. člena ZDARS-1. Zato je za nemoteno nadaljn</w:t>
      </w:r>
      <w:r w:rsidR="00A733AA">
        <w:t>je</w:t>
      </w:r>
      <w:r>
        <w:t xml:space="preserve"> izvajanje nalog, ki jih DARS izvaja v imenu in za račun Republike Slovenije, nujno treba celovito urediti financiranje, ki bo omogočal</w:t>
      </w:r>
      <w:r w:rsidR="00CB5BB5">
        <w:t>o</w:t>
      </w:r>
      <w:r>
        <w:t xml:space="preserve"> pregledno in tekočo porabo namensko zbranih sredstev iz nadomestila za ustanovitev stavbne pravice kot tudi zagotovitev sredstev iz integralnega dela državnega proračuna, če so sredstva za namenski postavki proračuna porabljena. </w:t>
      </w:r>
    </w:p>
    <w:p w14:paraId="1B9B344B" w14:textId="77777777" w:rsidR="000910AF" w:rsidRDefault="000910AF" w:rsidP="000910AF">
      <w:pPr>
        <w:pStyle w:val="Vir"/>
      </w:pPr>
      <w:r>
        <w:t>Vir: Ministrstvo za infrastrukturo</w:t>
      </w:r>
    </w:p>
    <w:p w14:paraId="49DA5D8A" w14:textId="31601B61" w:rsidR="00B34045" w:rsidRDefault="00B34045" w:rsidP="00F3728E">
      <w:pPr>
        <w:pStyle w:val="Naslov2"/>
      </w:pPr>
      <w:r>
        <w:t xml:space="preserve">Poročilo o izvajanju evropske kohezijske politike 2021–2027 </w:t>
      </w:r>
      <w:r w:rsidR="00F3728E">
        <w:t>i</w:t>
      </w:r>
      <w:r>
        <w:t xml:space="preserve">n o delu Delovne skupine vlade za podporo izvajanju </w:t>
      </w:r>
      <w:proofErr w:type="gramStart"/>
      <w:r>
        <w:t>Slovenske</w:t>
      </w:r>
      <w:proofErr w:type="gramEnd"/>
      <w:r>
        <w:t xml:space="preserve"> strategije trajnostne pametne specializacije </w:t>
      </w:r>
    </w:p>
    <w:p w14:paraId="7CD92437" w14:textId="103C77E9" w:rsidR="00F3728E" w:rsidRDefault="00F3728E" w:rsidP="00F3728E">
      <w:r>
        <w:t xml:space="preserve">Vlada Republike Slovenije se je seznanila s poročilom o izvajanju evropske kohezijske politike 2021– 2027 in zaključevanju programa 2014 – 2020 za obdobje od januarja 2014 do junija 2025. Seznanila se je tudi s poročilom o delu Delovne skupine vlade za podporo izvajanju </w:t>
      </w:r>
      <w:proofErr w:type="gramStart"/>
      <w:r>
        <w:t>Slovenske</w:t>
      </w:r>
      <w:proofErr w:type="gramEnd"/>
      <w:r>
        <w:t xml:space="preserve"> strategije trajnostne pametne specializacije (DSV S5) v letu 2025. </w:t>
      </w:r>
    </w:p>
    <w:p w14:paraId="314F4226" w14:textId="77777777" w:rsidR="00F3728E" w:rsidRDefault="00F3728E" w:rsidP="00F3728E"/>
    <w:p w14:paraId="6F835492" w14:textId="48A9827F" w:rsidR="00F3728E" w:rsidRDefault="00F3728E" w:rsidP="00F3728E">
      <w:r>
        <w:t>Poročilo zajema presek stanja na področju izvajanja evropske kohezijske politike na dan 30. 6. 2025 ter navaja dejavnosti, izvedene v obdobju od januarja 2014 do konca</w:t>
      </w:r>
      <w:proofErr w:type="gramStart"/>
      <w:r>
        <w:t xml:space="preserve"> junija</w:t>
      </w:r>
      <w:proofErr w:type="gramEnd"/>
      <w:r>
        <w:t xml:space="preserve"> 2025. Vlada Republike Slovenije je sicer 16. septembra 2025 sprejela Izhodišča za spremembo programa evropske kohezijske politike 2021–2027.</w:t>
      </w:r>
    </w:p>
    <w:p w14:paraId="59436666" w14:textId="3461DAC2" w:rsidR="00B34045" w:rsidRDefault="00F3728E" w:rsidP="00F3728E">
      <w:pPr>
        <w:pStyle w:val="Vir"/>
      </w:pPr>
      <w:r w:rsidRPr="00F3728E">
        <w:t>Vir: Ministrstvo za kohezijo in regionalni razvoj</w:t>
      </w:r>
    </w:p>
    <w:p w14:paraId="09BC4D25" w14:textId="2D07E562" w:rsidR="00B34045" w:rsidRDefault="00B34045" w:rsidP="008C1123">
      <w:pPr>
        <w:pStyle w:val="Naslov2"/>
      </w:pPr>
      <w:r>
        <w:t>Informacija o izvajanju Načrta za okrevanje in odpornost</w:t>
      </w:r>
    </w:p>
    <w:p w14:paraId="0C656289" w14:textId="2B48E441" w:rsidR="008E4054" w:rsidRDefault="008E4054" w:rsidP="008E4054">
      <w:r>
        <w:t>Vlada se je danes seznanila z informacijo o izvajanju Načrta za okrevanje in odpornost, ki jo bo posredovala v Državni zbor Republike Slovenije.</w:t>
      </w:r>
    </w:p>
    <w:p w14:paraId="2881C942" w14:textId="77777777" w:rsidR="008E4054" w:rsidRDefault="008E4054" w:rsidP="008E4054"/>
    <w:p w14:paraId="1612B841" w14:textId="77777777" w:rsidR="008E4054" w:rsidRDefault="008E4054" w:rsidP="008E4054">
      <w:r>
        <w:lastRenderedPageBreak/>
        <w:t xml:space="preserve">Od skupno 1,10 milijarde evrov iz Mehanizma za okrevanje in odpornost (Mehanizem), ki jih je Slovenija že prejela za izvedene mejnike in cilje Načrta za okrevanje in odpornost (NOO), je država končnim prejemnikom za izvedene projektne aktivnosti do danes izplačala 1,04 milijarde evrov, od tega 303,60 </w:t>
      </w:r>
      <w:proofErr w:type="gramStart"/>
      <w:r>
        <w:t>milijonov</w:t>
      </w:r>
      <w:proofErr w:type="gramEnd"/>
      <w:r>
        <w:t xml:space="preserve"> evrov v letošnjem letu.</w:t>
      </w:r>
    </w:p>
    <w:p w14:paraId="67334FD5" w14:textId="77777777" w:rsidR="008E4054" w:rsidRDefault="008E4054" w:rsidP="008E4054"/>
    <w:p w14:paraId="368A7D64" w14:textId="77777777" w:rsidR="008E4054" w:rsidRDefault="008E4054" w:rsidP="008E4054">
      <w:r>
        <w:t>Ministrstva, ki so odgovorna za izvedbo naložb in reform, ocenjujejo, da so izpolnila 108 mejnikov in ciljev od skupno 200-ih. Od tega je:</w:t>
      </w:r>
    </w:p>
    <w:p w14:paraId="79F92517" w14:textId="353513D9" w:rsidR="008E4054" w:rsidRDefault="008E4054" w:rsidP="008E4054">
      <w:pPr>
        <w:pStyle w:val="Odstavekseznama"/>
        <w:numPr>
          <w:ilvl w:val="0"/>
          <w:numId w:val="10"/>
        </w:numPr>
      </w:pPr>
      <w:r>
        <w:t>64 mejnikov in ciljev formalno izpolnjenih - del prvih treh že izplačanih zahtevkov za plačilo;</w:t>
      </w:r>
    </w:p>
    <w:p w14:paraId="6610D34C" w14:textId="0CFA31CA" w:rsidR="008E4054" w:rsidRDefault="008E4054" w:rsidP="008E4054">
      <w:pPr>
        <w:pStyle w:val="Odstavekseznama"/>
        <w:numPr>
          <w:ilvl w:val="0"/>
          <w:numId w:val="10"/>
        </w:numPr>
      </w:pPr>
      <w:r>
        <w:t>27 mejnikov in ciljev trenutno v pregledu na Evropski komisiji (EK) – del aktualnega četrtega zahtevka za plačilo, ki ga je Sloveniji EK posredovala konec junija letos;</w:t>
      </w:r>
    </w:p>
    <w:p w14:paraId="2E86F2D6" w14:textId="3095149C" w:rsidR="008E4054" w:rsidRDefault="008E4054" w:rsidP="008E4054">
      <w:pPr>
        <w:pStyle w:val="Odstavekseznama"/>
        <w:numPr>
          <w:ilvl w:val="0"/>
          <w:numId w:val="10"/>
        </w:numPr>
      </w:pPr>
      <w:r>
        <w:t>17 mejnikov in ciljev, ki bodo vključeni v naslednje zahtevke za plačilo.</w:t>
      </w:r>
    </w:p>
    <w:p w14:paraId="0A1EC89F" w14:textId="77777777" w:rsidR="008E4054" w:rsidRDefault="008E4054" w:rsidP="008E4054"/>
    <w:p w14:paraId="5A033D2C" w14:textId="77777777" w:rsidR="008E4054" w:rsidRDefault="008E4054" w:rsidP="008E4054">
      <w:r>
        <w:t>Končno višino izplačanih sredstev za posamezni zahtevek določi EK glede na zadovoljivost izpolnjenih mejnikov in ciljev.</w:t>
      </w:r>
    </w:p>
    <w:p w14:paraId="494EB0C7" w14:textId="77777777" w:rsidR="008E4054" w:rsidRDefault="008E4054" w:rsidP="008E4054"/>
    <w:p w14:paraId="6AE09C6E" w14:textId="77777777" w:rsidR="008E4054" w:rsidRDefault="008E4054" w:rsidP="008E4054">
      <w:r>
        <w:t xml:space="preserve">V luči procesa četrte spremembe NOO je vlada na današnji seji med drugim ministrstva ponovno pozvala, da celovito preverijo izvedljivost vseh reform in naložb NOO. Vlada bo predlog četrte spremembe NOO predvidoma obravnavala prihodnji mesec in ga nato predložila EK. </w:t>
      </w:r>
    </w:p>
    <w:p w14:paraId="0504C3D3" w14:textId="45DE1582" w:rsidR="008E4054" w:rsidRDefault="008E4054" w:rsidP="008E4054">
      <w:pPr>
        <w:pStyle w:val="Vir"/>
      </w:pPr>
      <w:r>
        <w:t>Vir: Ministrstvo za finance</w:t>
      </w:r>
    </w:p>
    <w:p w14:paraId="71347C29" w14:textId="3F5CEBBC" w:rsidR="003F4EDE" w:rsidRDefault="003F4EDE" w:rsidP="003F4EDE">
      <w:pPr>
        <w:pStyle w:val="Naslov2"/>
      </w:pPr>
      <w:r>
        <w:t xml:space="preserve">Vlada seznanjena z izhodišči za pripravo četrte spremembe Strateškega načrta skupne kmetijske politike 2023–2027 </w:t>
      </w:r>
    </w:p>
    <w:p w14:paraId="4428DBC7" w14:textId="77777777" w:rsidR="003F4EDE" w:rsidRDefault="003F4EDE" w:rsidP="003F4EDE">
      <w:r>
        <w:t>Vlada se je seznanila z Izhodišči za pripravo četrte spremembe Strateškega načrta skupne kmetijske politike 2023–2027 za Slovenijo in nalaga Ministrstvu za kmetijstvo, gozdarstvo in prehrano (MKGP), da ob upoštevanju teh izhodišč pripravi Predlog četrte spremembe Strateškega načrta skupne kmetijske politike 2023–2027 za Slovenijo.</w:t>
      </w:r>
    </w:p>
    <w:p w14:paraId="6E84318A" w14:textId="77777777" w:rsidR="003F4EDE" w:rsidRDefault="003F4EDE" w:rsidP="003F4EDE"/>
    <w:p w14:paraId="606D6993" w14:textId="279F683D" w:rsidR="003F4EDE" w:rsidRDefault="003F4EDE" w:rsidP="003F4EDE">
      <w:r>
        <w:t xml:space="preserve">Namen spremembe </w:t>
      </w:r>
      <w:proofErr w:type="gramStart"/>
      <w:r>
        <w:t>SN</w:t>
      </w:r>
      <w:proofErr w:type="gramEnd"/>
      <w:r>
        <w:t xml:space="preserve"> 2023–2027 je, da pripomore k hitrejšemu in učinkovitejšemu izvajanju strateškega načrta. MKGP bo še naprej spodbujal ekološko kmetijstvo in naložbe, ki prispevajo k prilagajanju podnebnim spremembam. Predlagal bo spremembe pri naložbah </w:t>
      </w:r>
      <w:proofErr w:type="gramStart"/>
      <w:r>
        <w:t>intervencij</w:t>
      </w:r>
      <w:proofErr w:type="gramEnd"/>
      <w:r>
        <w:t xml:space="preserve"> razvoja podeželja, s katerimi se odziva na povečanje stroškov pri investicijah in povečanje inflacije, in spremembe pri intervencijah za mlade kmete, s katerimi se izboljša izvajanje intervencij za mlade prevzemnike. Tudi v prihodnje bo MKGP sledil ciljem okoljske ambicioznosti SN 2023–2027 s spremembami, ki se nanašajo na sheme za podnebje in okolje ter kmetijsko-okoljska-podnebna plačila ter na ostale okoljske </w:t>
      </w:r>
      <w:proofErr w:type="gramStart"/>
      <w:r>
        <w:t>intervencije</w:t>
      </w:r>
      <w:proofErr w:type="gramEnd"/>
      <w:r>
        <w:t>, s čimer se še naprej stremi k varovanju okolja in biotski raznov</w:t>
      </w:r>
      <w:r w:rsidR="008E4054">
        <w:t>r</w:t>
      </w:r>
      <w:r>
        <w:t xml:space="preserve">stnosti. </w:t>
      </w:r>
    </w:p>
    <w:p w14:paraId="443CF274" w14:textId="607822B6" w:rsidR="00B34045" w:rsidRDefault="003F4EDE" w:rsidP="003F4EDE">
      <w:pPr>
        <w:pStyle w:val="Vir"/>
      </w:pPr>
      <w:r>
        <w:t>Vir: Ministrstvo za kmetijstvo, gozdarstvo in prehrano</w:t>
      </w:r>
    </w:p>
    <w:p w14:paraId="3CC22077" w14:textId="105F4AA5" w:rsidR="00473990" w:rsidRDefault="00473990" w:rsidP="00473990">
      <w:pPr>
        <w:pStyle w:val="Naslov2"/>
      </w:pPr>
      <w:r>
        <w:t>Vlada prerazporeja pravice porabe državnega proračuna</w:t>
      </w:r>
    </w:p>
    <w:p w14:paraId="7E644015" w14:textId="77777777" w:rsidR="00473990" w:rsidRDefault="00473990" w:rsidP="00473990">
      <w:r>
        <w:t>Vlada je na današnji seji odločila o prerazporeditvah pravic porabe v letošnjem državnem proračunu.</w:t>
      </w:r>
    </w:p>
    <w:p w14:paraId="66FB5113" w14:textId="77777777" w:rsidR="00473990" w:rsidRDefault="00473990" w:rsidP="00473990">
      <w:r>
        <w:t>Ministrstvo za okolje, podnebje in energijo prerazporeja pravice porabe v okviru svojega finančnega načrta v višini 3,8 milijona evrov za sklenitev letnega aneksa k Pogodbi o izvajanju obvezne javne službe prevoza potnikov v notranjem in čezmejnem regijskem železniškem prometu za obdobje 2017-2031 s Slovenskimi železnicami.</w:t>
      </w:r>
    </w:p>
    <w:p w14:paraId="7EC4806A" w14:textId="77777777" w:rsidR="00473990" w:rsidRDefault="00473990" w:rsidP="00473990"/>
    <w:p w14:paraId="52623206" w14:textId="77226D35" w:rsidR="00473990" w:rsidRDefault="00473990" w:rsidP="00473990">
      <w:r>
        <w:t>Ministrstvo za vzgojo in izobraževanje prerazporeja pravice porabe v okviru svojega finančnega načrta v višini 2 milijona evrov za pokritje stroškov dela zaposlenih v zavodih za vzgojo in izobraževanje otrok in mladostnikov s posebnimi potrebami (ZVIOMPP) ter zaradi večjega obsega dejavnosti na področju ZVIOMPP.</w:t>
      </w:r>
    </w:p>
    <w:p w14:paraId="14A186C5" w14:textId="1C25EE24" w:rsidR="00B34045" w:rsidRDefault="00473990" w:rsidP="00473990">
      <w:pPr>
        <w:pStyle w:val="Vir"/>
      </w:pPr>
      <w:r>
        <w:lastRenderedPageBreak/>
        <w:t>Vir: Ministrstvo za finance</w:t>
      </w:r>
    </w:p>
    <w:p w14:paraId="2B75D8D7" w14:textId="60C2F27C" w:rsidR="00B34045" w:rsidRDefault="00B34045" w:rsidP="00871661">
      <w:pPr>
        <w:pStyle w:val="Naslov2"/>
      </w:pPr>
      <w:r>
        <w:t xml:space="preserve">Informacija o stanju prenosa </w:t>
      </w:r>
      <w:proofErr w:type="gramStart"/>
      <w:r>
        <w:t>direktiv</w:t>
      </w:r>
      <w:proofErr w:type="gramEnd"/>
      <w:r>
        <w:t xml:space="preserve"> v pravni red Republike Slovenije </w:t>
      </w:r>
    </w:p>
    <w:p w14:paraId="06DDB82C" w14:textId="62FA4CFC" w:rsidR="00B83125" w:rsidRDefault="00B83125" w:rsidP="00B83125">
      <w:r>
        <w:t xml:space="preserve">Vlada Republike Slovenije se je na današnji seji seznanila z informacijo o stanju prenosa </w:t>
      </w:r>
      <w:proofErr w:type="gramStart"/>
      <w:r>
        <w:t>direktiv</w:t>
      </w:r>
      <w:proofErr w:type="gramEnd"/>
      <w:r>
        <w:t xml:space="preserve"> v pravni red Republike Slovenije in odprtih postopkih ugotavljanja kršitev prava EU ter jo poslala v seznanitev Odboru Državnega zbora za zadeve Evropske unije. </w:t>
      </w:r>
    </w:p>
    <w:p w14:paraId="369363F0" w14:textId="77777777" w:rsidR="00B83125" w:rsidRDefault="00B83125" w:rsidP="00B83125"/>
    <w:p w14:paraId="02EF11DB" w14:textId="1BDF4B3C" w:rsidR="00B83125" w:rsidRDefault="00B83125" w:rsidP="00B83125">
      <w:r>
        <w:t xml:space="preserve">Informacija najprej vsebuje stanje prenosa </w:t>
      </w:r>
      <w:proofErr w:type="gramStart"/>
      <w:r>
        <w:t>direktiv</w:t>
      </w:r>
      <w:proofErr w:type="gramEnd"/>
      <w:r>
        <w:t xml:space="preserve">, katerih rok za prenos je že potekel, vsi predpisi za njihov prenos pa še niso sprejeti oziroma notificirani, in direktiv, katerih rok za prenos poteče najpozneje 30. junija 2031. Na seznamu je skupno 71 </w:t>
      </w:r>
      <w:proofErr w:type="gramStart"/>
      <w:r>
        <w:t>direktiv</w:t>
      </w:r>
      <w:proofErr w:type="gramEnd"/>
      <w:r>
        <w:t xml:space="preserve">, od katerih je šest direktiv takih, katerih rok za prenos je že potekel, vsi predpisi za njihov prenos pa še niso sprejeti oziroma notificirani, in 65 takih, katerih rok za prenos poteče najpozneje 30. junija 2031. </w:t>
      </w:r>
    </w:p>
    <w:p w14:paraId="5E9E8031" w14:textId="77777777" w:rsidR="00B83125" w:rsidRDefault="00B83125" w:rsidP="00B83125"/>
    <w:p w14:paraId="7F261502" w14:textId="6056022E" w:rsidR="00B83125" w:rsidRDefault="00B83125" w:rsidP="00B83125">
      <w:r>
        <w:t xml:space="preserve">Drugi del informacije vsebuje seznam odprtih postopkov ugotavljanja kršitev prava EU, pri čemer so postopki razdeljeni na tiste, ki jih je Evropska komisija sprožila zaradi nepravočasnega prenosa direktiv v pravni red Republike Slovenije oziroma zaradi </w:t>
      </w:r>
      <w:proofErr w:type="spellStart"/>
      <w:r>
        <w:t>nenotifikacije</w:t>
      </w:r>
      <w:proofErr w:type="spellEnd"/>
      <w:r>
        <w:t xml:space="preserve"> nacionalnih predpisov</w:t>
      </w:r>
      <w:proofErr w:type="gramStart"/>
      <w:r>
        <w:t>,</w:t>
      </w:r>
      <w:proofErr w:type="gramEnd"/>
      <w:r>
        <w:t xml:space="preserve"> in tiste, sprožene iz razlogov nepravilnega prenosa pravnih aktov EU in neizpolnjevanja ali neustreznega izpolnjevanja drugih obveznosti, ki izhajajo iz pravnega reda EU. Evropska komisija vodi zoper Republiko Slovenijo 47 postopkov v skladu z 258. členom, 258. členom v povezavi s tretjim odstavkom 260. člena in drugim odstavkom 260. člena Pogodbe o delovanju Evropske unije. Po vrsti kršitve se od 47 odprtih postopkov kršitev prava EU 21 postopkov nanaša na nepravočasen prenos </w:t>
      </w:r>
      <w:proofErr w:type="gramStart"/>
      <w:r>
        <w:t>direktiv</w:t>
      </w:r>
      <w:proofErr w:type="gramEnd"/>
      <w:r>
        <w:t xml:space="preserve"> v pravni red RS oziroma </w:t>
      </w:r>
      <w:proofErr w:type="spellStart"/>
      <w:r>
        <w:t>nenotifikacijo</w:t>
      </w:r>
      <w:proofErr w:type="spellEnd"/>
      <w:r>
        <w:t xml:space="preserve"> nacionalnih predpisov za prenos in 26 na nepravilen prenos pravnih aktov EU in neizpolnjevanje ali neustrezno izpolnjevanje drugih obveznosti, ki izhajajo iz pravnega reda Evropske unije.</w:t>
      </w:r>
    </w:p>
    <w:p w14:paraId="566B4FE9" w14:textId="77777777" w:rsidR="00B83125" w:rsidRDefault="00B83125" w:rsidP="00B83125">
      <w:pPr>
        <w:pStyle w:val="Vir"/>
      </w:pPr>
      <w:r>
        <w:t>Vir: Služba Vlade Republike Slovenije za zakonodajo</w:t>
      </w:r>
    </w:p>
    <w:p w14:paraId="2D8C5658" w14:textId="3914A111" w:rsidR="0039599D" w:rsidRDefault="0039599D" w:rsidP="0039599D">
      <w:pPr>
        <w:pStyle w:val="Naslov2"/>
      </w:pPr>
      <w:r>
        <w:t xml:space="preserve">Prispevek Slovenije za delovanje </w:t>
      </w:r>
      <w:proofErr w:type="gramStart"/>
      <w:r>
        <w:t>Palestinske</w:t>
      </w:r>
      <w:proofErr w:type="gramEnd"/>
      <w:r>
        <w:t xml:space="preserve"> uprave</w:t>
      </w:r>
    </w:p>
    <w:p w14:paraId="5623CA38" w14:textId="77777777" w:rsidR="0039599D" w:rsidRDefault="0039599D" w:rsidP="0039599D">
      <w:r>
        <w:t xml:space="preserve">Vlada Republike Slovenije v letu 2025 nameni prispevek za delovanje </w:t>
      </w:r>
      <w:proofErr w:type="gramStart"/>
      <w:r>
        <w:t>Palestinske</w:t>
      </w:r>
      <w:proofErr w:type="gramEnd"/>
      <w:r>
        <w:t xml:space="preserve"> uprave v skupni vrednosti 1.200.000 evrov, kar bo Ministrstvo za zunanje in evropske zadeve, izvedlo prek mehanizma EU PEGASE.</w:t>
      </w:r>
    </w:p>
    <w:p w14:paraId="3611B3AA" w14:textId="77777777" w:rsidR="0039599D" w:rsidRDefault="0039599D" w:rsidP="0039599D"/>
    <w:p w14:paraId="60265B1F" w14:textId="77777777" w:rsidR="0039599D" w:rsidRDefault="0039599D" w:rsidP="0039599D">
      <w:r>
        <w:t xml:space="preserve">Ministrstvo za zunanje in evropske zadeve (MZEZ) ocenjuje, da je kontinuirano delovanje </w:t>
      </w:r>
      <w:proofErr w:type="gramStart"/>
      <w:r>
        <w:t>Palestinske</w:t>
      </w:r>
      <w:proofErr w:type="gramEnd"/>
      <w:r>
        <w:t xml:space="preserve"> uprave nujno za vzpostavitev in ohranitev palestinske državnosti. Ob dejstvu, da je Republika Slovenija 4. junija 2024 priznala Državo Palestino in da aktivno sodeluje v pobudah za implementacijo rešitev dveh držav, je politično podporo Republike Slovenije nujno podkrepiti tudi s finančnimi sredstvi.  </w:t>
      </w:r>
    </w:p>
    <w:p w14:paraId="3A829059" w14:textId="5083F6C4" w:rsidR="0039599D" w:rsidRDefault="0039599D" w:rsidP="0039599D">
      <w:r>
        <w:t xml:space="preserve">Francoska republika, Kraljevina Španija, Kraljevina Norveška in Kraljevina </w:t>
      </w:r>
      <w:proofErr w:type="spellStart"/>
      <w:r>
        <w:t>Saudova</w:t>
      </w:r>
      <w:proofErr w:type="spellEnd"/>
      <w:r>
        <w:t xml:space="preserve"> Arabija so v drugi polovici septembra 2025 oblikovale Koalicijo za nujno zagotavljanje finančne vzdržnosti </w:t>
      </w:r>
      <w:proofErr w:type="gramStart"/>
      <w:r>
        <w:t>Palestinske</w:t>
      </w:r>
      <w:proofErr w:type="gramEnd"/>
      <w:r>
        <w:t xml:space="preserve"> uprave (ang.: </w:t>
      </w:r>
      <w:proofErr w:type="spellStart"/>
      <w:r>
        <w:t>Emergency</w:t>
      </w:r>
      <w:proofErr w:type="spellEnd"/>
      <w:r>
        <w:t xml:space="preserve"> </w:t>
      </w:r>
      <w:proofErr w:type="spellStart"/>
      <w:r>
        <w:t>Coalition</w:t>
      </w:r>
      <w:proofErr w:type="spellEnd"/>
      <w:r>
        <w:t xml:space="preserve"> </w:t>
      </w:r>
      <w:proofErr w:type="gramStart"/>
      <w:r>
        <w:t>for</w:t>
      </w:r>
      <w:proofErr w:type="gramEnd"/>
      <w:r>
        <w:t xml:space="preserve"> the Financial </w:t>
      </w:r>
      <w:proofErr w:type="spellStart"/>
      <w:r>
        <w:t>Sustainability</w:t>
      </w:r>
      <w:proofErr w:type="spellEnd"/>
      <w:r>
        <w:t xml:space="preserve"> of the </w:t>
      </w:r>
      <w:proofErr w:type="spellStart"/>
      <w:r>
        <w:t>Palestinian</w:t>
      </w:r>
      <w:proofErr w:type="spellEnd"/>
      <w:r>
        <w:t xml:space="preserve"> Authority). Načrt koalicije je zagotoviti 200 milijonov ameriških dolarjev mesečno v prihodnjih šestih mesecih za pomoč palestinski oblasti. Po šestih mesecih bo opravljena evalvacija učinkovitosti pomoči. K sodelovanju so države pobudnice povabile tudi Republiko Slovenijo kot aktivno članico Združenih narodov, na podlagi njenega dosedanjega humanitarnega angažmaja za palestinsko prebivalstvo ter dosledne podpore diplomatskim in političnim prizadevanjem za rešitev palestinskega vprašanja.</w:t>
      </w:r>
    </w:p>
    <w:p w14:paraId="5E897E16" w14:textId="3DE8893D" w:rsidR="001E514B" w:rsidRDefault="0039599D" w:rsidP="0039599D">
      <w:pPr>
        <w:pStyle w:val="Vir"/>
      </w:pPr>
      <w:r>
        <w:t>Vir: Ministrstvo za zunanje in evropske zadeve</w:t>
      </w:r>
    </w:p>
    <w:p w14:paraId="3CE074B9" w14:textId="2D2B4292" w:rsidR="00CE0FB4" w:rsidRPr="00CE0FB4" w:rsidRDefault="00CE0FB4" w:rsidP="00CE0FB4">
      <w:pPr>
        <w:pStyle w:val="Naslov2"/>
      </w:pPr>
      <w:r w:rsidRPr="00CE0FB4">
        <w:rPr>
          <w:rStyle w:val="Naslov2Znak"/>
          <w:b/>
          <w:bCs/>
        </w:rPr>
        <w:t>Vlada podpira Predlog zakona o uporabi jezika</w:t>
      </w:r>
      <w:r w:rsidRPr="00CE0FB4">
        <w:t xml:space="preserve"> gluhoslepih </w:t>
      </w:r>
    </w:p>
    <w:p w14:paraId="09C57855" w14:textId="56D6127A" w:rsidR="00CE0FB4" w:rsidRDefault="00CE0FB4" w:rsidP="00CE0FB4">
      <w:r>
        <w:lastRenderedPageBreak/>
        <w:t xml:space="preserve">Vlada je podprla pobudo skupine poslank in poslancev, ki so dne 30. maja 2025 vložili </w:t>
      </w:r>
      <w:proofErr w:type="gramStart"/>
      <w:r>
        <w:t>predlog Zakona</w:t>
      </w:r>
      <w:proofErr w:type="gramEnd"/>
      <w:r>
        <w:t xml:space="preserve"> o uporabi jezika gluhoslepih. Vlada Predlog ocenjuje kot pomemben in nujen korak v smeri uresničevanja ustavnih pravic, jezikovne pravičnosti in socialne vključenosti ter ob ustrezni uskladitvi z zmožnostmi sistema izraža podporo nadaljnjemu zakonodajnemu procesu.</w:t>
      </w:r>
    </w:p>
    <w:p w14:paraId="77A607C1" w14:textId="77777777" w:rsidR="00CE0FB4" w:rsidRDefault="00CE0FB4" w:rsidP="00CE0FB4"/>
    <w:p w14:paraId="37845DC4" w14:textId="77777777" w:rsidR="00CE0FB4" w:rsidRDefault="00CE0FB4" w:rsidP="00CE0FB4">
      <w:r>
        <w:t xml:space="preserve">Slovenija je kot prva država na svetu leta 2021 jezik gluhoslepih vpisala v ustavo. S tem se je zavezala k zagotavljanju človekovih pravic oseb z gluhoslepoto in postala zgled na področju jezikovne pravičnosti ter vključujoče zakonodaje. Gluhoslepota je ena najtežjih invalidnosti in ni zgolj seštevek gluhote in slepote, temveč sočasna okvara vida in sluha, kar pomeni edinstven način zaznavanja sveta. Zaradi izgube obeh glavnih kanalov za prejem informacij je orientacija gluhoslepih oseb v prostoru, dostop do informacij in komunikacija z okolico bistveno otežena. Komunikacija oseb z gluhoslepoto je zahtevnejša in počasnejša. Poleg tega gluhoslepe osebe nimajo dostopa do alternativnih kanalov, zato je zanje tolmač edini most do informacij in sodelovanja v družbi. Predlog predvideva pravico do tolmača pred javnimi institucijami in pravico do tolmača po lastni presoji. Pravico do tolmača po lastni presoji imajo lahko osebe z gluhoslepoto v višini 480 ur tolmačenja letno. Dijaki, študentje, udeleženci izobraževanja odraslih vključeni v </w:t>
      </w:r>
      <w:proofErr w:type="gramStart"/>
      <w:r>
        <w:t>javnoveljavne</w:t>
      </w:r>
      <w:proofErr w:type="gramEnd"/>
      <w:r>
        <w:t xml:space="preserve"> izobraževalne programe ali kategorizirani športniki pa 720 ur tolmačenja letno.</w:t>
      </w:r>
    </w:p>
    <w:p w14:paraId="6C0DFC58" w14:textId="77777777" w:rsidR="00CE0FB4" w:rsidRDefault="00CE0FB4" w:rsidP="00CE0FB4"/>
    <w:p w14:paraId="6F96BB7E" w14:textId="77777777" w:rsidR="00CE0FB4" w:rsidRDefault="00CE0FB4" w:rsidP="00CE0FB4">
      <w:r>
        <w:t xml:space="preserve">Za zagotavljanje razvoja jezika gluhoslepih in za strokovno pomoč pri sprejemanju odločitev s področja oseb z gluhoslepoto Predlog tudi vzpostavlja Svet za jezik gluhoslepih. </w:t>
      </w:r>
    </w:p>
    <w:p w14:paraId="08BF84E2" w14:textId="782D6AF0" w:rsidR="001E514B" w:rsidRDefault="00CE0FB4" w:rsidP="00CE0FB4">
      <w:pPr>
        <w:pStyle w:val="Vir"/>
      </w:pPr>
      <w:r>
        <w:t>Vir: Ministrstvo za delo, družino</w:t>
      </w:r>
      <w:r w:rsidR="006C54FA">
        <w:t xml:space="preserve">, </w:t>
      </w:r>
      <w:r>
        <w:t>socialne zadeve in enake možnosti</w:t>
      </w:r>
    </w:p>
    <w:p w14:paraId="72823118" w14:textId="76ABC7DF" w:rsidR="006C54FA" w:rsidRDefault="006C54FA" w:rsidP="006C54FA">
      <w:pPr>
        <w:pStyle w:val="Naslov2"/>
      </w:pPr>
      <w:r>
        <w:t xml:space="preserve">Vlada </w:t>
      </w:r>
      <w:r>
        <w:t>sprejela ukrep proti Benjaminu Netanjahuju, predsedniku vlade države Izrael</w:t>
      </w:r>
    </w:p>
    <w:p w14:paraId="5B865983" w14:textId="35D2C952" w:rsidR="006C54FA" w:rsidRDefault="006C54FA" w:rsidP="006C54FA">
      <w:r>
        <w:t xml:space="preserve">Vlada je danes soglasno sprejela ukrep proti Benjaminu Netanjahuju, predsedniku vlade države Izrael, ki sledi že sprejetim ukrepom proti dvema ekstremnima izraelskima ministroma. </w:t>
      </w:r>
    </w:p>
    <w:p w14:paraId="4C24D227" w14:textId="77777777" w:rsidR="006C54FA" w:rsidRDefault="006C54FA" w:rsidP="006C54FA"/>
    <w:p w14:paraId="3B9EFAA9" w14:textId="4908F8A3" w:rsidR="006C54FA" w:rsidRDefault="006C54FA" w:rsidP="006C54FA">
      <w:r>
        <w:t>Proti izraelskemu predsedniku vlade tečejo postopki zaradi storitve vojnih hudodelstev in hudodelstev zoper človečnost. Med drugim je Meddržavno sodišče že 19. julija 2024</w:t>
      </w:r>
      <w:r w:rsidR="005E105E">
        <w:t xml:space="preserve"> </w:t>
      </w:r>
      <w:r>
        <w:t xml:space="preserve">ugotovilo, da več izraelskih politik in praks krši tako mednarodno humanitarno pravo kot pravo človekovih pravic. </w:t>
      </w:r>
    </w:p>
    <w:p w14:paraId="5D02ECBA" w14:textId="77777777" w:rsidR="006C54FA" w:rsidRDefault="006C54FA" w:rsidP="006C54FA"/>
    <w:p w14:paraId="54407269" w14:textId="77777777" w:rsidR="006C54FA" w:rsidRDefault="006C54FA" w:rsidP="006C54FA">
      <w:r>
        <w:t xml:space="preserve">Vlada s to potezo pošilja jasno sporočilo državi Izrael, da Slovenija pričakuje dosledno spoštovanje odločitev mednarodnih sodišč in mednarodnega humanitarnega prava. </w:t>
      </w:r>
    </w:p>
    <w:p w14:paraId="477213FD" w14:textId="77777777" w:rsidR="006C54FA" w:rsidRDefault="006C54FA" w:rsidP="006C54FA"/>
    <w:p w14:paraId="121C8E0B" w14:textId="7E75B5AF" w:rsidR="006C54FA" w:rsidRDefault="006C54FA" w:rsidP="006C54FA">
      <w:r>
        <w:t>S tem dejanjem Slovenija potrjuje svojo zavezanost mednarodnemu pravu, univerzalnim vrednotam človekovih pravic ter načelni in dosledni zunanji politiki.</w:t>
      </w:r>
    </w:p>
    <w:p w14:paraId="4F42CCD6" w14:textId="6A480F51" w:rsidR="006C54FA" w:rsidRDefault="006C54FA" w:rsidP="006C54FA">
      <w:pPr>
        <w:pStyle w:val="Vir"/>
      </w:pPr>
      <w:r w:rsidRPr="006C54FA">
        <w:t>Vir: Ministrstvo za zunanje in evropske zadeve</w:t>
      </w:r>
    </w:p>
    <w:p w14:paraId="1212C033" w14:textId="3BE4D5CF" w:rsidR="005240F6" w:rsidRDefault="005240F6" w:rsidP="005240F6">
      <w:pPr>
        <w:pStyle w:val="Naslov2"/>
      </w:pPr>
      <w:r>
        <w:t xml:space="preserve">Vlada imenovala direktorja Urada Republike Slovenije za nadzor, kakovost in </w:t>
      </w:r>
      <w:proofErr w:type="gramStart"/>
      <w:r>
        <w:t>investicije</w:t>
      </w:r>
      <w:proofErr w:type="gramEnd"/>
      <w:r>
        <w:t xml:space="preserve"> v zdravstvu </w:t>
      </w:r>
    </w:p>
    <w:p w14:paraId="74640DCF" w14:textId="4D25F8D0" w:rsidR="005240F6" w:rsidRDefault="005240F6" w:rsidP="005240F6">
      <w:r>
        <w:t xml:space="preserve">Vlada Republike Slovenije je na današnji seji dala soglasje k imenovanju Ivana Osrečkega za direktorja Urada Republike Slovenije za nadzor, kakovost in </w:t>
      </w:r>
      <w:proofErr w:type="gramStart"/>
      <w:r>
        <w:t>investicije</w:t>
      </w:r>
      <w:proofErr w:type="gramEnd"/>
      <w:r>
        <w:t xml:space="preserve"> v zdravstvu za mandatno dobo petih let, in sicer od 26. oktobra 2025 do 25. oktobra 2030, z možnostjo ponovnega imenovanja.</w:t>
      </w:r>
    </w:p>
    <w:p w14:paraId="72122639" w14:textId="3D72C1A0" w:rsidR="00B34045" w:rsidRDefault="005240F6" w:rsidP="005240F6">
      <w:pPr>
        <w:pStyle w:val="Vir"/>
      </w:pPr>
      <w:r>
        <w:t>Vir: Ministrstvo za zdravje</w:t>
      </w:r>
    </w:p>
    <w:p w14:paraId="09C23C68" w14:textId="554F3F23" w:rsidR="00B25F1F" w:rsidRDefault="00B25F1F" w:rsidP="00B25F1F">
      <w:pPr>
        <w:pStyle w:val="Naslov2"/>
      </w:pPr>
      <w:r>
        <w:t>Razrešitev in imenovanje nadomestnega člana, predstavnika ustanovitelja, v upravni odbor Geološkega zavoda Slovenije</w:t>
      </w:r>
    </w:p>
    <w:p w14:paraId="79EC630F" w14:textId="77777777" w:rsidR="00B25F1F" w:rsidRDefault="00B25F1F" w:rsidP="00B25F1F">
      <w:r>
        <w:lastRenderedPageBreak/>
        <w:t>Vlada je sklenila, da se v upravnem odboru javnega raziskovalnega zavoda Geološki zavod Slovenije kot predstavnik ustanovitelja razreši član Jurij Crnkovič. Za preostanek mandata se v upravni odbor zavoda kot predstavnik ustanovitelja imenuje član Žiga Hrib.</w:t>
      </w:r>
    </w:p>
    <w:p w14:paraId="517AE23D" w14:textId="77777777" w:rsidR="00B25F1F" w:rsidRDefault="00B25F1F" w:rsidP="00B25F1F">
      <w:pPr>
        <w:pStyle w:val="Vir"/>
      </w:pPr>
      <w:r>
        <w:t>Vir: Ministrstvo za visoko šolstvo, znanost in inovacije</w:t>
      </w:r>
    </w:p>
    <w:p w14:paraId="4D8D7603" w14:textId="726A05B4" w:rsidR="00801075" w:rsidRDefault="00801075" w:rsidP="00801075">
      <w:pPr>
        <w:pStyle w:val="Naslov2"/>
      </w:pPr>
      <w:r>
        <w:t>Imenovanje predstavnika Republike Slovenije v Mednarodnem denarnem skladu</w:t>
      </w:r>
    </w:p>
    <w:p w14:paraId="46F52B4E" w14:textId="77777777" w:rsidR="00801075" w:rsidRDefault="00801075" w:rsidP="00801075">
      <w:r>
        <w:t xml:space="preserve">Vlada je na današnji seji imenovala Gregorja Goloba za predstavnika Republike Slovenije v Mednarodnem denarnem skladu (MDS), na mesto svetovalca izvršnega direktorja </w:t>
      </w:r>
      <w:proofErr w:type="spellStart"/>
      <w:r>
        <w:t>konstituence</w:t>
      </w:r>
      <w:proofErr w:type="spellEnd"/>
      <w:r>
        <w:t xml:space="preserve"> Avstrije, Češke, Madžarske, Kosova, Slovaške, Slovenije in Turčije, za obdobje od 1. novembra 2025 do 31. oktobra 2027.    </w:t>
      </w:r>
    </w:p>
    <w:p w14:paraId="1A11ABC8" w14:textId="77777777" w:rsidR="00801075" w:rsidRDefault="00801075" w:rsidP="00801075"/>
    <w:p w14:paraId="468B1D7C" w14:textId="13B82289" w:rsidR="00801075" w:rsidRDefault="00801075" w:rsidP="00801075">
      <w:r>
        <w:t>Na podlagi pisnega dogovora med Banko Slovenije (BS) in Ministrstvom za finance o skupnem predstavniku Republike Slovenije v Mednarodnem denarnem skladu in Skupini Svetovne banke</w:t>
      </w:r>
      <w:proofErr w:type="gramStart"/>
      <w:r>
        <w:t>,</w:t>
      </w:r>
      <w:proofErr w:type="gramEnd"/>
      <w:r>
        <w:t xml:space="preserve"> BS in Ministrstvo za finance izmenično predlagata skupnega predstavnika v Skupini svetovne banke in MDS.</w:t>
      </w:r>
    </w:p>
    <w:p w14:paraId="6B0C24F4" w14:textId="77777777" w:rsidR="00801075" w:rsidRDefault="00801075" w:rsidP="00801075"/>
    <w:p w14:paraId="61F70931" w14:textId="32F7E4AA" w:rsidR="00801075" w:rsidRDefault="00801075" w:rsidP="00801075">
      <w:r>
        <w:t xml:space="preserve">BS je 15. septembra 2025 v luči pomena ohranjanja slovenskega predstavništva v MDS, Ministrstvo za finance obvestila, da je na podlagi kadrovskega razpisa za mesto svetovalca v MDS izbrala Gregorja Goloba, svetovalca iz pravnega oddelka BS. </w:t>
      </w:r>
    </w:p>
    <w:p w14:paraId="34913C53" w14:textId="77777777" w:rsidR="00801075" w:rsidRDefault="00801075" w:rsidP="00801075"/>
    <w:p w14:paraId="5D289343" w14:textId="4BF296D5" w:rsidR="00801075" w:rsidRDefault="00801075" w:rsidP="00801075">
      <w:r>
        <w:t xml:space="preserve">Gregor Golob ima primerne izkušnje in znanja s področja mednarodnih financ. Od januarja 2021 je zaposlen v BS kot pravni svetovalec, kjer zagotavlja pravno podporo pri bančnih operacijah BS, prav tako pa nudi pravno podporo Službi za reševanje bank, zastopa BS pred sodišči, obenem pa deluje kot slovenski delegat v Evropskem bančnem organu (EBA) za področje finančnih inovacij in umetne inteligence. Izpolnjuje tudi potrebne pogoje, ki jih morajo sicer izpolnjevati uslužbenci pisarne </w:t>
      </w:r>
      <w:proofErr w:type="spellStart"/>
      <w:r>
        <w:t>konstituence</w:t>
      </w:r>
      <w:proofErr w:type="spellEnd"/>
      <w:r>
        <w:t xml:space="preserve"> izvršnega direktorja. Glede na delovne izkušnje je upravičeno pričakovati, da bo Gregor Golob ustrezno opravljal naloge svetovalca izvršnega direktorja MDS v navedenem obdobju.</w:t>
      </w:r>
    </w:p>
    <w:p w14:paraId="74144680" w14:textId="78A651D8" w:rsidR="00B34045" w:rsidRDefault="00801075" w:rsidP="00801075">
      <w:pPr>
        <w:pStyle w:val="Vir"/>
      </w:pPr>
      <w:r>
        <w:t>Vir: Ministrstvo za finance</w:t>
      </w:r>
    </w:p>
    <w:p w14:paraId="354C6982" w14:textId="361D38B7" w:rsidR="008C1123" w:rsidRDefault="008C1123" w:rsidP="008C1123">
      <w:pPr>
        <w:pStyle w:val="Naslov2"/>
      </w:pPr>
      <w:r>
        <w:t>Vlada prilagodila članstvo nekaterih odborov</w:t>
      </w:r>
    </w:p>
    <w:p w14:paraId="5D2638E2" w14:textId="77777777" w:rsidR="008C1123" w:rsidRDefault="008C1123" w:rsidP="008C1123">
      <w:r>
        <w:t>Vzrok spremembe članstev so kadrovske spremembe na Ministrstvu za kulturo in Ministrstvu za zunanje in evropske zadeve.</w:t>
      </w:r>
    </w:p>
    <w:p w14:paraId="1E6115B6" w14:textId="77777777" w:rsidR="008C1123" w:rsidRDefault="008C1123" w:rsidP="008C1123"/>
    <w:p w14:paraId="0D8AB845" w14:textId="1246E251" w:rsidR="008C1123" w:rsidRDefault="008C1123" w:rsidP="008C1123">
      <w:r>
        <w:t>Vlada je v Odboru za premično in nepremično premoženje z mesta članic razrešila dr. Sonjo Kralj in mag. Liljano Figar Ferme ter namesto njiju za članico imenovala Pio Župan Muck, vodjo Službe za evropske zadeve in mednarodno sodelovanje na Ministrstvu za kulturo in za člana mag. Romana Weixlerja, pooblaščenega ministra na Ministrstvu za zunanje in evropske zadeve. V Odboru za premoženje diplomatskih in konzularnih predstavništev, Odboru za arhive in Odboru za zasebno premoženje in pridobljene pravice pa je z mesta članice razrešila mag. Liljano Figar Ferme in namesto nje za člana imenovala mag. Romana Weixlerja, pooblaščenega ministra na Ministrstvu za zunanje in evropske zadeve.</w:t>
      </w:r>
    </w:p>
    <w:p w14:paraId="13340C7B" w14:textId="1DCBD7AE" w:rsidR="00B34045" w:rsidRDefault="008C1123" w:rsidP="008C1123">
      <w:pPr>
        <w:pStyle w:val="Vir"/>
      </w:pPr>
      <w:r>
        <w:t>Vir: Ministrstvo za finance</w:t>
      </w:r>
    </w:p>
    <w:p w14:paraId="4F60D70C" w14:textId="515FBEEB" w:rsidR="00AA4B4B" w:rsidRDefault="00AA4B4B" w:rsidP="00AA4B4B">
      <w:pPr>
        <w:pStyle w:val="Naslov2"/>
      </w:pPr>
      <w:r>
        <w:t>Sprememba članstva v ožji vladni pogajalski skupini za pogajanja in usklajevanja z reprezentativnimi sindikati javnega sektorja</w:t>
      </w:r>
    </w:p>
    <w:p w14:paraId="55A0C0C7" w14:textId="77777777" w:rsidR="00AA4B4B" w:rsidRDefault="00AA4B4B" w:rsidP="00AA4B4B">
      <w:r>
        <w:t xml:space="preserve">Vlada Republike Slovenije je sprejela sklep, s katerim se v ožji pogajalski skupini za pogajanja in usklajevanja z reprezentativnimi sindikati javnega sektorja za pogajanja o prenovi plačnega sistema in </w:t>
      </w:r>
      <w:r>
        <w:lastRenderedPageBreak/>
        <w:t>odpravi nesorazmerij v osnovnih plačah ter o drugih pravicah iz delovnega razmerja javnih uslužbencev z mesta člana razreši Marko Štucin in namesto njega imenuje Neva Grašič, državna sekretarka na Ministrstvu za zunanje in evropske zadeve.</w:t>
      </w:r>
    </w:p>
    <w:p w14:paraId="0BA8BFBB" w14:textId="13107666" w:rsidR="00B34045" w:rsidRDefault="00AA4B4B" w:rsidP="00AA4B4B">
      <w:pPr>
        <w:pStyle w:val="Vir"/>
      </w:pPr>
      <w:r>
        <w:t>Vir: Ministrstvo za javno upravo</w:t>
      </w:r>
    </w:p>
    <w:p w14:paraId="63D01DAE" w14:textId="77777777" w:rsidR="00B34045" w:rsidRDefault="00B34045" w:rsidP="00B34045">
      <w:r>
        <w:t xml:space="preserve"> </w:t>
      </w:r>
    </w:p>
    <w:p w14:paraId="1955D3D9" w14:textId="337BF057" w:rsidR="00067931" w:rsidRDefault="00067931" w:rsidP="00067931">
      <w:pPr>
        <w:pStyle w:val="Naslov2"/>
      </w:pPr>
      <w:r>
        <w:t>Vlada zavrnila pritožbo Združenja varnih hiš Nova Slovenije</w:t>
      </w:r>
    </w:p>
    <w:p w14:paraId="4867054B" w14:textId="06A5B054" w:rsidR="00067931" w:rsidRDefault="00067931" w:rsidP="00067931">
      <w:r>
        <w:t xml:space="preserve">Vlada je izdala odločbo, s katero se zavrne pritožba Združenja varnih hiš Nova Slovenije iz Maribora, ki ga zastopa Aleksander Kamenik, zoper odločbo Ministrstva za kmetijstvo, gozdarstvo in prehrano (MKGP). To je kot organ prve stopnje z odločbo z dne 23. julija 2025 odločilo, da se Združenju varnih hiš Nova Slovenije odvzame status nevladne organizacije, ki deluje v javnem interesu. Združenje varnih hiš Nova Slovenije se z dnem pravnomočnosti navedene odločbe izbriše iz evidence nevladnih organizacij v javnem interesu. </w:t>
      </w:r>
    </w:p>
    <w:p w14:paraId="3342E1A4" w14:textId="77777777" w:rsidR="00067931" w:rsidRDefault="00067931" w:rsidP="00067931"/>
    <w:p w14:paraId="27D730CA" w14:textId="77777777" w:rsidR="00067931" w:rsidRDefault="00067931" w:rsidP="00067931">
      <w:r>
        <w:t xml:space="preserve">Pritožbena stranka je 4. avgusta 2025 pravočasno vložila pritožbo zoper odločbo organa prve stopnje, v kateri navaja, da je imela letos prvič obveznost podaljšati status nevladne organizacije v javnem interesu in da so ji aprila letos vdrli v elektronski naslov društva, do katerega več dni ni imela dostopa. Zato je poročilo, h kateremu jo je pozval organ prve stopnje, poslala iz osebnega elektronskega naslova, vendar to očitno ni bilo poslano in ga organ prve stopnje ni prejel. </w:t>
      </w:r>
    </w:p>
    <w:p w14:paraId="0577718E" w14:textId="77777777" w:rsidR="00067931" w:rsidRDefault="00067931" w:rsidP="00067931"/>
    <w:p w14:paraId="0CACF617" w14:textId="041B3482" w:rsidR="00067931" w:rsidRDefault="00067931" w:rsidP="00067931">
      <w:r>
        <w:t>Organ druge stopnje je ugotovil, da je pritožba neutemeljena, saj bi pritožbena stranka morala do 31. marca 2025 izpolniti obveznost in v skladu z Zakonom o nevladnih organizacijah poslati poročilo. Kljub večkratnim pozivom organa prve stopnje do dneva izdaje izpodbijane odločbe pritožbena stranka ni v celoti izpolnila svoje zakonske obveznosti. Glede na navedeno je pritožbeni organ na podlagi 248. člena ZUP odločil, da se pritožba, kot neutemeljena, v celoti zavrne.</w:t>
      </w:r>
    </w:p>
    <w:p w14:paraId="0DC7E9E7" w14:textId="77777777" w:rsidR="00067931" w:rsidRDefault="00067931" w:rsidP="00067931">
      <w:pPr>
        <w:pStyle w:val="Vir"/>
      </w:pPr>
      <w:r>
        <w:t>Vir: Ministrstvo za kmetijstvo, gozdarstvo in prehrano</w:t>
      </w:r>
    </w:p>
    <w:p w14:paraId="02AEF055" w14:textId="62098EE2" w:rsidR="009F066D" w:rsidRDefault="009F066D" w:rsidP="009F066D">
      <w:pPr>
        <w:pStyle w:val="Naslov2"/>
      </w:pPr>
      <w:r>
        <w:t>Vlada izdala odločbo o razrešitvi dr. Milana Brgleza s funkcije državnega sekretarja v Ministrstvu za pravosodje</w:t>
      </w:r>
    </w:p>
    <w:p w14:paraId="3641097F" w14:textId="79AA7AF5" w:rsidR="009F066D" w:rsidRDefault="009F066D" w:rsidP="009F066D">
      <w:r>
        <w:t>Vlada Republike Slovenije je na današnji seji izdala odločbo o razrešitvi dr. Milana Brgleza s funkcije državnega sekretarja v Ministrstvu za pravosodje z dnem 30. septembra 2025.</w:t>
      </w:r>
    </w:p>
    <w:p w14:paraId="6E0C2518" w14:textId="781626B3" w:rsidR="00B34045" w:rsidRDefault="009F066D" w:rsidP="009F066D">
      <w:pPr>
        <w:pStyle w:val="Vir"/>
      </w:pPr>
      <w:r>
        <w:t>Vir: Ministrstvo za pravosodje</w:t>
      </w:r>
    </w:p>
    <w:p w14:paraId="62F80CC4" w14:textId="77777777" w:rsidR="00B34045" w:rsidRDefault="00B34045" w:rsidP="00B34045">
      <w:r>
        <w:t xml:space="preserve"> </w:t>
      </w:r>
    </w:p>
    <w:p w14:paraId="610EAF91" w14:textId="77777777" w:rsidR="00B34045" w:rsidRDefault="00B34045" w:rsidP="00B34045"/>
    <w:p w14:paraId="0B722AE4" w14:textId="77777777" w:rsidR="00B34045" w:rsidRDefault="00B34045" w:rsidP="00B34045"/>
    <w:p w14:paraId="35E41ECE" w14:textId="77777777" w:rsidR="00B34045" w:rsidRDefault="00B34045" w:rsidP="00B34045"/>
    <w:p w14:paraId="0B7EA499" w14:textId="77777777" w:rsidR="00B34045" w:rsidRDefault="00B34045" w:rsidP="00B34045"/>
    <w:p w14:paraId="7E505CB3" w14:textId="77777777" w:rsidR="006F29FA" w:rsidRPr="006F29FA" w:rsidRDefault="006F29FA" w:rsidP="006F29FA"/>
    <w:p w14:paraId="69E0DA8C" w14:textId="77777777" w:rsidR="00DE1B54" w:rsidRDefault="00DE1B54" w:rsidP="00DE1B54"/>
    <w:sectPr w:rsidR="00DE1B54" w:rsidSect="00F01966">
      <w:type w:val="continuous"/>
      <w:pgSz w:w="11906" w:h="16838"/>
      <w:pgMar w:top="1135" w:right="1417" w:bottom="1417" w:left="1417"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6828" w14:textId="77777777" w:rsidR="0067375D" w:rsidRDefault="0067375D" w:rsidP="00750D01">
      <w:pPr>
        <w:spacing w:line="240" w:lineRule="auto"/>
      </w:pPr>
      <w:r>
        <w:separator/>
      </w:r>
    </w:p>
  </w:endnote>
  <w:endnote w:type="continuationSeparator" w:id="0">
    <w:p w14:paraId="382D8D7B" w14:textId="77777777" w:rsidR="0067375D" w:rsidRDefault="0067375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C905DB" w14:textId="77777777" w:rsidR="0067375D" w:rsidRDefault="0067375D" w:rsidP="00750D01">
      <w:pPr>
        <w:spacing w:line="240" w:lineRule="auto"/>
      </w:pPr>
      <w:r>
        <w:separator/>
      </w:r>
    </w:p>
  </w:footnote>
  <w:footnote w:type="continuationSeparator" w:id="0">
    <w:p w14:paraId="56A3F1D9" w14:textId="77777777" w:rsidR="0067375D" w:rsidRDefault="0067375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16B71" w14:textId="77777777" w:rsidR="009540E4" w:rsidRPr="00110CBD" w:rsidRDefault="009540E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DF38C" w14:textId="1CA9CECA" w:rsidR="00F01966" w:rsidRDefault="00F01966">
    <w:pPr>
      <w:pStyle w:val="Glava"/>
    </w:pPr>
    <w:r>
      <w:rPr>
        <w:noProof/>
      </w:rPr>
      <w:drawing>
        <wp:anchor distT="0" distB="0" distL="114300" distR="114300" simplePos="0" relativeHeight="251660288" behindDoc="0" locked="0" layoutInCell="1" allowOverlap="1" wp14:anchorId="3B4E3537" wp14:editId="27ACADE6">
          <wp:simplePos x="0" y="0"/>
          <wp:positionH relativeFrom="column">
            <wp:posOffset>-742950</wp:posOffset>
          </wp:positionH>
          <wp:positionV relativeFrom="paragraph">
            <wp:posOffset>387098</wp:posOffset>
          </wp:positionV>
          <wp:extent cx="2216989" cy="329086"/>
          <wp:effectExtent l="0" t="0" r="0" b="0"/>
          <wp:wrapNone/>
          <wp:docPr id="2" name="Slika 2" descr="Slika, ki vsebuje besede grafika, simbol, risanka, oblikovanje&#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2" descr="Slika, ki vsebuje besede grafika, simbol, risanka, oblikovanje&#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6989" cy="329086"/>
                  </a:xfrm>
                  <a:prstGeom prst="rect">
                    <a:avLst/>
                  </a:prstGeom>
                  <a:noFill/>
                  <a:ln>
                    <a:noFill/>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26880"/>
    <w:multiLevelType w:val="hybridMultilevel"/>
    <w:tmpl w:val="771E3FA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B24099"/>
    <w:multiLevelType w:val="hybridMultilevel"/>
    <w:tmpl w:val="9F365E5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2D2AC2"/>
    <w:multiLevelType w:val="hybridMultilevel"/>
    <w:tmpl w:val="056094CA"/>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5D2CF9"/>
    <w:multiLevelType w:val="hybridMultilevel"/>
    <w:tmpl w:val="1CDA2A0A"/>
    <w:lvl w:ilvl="0" w:tplc="5044B500">
      <w:start w:val="1"/>
      <w:numFmt w:val="bullet"/>
      <w:lvlText w:val=""/>
      <w:lvlJc w:val="left"/>
      <w:pPr>
        <w:ind w:left="720" w:hanging="360"/>
      </w:pPr>
      <w:rPr>
        <w:rFonts w:ascii="Symbol" w:hAnsi="Symbol" w:hint="default"/>
      </w:rPr>
    </w:lvl>
    <w:lvl w:ilvl="1" w:tplc="41860F60">
      <w:start w:val="20"/>
      <w:numFmt w:val="bullet"/>
      <w:lvlText w:val="-"/>
      <w:lvlJc w:val="left"/>
      <w:pPr>
        <w:ind w:left="1650" w:hanging="57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95E3891"/>
    <w:multiLevelType w:val="hybridMultilevel"/>
    <w:tmpl w:val="9308082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E84495B"/>
    <w:multiLevelType w:val="hybridMultilevel"/>
    <w:tmpl w:val="D870BB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1C90CBE"/>
    <w:multiLevelType w:val="hybridMultilevel"/>
    <w:tmpl w:val="F1F83CB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3F84D0F"/>
    <w:multiLevelType w:val="hybridMultilevel"/>
    <w:tmpl w:val="B07ABD5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7BD65D3"/>
    <w:multiLevelType w:val="hybridMultilevel"/>
    <w:tmpl w:val="35043D9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6A54D47"/>
    <w:multiLevelType w:val="hybridMultilevel"/>
    <w:tmpl w:val="542ED2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0D175E"/>
    <w:multiLevelType w:val="hybridMultilevel"/>
    <w:tmpl w:val="3F46B55A"/>
    <w:lvl w:ilvl="0" w:tplc="5044B50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16cid:durableId="1176576364">
    <w:abstractNumId w:val="10"/>
  </w:num>
  <w:num w:numId="2" w16cid:durableId="984821814">
    <w:abstractNumId w:val="7"/>
  </w:num>
  <w:num w:numId="3" w16cid:durableId="150218247">
    <w:abstractNumId w:val="0"/>
  </w:num>
  <w:num w:numId="4" w16cid:durableId="1026903286">
    <w:abstractNumId w:val="8"/>
  </w:num>
  <w:num w:numId="5" w16cid:durableId="231817878">
    <w:abstractNumId w:val="3"/>
  </w:num>
  <w:num w:numId="6" w16cid:durableId="2110814889">
    <w:abstractNumId w:val="11"/>
  </w:num>
  <w:num w:numId="7" w16cid:durableId="695153758">
    <w:abstractNumId w:val="4"/>
  </w:num>
  <w:num w:numId="8" w16cid:durableId="853298866">
    <w:abstractNumId w:val="6"/>
  </w:num>
  <w:num w:numId="9" w16cid:durableId="1789348953">
    <w:abstractNumId w:val="2"/>
  </w:num>
  <w:num w:numId="10" w16cid:durableId="210968981">
    <w:abstractNumId w:val="1"/>
  </w:num>
  <w:num w:numId="11" w16cid:durableId="1030565529">
    <w:abstractNumId w:val="9"/>
  </w:num>
  <w:num w:numId="12" w16cid:durableId="21236460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4"/>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0E4"/>
    <w:rsid w:val="000318E4"/>
    <w:rsid w:val="00050A56"/>
    <w:rsid w:val="00067931"/>
    <w:rsid w:val="00071299"/>
    <w:rsid w:val="00076DF7"/>
    <w:rsid w:val="00085D04"/>
    <w:rsid w:val="00087069"/>
    <w:rsid w:val="00087A14"/>
    <w:rsid w:val="000910AF"/>
    <w:rsid w:val="00097B85"/>
    <w:rsid w:val="000D5520"/>
    <w:rsid w:val="000E0657"/>
    <w:rsid w:val="0010588B"/>
    <w:rsid w:val="00110B8F"/>
    <w:rsid w:val="00113F85"/>
    <w:rsid w:val="001234DA"/>
    <w:rsid w:val="0013016C"/>
    <w:rsid w:val="00143ADF"/>
    <w:rsid w:val="001602C9"/>
    <w:rsid w:val="0016530C"/>
    <w:rsid w:val="001673A5"/>
    <w:rsid w:val="00173343"/>
    <w:rsid w:val="001B01DD"/>
    <w:rsid w:val="001B42F9"/>
    <w:rsid w:val="001C3560"/>
    <w:rsid w:val="001C4840"/>
    <w:rsid w:val="001C5F19"/>
    <w:rsid w:val="001E514B"/>
    <w:rsid w:val="001F51BC"/>
    <w:rsid w:val="001F7F63"/>
    <w:rsid w:val="00203F5F"/>
    <w:rsid w:val="00215140"/>
    <w:rsid w:val="00215AC0"/>
    <w:rsid w:val="00220CDD"/>
    <w:rsid w:val="00231021"/>
    <w:rsid w:val="0024527B"/>
    <w:rsid w:val="00247CD2"/>
    <w:rsid w:val="002501CE"/>
    <w:rsid w:val="00270984"/>
    <w:rsid w:val="002856E5"/>
    <w:rsid w:val="0029616F"/>
    <w:rsid w:val="002A40B1"/>
    <w:rsid w:val="002C36A6"/>
    <w:rsid w:val="002D5B5D"/>
    <w:rsid w:val="002E3F96"/>
    <w:rsid w:val="002F3BE7"/>
    <w:rsid w:val="0032428F"/>
    <w:rsid w:val="00346E22"/>
    <w:rsid w:val="00351E1E"/>
    <w:rsid w:val="00357DC0"/>
    <w:rsid w:val="00361255"/>
    <w:rsid w:val="00381018"/>
    <w:rsid w:val="003847C8"/>
    <w:rsid w:val="003877EB"/>
    <w:rsid w:val="00390DF7"/>
    <w:rsid w:val="0039207B"/>
    <w:rsid w:val="0039599D"/>
    <w:rsid w:val="0039662C"/>
    <w:rsid w:val="003B24C4"/>
    <w:rsid w:val="003C2517"/>
    <w:rsid w:val="003C3108"/>
    <w:rsid w:val="003D64D8"/>
    <w:rsid w:val="003D7A90"/>
    <w:rsid w:val="003E17B6"/>
    <w:rsid w:val="003E6170"/>
    <w:rsid w:val="003F4CC5"/>
    <w:rsid w:val="003F4EDE"/>
    <w:rsid w:val="00415527"/>
    <w:rsid w:val="00432937"/>
    <w:rsid w:val="004403EC"/>
    <w:rsid w:val="00447B57"/>
    <w:rsid w:val="00455B63"/>
    <w:rsid w:val="00460370"/>
    <w:rsid w:val="00472762"/>
    <w:rsid w:val="00473726"/>
    <w:rsid w:val="00473990"/>
    <w:rsid w:val="00483F02"/>
    <w:rsid w:val="004A7BFC"/>
    <w:rsid w:val="004A7CAD"/>
    <w:rsid w:val="004B4753"/>
    <w:rsid w:val="004B7346"/>
    <w:rsid w:val="004C1ED0"/>
    <w:rsid w:val="004D29A7"/>
    <w:rsid w:val="00514121"/>
    <w:rsid w:val="00522637"/>
    <w:rsid w:val="005240F6"/>
    <w:rsid w:val="00527867"/>
    <w:rsid w:val="00527AA5"/>
    <w:rsid w:val="005314D7"/>
    <w:rsid w:val="00547BCF"/>
    <w:rsid w:val="005515BD"/>
    <w:rsid w:val="0055264A"/>
    <w:rsid w:val="0059143B"/>
    <w:rsid w:val="00593807"/>
    <w:rsid w:val="005A570D"/>
    <w:rsid w:val="005B5886"/>
    <w:rsid w:val="005C1523"/>
    <w:rsid w:val="005E105E"/>
    <w:rsid w:val="005E1ABB"/>
    <w:rsid w:val="00614FFD"/>
    <w:rsid w:val="006274BB"/>
    <w:rsid w:val="00634EFA"/>
    <w:rsid w:val="00635D43"/>
    <w:rsid w:val="0066249C"/>
    <w:rsid w:val="006624A6"/>
    <w:rsid w:val="0067375D"/>
    <w:rsid w:val="006C1B31"/>
    <w:rsid w:val="006C54FA"/>
    <w:rsid w:val="006F29FA"/>
    <w:rsid w:val="0070324C"/>
    <w:rsid w:val="007120FD"/>
    <w:rsid w:val="007130E1"/>
    <w:rsid w:val="007155AE"/>
    <w:rsid w:val="00717E59"/>
    <w:rsid w:val="00722CF1"/>
    <w:rsid w:val="0073796B"/>
    <w:rsid w:val="00750D01"/>
    <w:rsid w:val="007643A0"/>
    <w:rsid w:val="007669A3"/>
    <w:rsid w:val="00781345"/>
    <w:rsid w:val="00784E57"/>
    <w:rsid w:val="007946B8"/>
    <w:rsid w:val="007967DD"/>
    <w:rsid w:val="0079749C"/>
    <w:rsid w:val="007A6460"/>
    <w:rsid w:val="007B0ADD"/>
    <w:rsid w:val="007C21FB"/>
    <w:rsid w:val="007C7B33"/>
    <w:rsid w:val="007E198F"/>
    <w:rsid w:val="007F5D6B"/>
    <w:rsid w:val="007F6EF7"/>
    <w:rsid w:val="00801075"/>
    <w:rsid w:val="008220A3"/>
    <w:rsid w:val="008244C0"/>
    <w:rsid w:val="008336E7"/>
    <w:rsid w:val="00836E94"/>
    <w:rsid w:val="00847AD3"/>
    <w:rsid w:val="008624E8"/>
    <w:rsid w:val="00871661"/>
    <w:rsid w:val="00871A3E"/>
    <w:rsid w:val="008B6738"/>
    <w:rsid w:val="008B7AF2"/>
    <w:rsid w:val="008B7B1F"/>
    <w:rsid w:val="008C1123"/>
    <w:rsid w:val="008C4231"/>
    <w:rsid w:val="008D49BD"/>
    <w:rsid w:val="008E4054"/>
    <w:rsid w:val="008F1CF6"/>
    <w:rsid w:val="00905C96"/>
    <w:rsid w:val="009174DA"/>
    <w:rsid w:val="00933061"/>
    <w:rsid w:val="00933087"/>
    <w:rsid w:val="00941829"/>
    <w:rsid w:val="00945B27"/>
    <w:rsid w:val="009540E4"/>
    <w:rsid w:val="00974186"/>
    <w:rsid w:val="00983241"/>
    <w:rsid w:val="009900DE"/>
    <w:rsid w:val="009A41AA"/>
    <w:rsid w:val="009C2C98"/>
    <w:rsid w:val="009C2D77"/>
    <w:rsid w:val="009C562E"/>
    <w:rsid w:val="009D10D1"/>
    <w:rsid w:val="009E161F"/>
    <w:rsid w:val="009F066D"/>
    <w:rsid w:val="00A06971"/>
    <w:rsid w:val="00A30052"/>
    <w:rsid w:val="00A34FC4"/>
    <w:rsid w:val="00A445DF"/>
    <w:rsid w:val="00A5415F"/>
    <w:rsid w:val="00A60A37"/>
    <w:rsid w:val="00A60FBF"/>
    <w:rsid w:val="00A67305"/>
    <w:rsid w:val="00A733AA"/>
    <w:rsid w:val="00A7412B"/>
    <w:rsid w:val="00AA4B4B"/>
    <w:rsid w:val="00AB1DC2"/>
    <w:rsid w:val="00AD1AFD"/>
    <w:rsid w:val="00AE6CD6"/>
    <w:rsid w:val="00AF5FC8"/>
    <w:rsid w:val="00B022E5"/>
    <w:rsid w:val="00B2486D"/>
    <w:rsid w:val="00B25F1F"/>
    <w:rsid w:val="00B34045"/>
    <w:rsid w:val="00B47F61"/>
    <w:rsid w:val="00B60F58"/>
    <w:rsid w:val="00B70F5B"/>
    <w:rsid w:val="00B753A8"/>
    <w:rsid w:val="00B83125"/>
    <w:rsid w:val="00B84862"/>
    <w:rsid w:val="00B903E5"/>
    <w:rsid w:val="00BA743D"/>
    <w:rsid w:val="00BB1111"/>
    <w:rsid w:val="00BB73C0"/>
    <w:rsid w:val="00BC42E0"/>
    <w:rsid w:val="00BE5C43"/>
    <w:rsid w:val="00BF379E"/>
    <w:rsid w:val="00C3152B"/>
    <w:rsid w:val="00C354D9"/>
    <w:rsid w:val="00C365A8"/>
    <w:rsid w:val="00C458C2"/>
    <w:rsid w:val="00C666AC"/>
    <w:rsid w:val="00C66924"/>
    <w:rsid w:val="00C75D5E"/>
    <w:rsid w:val="00C97F7B"/>
    <w:rsid w:val="00CA5624"/>
    <w:rsid w:val="00CB2E2A"/>
    <w:rsid w:val="00CB5BB5"/>
    <w:rsid w:val="00CC3123"/>
    <w:rsid w:val="00CC37B3"/>
    <w:rsid w:val="00CE0FB4"/>
    <w:rsid w:val="00D10EB4"/>
    <w:rsid w:val="00D14EEC"/>
    <w:rsid w:val="00D15B2F"/>
    <w:rsid w:val="00D209B6"/>
    <w:rsid w:val="00D22282"/>
    <w:rsid w:val="00D50E9C"/>
    <w:rsid w:val="00D60A92"/>
    <w:rsid w:val="00D650E2"/>
    <w:rsid w:val="00D7373E"/>
    <w:rsid w:val="00D822B9"/>
    <w:rsid w:val="00D910C6"/>
    <w:rsid w:val="00D9208E"/>
    <w:rsid w:val="00D92BAB"/>
    <w:rsid w:val="00D95BC6"/>
    <w:rsid w:val="00D966FF"/>
    <w:rsid w:val="00DA3B4D"/>
    <w:rsid w:val="00DA5C0D"/>
    <w:rsid w:val="00DA5D7A"/>
    <w:rsid w:val="00DE199D"/>
    <w:rsid w:val="00DE1B54"/>
    <w:rsid w:val="00DE27BA"/>
    <w:rsid w:val="00E02AB3"/>
    <w:rsid w:val="00E05EEE"/>
    <w:rsid w:val="00E14346"/>
    <w:rsid w:val="00E14AAE"/>
    <w:rsid w:val="00E2036F"/>
    <w:rsid w:val="00E3207D"/>
    <w:rsid w:val="00E3507E"/>
    <w:rsid w:val="00E41AD4"/>
    <w:rsid w:val="00E7132A"/>
    <w:rsid w:val="00E83E60"/>
    <w:rsid w:val="00E86C78"/>
    <w:rsid w:val="00E948BD"/>
    <w:rsid w:val="00EB4542"/>
    <w:rsid w:val="00EC012E"/>
    <w:rsid w:val="00ED432F"/>
    <w:rsid w:val="00EE35F8"/>
    <w:rsid w:val="00EF1263"/>
    <w:rsid w:val="00F01966"/>
    <w:rsid w:val="00F20884"/>
    <w:rsid w:val="00F21123"/>
    <w:rsid w:val="00F21419"/>
    <w:rsid w:val="00F21BAD"/>
    <w:rsid w:val="00F23144"/>
    <w:rsid w:val="00F240E9"/>
    <w:rsid w:val="00F31E41"/>
    <w:rsid w:val="00F33FDD"/>
    <w:rsid w:val="00F35F91"/>
    <w:rsid w:val="00F3728E"/>
    <w:rsid w:val="00F462C7"/>
    <w:rsid w:val="00F93A56"/>
    <w:rsid w:val="00FA2767"/>
    <w:rsid w:val="00FA792D"/>
    <w:rsid w:val="00FC2D38"/>
    <w:rsid w:val="00FD6F18"/>
    <w:rsid w:val="00FE560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48F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D5117429E6D7418C58FC90322A8638" ma:contentTypeVersion="3" ma:contentTypeDescription="Create a new document." ma:contentTypeScope="" ma:versionID="af7836002ab36a4cf9d574b9cf62edcf">
  <xsd:schema xmlns:xsd="http://www.w3.org/2001/XMLSchema" xmlns:xs="http://www.w3.org/2001/XMLSchema" xmlns:p="http://schemas.microsoft.com/office/2006/metadata/properties" xmlns:ns3="eb582466-1b59-4d29-8755-2962c9164f84" targetNamespace="http://schemas.microsoft.com/office/2006/metadata/properties" ma:root="true" ma:fieldsID="8f3c0790d4e523edad3a139ab2c0a08f" ns3:_="">
    <xsd:import namespace="eb582466-1b59-4d29-8755-2962c9164f8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582466-1b59-4d29-8755-2962c9164f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584C5-23D0-42C4-903E-C12EFBD1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582466-1b59-4d29-8755-2962c9164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A01A8C-74B0-4B71-BCE1-F6503D59E079}">
  <ds:schemaRefs>
    <ds:schemaRef ds:uri="http://schemas.openxmlformats.org/officeDocument/2006/bibliography"/>
  </ds:schemaRefs>
</ds:datastoreItem>
</file>

<file path=customXml/itemProps3.xml><?xml version="1.0" encoding="utf-8"?>
<ds:datastoreItem xmlns:ds="http://schemas.openxmlformats.org/officeDocument/2006/customXml" ds:itemID="{2C695D88-41D0-4D94-8F20-06CCAE564D2D}">
  <ds:schemaRefs>
    <ds:schemaRef ds:uri="eb582466-1b59-4d29-8755-2962c9164f84"/>
    <ds:schemaRef ds:uri="http://schemas.openxmlformats.org/package/2006/metadata/core-propertie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354DDD5E-BF2A-42E4-BF83-F29C09BA9F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10273</Words>
  <Characters>58557</Characters>
  <Application>Microsoft Office Word</Application>
  <DocSecurity>0</DocSecurity>
  <Lines>487</Lines>
  <Paragraphs>137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2025-09-24T09:43:00Z</dcterms:created>
  <dcterms:modified xsi:type="dcterms:W3CDTF">2025-09-25T13:01:00Z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0x010100E5D5117429E6D7418C58FC90322A8638</vt:lpwstr>
  </property>
</Properties>
</file>