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7A6C61A5" w:rsidR="0073796B" w:rsidRPr="0039662C" w:rsidRDefault="00D10EB4" w:rsidP="0039662C">
      <w:pPr>
        <w:pStyle w:val="Naslov1"/>
      </w:pPr>
      <w:r>
        <w:t>1</w:t>
      </w:r>
      <w:r w:rsidR="00087A14">
        <w:t>6</w:t>
      </w:r>
      <w:r w:rsidR="00DA5D7A">
        <w:t>9</w:t>
      </w:r>
      <w:r w:rsidR="0073796B" w:rsidRPr="0039662C">
        <w:t>. redna seja Vlade Republike Slovenije</w:t>
      </w:r>
    </w:p>
    <w:p w14:paraId="27F30B92" w14:textId="1052180F" w:rsidR="0073796B" w:rsidRDefault="002F3BE7" w:rsidP="008B7AF2">
      <w:pPr>
        <w:pStyle w:val="DatumSZJ"/>
      </w:pPr>
      <w:r>
        <w:t>1</w:t>
      </w:r>
      <w:r w:rsidR="00DA5D7A">
        <w:t>8</w:t>
      </w:r>
      <w:r w:rsidR="00D10EB4">
        <w:t>.</w:t>
      </w:r>
      <w:r w:rsidR="0073796B" w:rsidRPr="008B7AF2">
        <w:t xml:space="preserve"> </w:t>
      </w:r>
      <w:r w:rsidR="006F29FA">
        <w:t>september</w:t>
      </w:r>
      <w:r w:rsidR="00DA3B4D">
        <w:t xml:space="preserve"> </w:t>
      </w:r>
      <w:r w:rsidR="0073796B" w:rsidRPr="008B7AF2">
        <w:t>202</w:t>
      </w:r>
      <w:r w:rsidR="00F21123">
        <w:t>5</w:t>
      </w:r>
    </w:p>
    <w:p w14:paraId="35191FF1" w14:textId="72333B65" w:rsidR="009A6CCB" w:rsidRDefault="009A6CCB" w:rsidP="009A6CCB">
      <w:pPr>
        <w:pStyle w:val="Naslov2"/>
      </w:pPr>
      <w:r>
        <w:t>Vlada izdala Uredbo o potrditvi območij osuševalnih sistemov, na katerih se vzdrževanje ni izvajalo</w:t>
      </w:r>
    </w:p>
    <w:p w14:paraId="1E935B59" w14:textId="77777777" w:rsidR="009A6CCB" w:rsidRDefault="009A6CCB" w:rsidP="009A6CCB">
      <w:r>
        <w:t>Vlada Republike Slovenije je izdala Uredbo o potrditvi območij osuševalnih sistemov, na katerih se vzdrževanje ni izvajalo.</w:t>
      </w:r>
    </w:p>
    <w:p w14:paraId="0A748C3C" w14:textId="77777777" w:rsidR="009A6CCB" w:rsidRDefault="009A6CCB" w:rsidP="009A6CCB"/>
    <w:p w14:paraId="16241D75" w14:textId="780C49B5" w:rsidR="009A6CCB" w:rsidRDefault="009A6CCB" w:rsidP="009A6CCB">
      <w:r>
        <w:t xml:space="preserve">Uredba vključuje območja osuševalnih sistemov, ki so bili vzpostavljeni pred 1. januarjem 1999 in za katere v letu 2015 programi vzdrževanja niso bili pripravljeni. Ob pripravi uredbe je bila urejena evidenca vseh namakalnih in osuševalnih sistemov. </w:t>
      </w:r>
    </w:p>
    <w:p w14:paraId="5E3C5230" w14:textId="77777777" w:rsidR="009A6CCB" w:rsidRDefault="009A6CCB" w:rsidP="009A6CCB"/>
    <w:p w14:paraId="028AC6DB" w14:textId="3434876E" w:rsidR="009A6CCB" w:rsidRDefault="009A6CCB" w:rsidP="009A6CCB">
      <w:r>
        <w:t xml:space="preserve">Območja vseh osuševalnih sistemov so bila leta 2004 vnesena v spletno </w:t>
      </w:r>
      <w:proofErr w:type="gramStart"/>
      <w:r>
        <w:t>aplikacijo</w:t>
      </w:r>
      <w:proofErr w:type="gramEnd"/>
      <w:r>
        <w:t xml:space="preserve"> Kataster melioracijskih sistemov in naprav, večino pa so verificirale tudi upravne enote. Izkazalo se je, da se je pri nekaterih osuševalnih sistemih </w:t>
      </w:r>
      <w:proofErr w:type="gramStart"/>
      <w:r>
        <w:t>nivo</w:t>
      </w:r>
      <w:proofErr w:type="gramEnd"/>
      <w:r>
        <w:t xml:space="preserve"> podtalnice tako spremenil, da osuševanje ni več potrebno, spremenila so se tudi območja osuševalnih sistemov oziroma namenska raba prostor. </w:t>
      </w:r>
    </w:p>
    <w:p w14:paraId="21043E27" w14:textId="77777777" w:rsidR="009A6CCB" w:rsidRDefault="009A6CCB" w:rsidP="009A6CCB"/>
    <w:p w14:paraId="20FB7FA0" w14:textId="4B29E35D" w:rsidR="009A6CCB" w:rsidRDefault="009A6CCB" w:rsidP="009A6CCB">
      <w:r>
        <w:t>Sprejetje uredbe neposredno nima novih finančnih posledic, saj zgolj potrjuje obstoječa območja navedenih osuševalnih sistemov. Vsi stroški, povezani z vzdrževanjem teh sistemov, se kot nadomestilo za kritje stroškov odmerijo lastnikom ali zakupnikom zemljišč na območju posameznega osuševalnega sistema.</w:t>
      </w:r>
    </w:p>
    <w:p w14:paraId="6B5BDC37" w14:textId="77777777" w:rsidR="009A6CCB" w:rsidRDefault="009A6CCB" w:rsidP="009A6CCB">
      <w:pPr>
        <w:pStyle w:val="Vir"/>
      </w:pPr>
      <w:r>
        <w:t>Vir: Ministrstvo za kmetijstvo, gozdarstvo in prehrano</w:t>
      </w:r>
    </w:p>
    <w:p w14:paraId="4712264F" w14:textId="625FB32E" w:rsidR="00C00110" w:rsidRDefault="00C00110" w:rsidP="00C00110">
      <w:pPr>
        <w:pStyle w:val="Naslov2"/>
      </w:pPr>
      <w:r>
        <w:t>Vlada izdala uredbo o obsegu izdaje zbirateljskih kovancev ob Letu pesnika Srečka Kosovela</w:t>
      </w:r>
    </w:p>
    <w:p w14:paraId="1E547300" w14:textId="6BB79489" w:rsidR="00C00110" w:rsidRDefault="00C00110" w:rsidP="00C00110">
      <w:r>
        <w:t>Vlada je izdala Uredbo o obsegu izdaje, sestavinah, apoenih in glavnih znamenjih zbirateljskih kovancev ob Letu pesnika Srečka Kosovela.</w:t>
      </w:r>
    </w:p>
    <w:p w14:paraId="265559EE" w14:textId="77777777" w:rsidR="00C00110" w:rsidRDefault="00C00110" w:rsidP="00C00110"/>
    <w:p w14:paraId="28CC99B9" w14:textId="08A7BEF4" w:rsidR="00C00110" w:rsidRDefault="00C00110" w:rsidP="00C00110">
      <w:r>
        <w:t>Vlada je marca letos z Uredbo o določitvi dogodkov, ob katerih se v letu 2026 izdajo priložnostni kovanci določila, da se prihodnje leto izdajo zbirateljski kovanci ob Letu pesnika Srečka Kosovela.</w:t>
      </w:r>
    </w:p>
    <w:p w14:paraId="4C321610" w14:textId="77777777" w:rsidR="00C00110" w:rsidRDefault="00C00110" w:rsidP="00C00110">
      <w:r>
        <w:t xml:space="preserve">Z danes izdano uredbo pa vlada določa značilnosti teh zbirateljskih kovancev in obseg izdaje. Predvidena je izdaja 600 zlatnikov z nominalno vrednostjo 100 evrov, 1250 srebrnikov z nominalno vrednostjo 30 evrov in 67.250 </w:t>
      </w:r>
      <w:proofErr w:type="spellStart"/>
      <w:r>
        <w:t>dvokovinskih</w:t>
      </w:r>
      <w:proofErr w:type="spellEnd"/>
      <w:r>
        <w:t xml:space="preserve"> kovancev z nominalno vrednostjo tri evre.</w:t>
      </w:r>
    </w:p>
    <w:p w14:paraId="3ED636DF" w14:textId="38854512" w:rsidR="004E0038" w:rsidRDefault="00C00110" w:rsidP="00C00110">
      <w:pPr>
        <w:pStyle w:val="Vir"/>
      </w:pPr>
      <w:r>
        <w:t>Vir: Ministrstvo za finance</w:t>
      </w:r>
    </w:p>
    <w:p w14:paraId="59171AD6" w14:textId="181E72B7" w:rsidR="004D6BAC" w:rsidRDefault="004D6BAC" w:rsidP="004D6BAC">
      <w:pPr>
        <w:pStyle w:val="Naslov2"/>
      </w:pPr>
      <w:r>
        <w:t>Vlada določila upravičence do donacij za leto 2025</w:t>
      </w:r>
    </w:p>
    <w:p w14:paraId="0D022AED" w14:textId="77777777" w:rsidR="004D6BAC" w:rsidRDefault="004D6BAC" w:rsidP="004D6BAC">
      <w:r>
        <w:t xml:space="preserve">Vlada je danes sprejela sklep o določitvi upravičencev do donacij za leto 2025. </w:t>
      </w:r>
    </w:p>
    <w:p w14:paraId="27357095" w14:textId="77777777" w:rsidR="004D6BAC" w:rsidRDefault="004D6BAC" w:rsidP="004D6BAC"/>
    <w:p w14:paraId="482CDD98" w14:textId="77777777" w:rsidR="004D6BAC" w:rsidRDefault="004D6BAC" w:rsidP="004D6BAC">
      <w:r>
        <w:t xml:space="preserve">Davčni zavezanci, ki so rezidenti Slovenije, lahko v skladu z Zakonom o dohodnini zahtevajo, da se do en odstotek dohodnine nameni za financiranje upravičencev do donacij. </w:t>
      </w:r>
    </w:p>
    <w:p w14:paraId="7C3DE569" w14:textId="77777777" w:rsidR="004D6BAC" w:rsidRDefault="004D6BAC" w:rsidP="004D6BAC"/>
    <w:p w14:paraId="6D96DB23" w14:textId="77777777" w:rsidR="004D6BAC" w:rsidRDefault="004D6BAC" w:rsidP="004D6BAC">
      <w:r>
        <w:t xml:space="preserve">Na seznam upravičencev do donacij za leto 2025 je vključenih 6185 nevladnih organizacij v javnem interesu, 59 registriranih cerkva in drugih verskih skupnosti, 1031 sestavnih delov registriranih cerkva </w:t>
      </w:r>
      <w:r>
        <w:lastRenderedPageBreak/>
        <w:t xml:space="preserve">oziroma drugih verskih skupnosti, 89 reprezentativnih sindikatov, 84 političnih strank ter 665 šol in vrtcev. </w:t>
      </w:r>
    </w:p>
    <w:p w14:paraId="1F36B5F7" w14:textId="4F61C06E" w:rsidR="004E0038" w:rsidRDefault="004D6BAC" w:rsidP="004D6BAC">
      <w:pPr>
        <w:pStyle w:val="Vir"/>
      </w:pPr>
      <w:r>
        <w:t>Vir: Ministrstvo za finance</w:t>
      </w:r>
    </w:p>
    <w:p w14:paraId="76409F98" w14:textId="1F5B3970" w:rsidR="00A657F2" w:rsidRDefault="00A657F2" w:rsidP="00A657F2">
      <w:pPr>
        <w:pStyle w:val="Naslov2"/>
      </w:pPr>
      <w:r>
        <w:t>Spremembe in dopolnitve sklepa o ustanovitvi Javne agencije za znanstvenoraziskovalno in inovacijsko dejavnost Republike Slovenije</w:t>
      </w:r>
    </w:p>
    <w:p w14:paraId="7727B325" w14:textId="6BE0A25E" w:rsidR="00A657F2" w:rsidRDefault="00A657F2" w:rsidP="00A657F2">
      <w:r>
        <w:t>Vlada Republike Slovenije je sprejela Sklep o spremembah in dopolnitvah Sklepa o ustanovitvi Javne agencije za znanstvenoraziskovalno in inovacijsko dejavnost Republike Slovenije (ARIS) in ga bo objavila v Uradnem listu Republike Slovenije. Z njim se sklep o ustanovitvi ARIS usklajuje z določbami novele Zakona o znanstvenoraziskovalni in inovacijski dejavnosti. Usklajujejo pa se tudi dejavnosti agencije z novo Standardno klasifikacijo dejavnosti v skladu z drugim odstavkom 9. člena Uredbe o standardni klasifikaciji dejavnosti.</w:t>
      </w:r>
    </w:p>
    <w:p w14:paraId="4F3F2B47" w14:textId="1CA2AC95" w:rsidR="004E0038" w:rsidRDefault="00A657F2" w:rsidP="00A657F2">
      <w:pPr>
        <w:pStyle w:val="Vir"/>
      </w:pPr>
      <w:r>
        <w:t>Vir: Ministrstvo za visoko šolstvo, znanost in inovacije</w:t>
      </w:r>
    </w:p>
    <w:p w14:paraId="3584C168" w14:textId="17C06831" w:rsidR="009F6580" w:rsidRDefault="009F6580" w:rsidP="009F6580">
      <w:pPr>
        <w:pStyle w:val="Naslov2"/>
      </w:pPr>
      <w:r>
        <w:t xml:space="preserve">Soglasje k pravilom za delovanje </w:t>
      </w:r>
      <w:proofErr w:type="gramStart"/>
      <w:r>
        <w:t>centra</w:t>
      </w:r>
      <w:proofErr w:type="gramEnd"/>
      <w:r>
        <w:t xml:space="preserve"> za podpore</w:t>
      </w:r>
    </w:p>
    <w:p w14:paraId="33274762" w14:textId="77777777" w:rsidR="009F6580" w:rsidRDefault="009F6580" w:rsidP="009F6580">
      <w:r>
        <w:t xml:space="preserve">Vlada je dala soglasje k Pravilom o spremembi Pravil za delovanje </w:t>
      </w:r>
      <w:proofErr w:type="gramStart"/>
      <w:r>
        <w:t>centra</w:t>
      </w:r>
      <w:proofErr w:type="gramEnd"/>
      <w:r>
        <w:t xml:space="preserve"> za podpore.</w:t>
      </w:r>
    </w:p>
    <w:p w14:paraId="04EA51BF" w14:textId="77777777" w:rsidR="009F6580" w:rsidRDefault="009F6580" w:rsidP="009F6580"/>
    <w:p w14:paraId="2C4EC961" w14:textId="77777777" w:rsidR="009F6580" w:rsidRDefault="009F6580" w:rsidP="009F6580">
      <w:r>
        <w:t xml:space="preserve">Operater trga z elektriko za izvajanje gospodarske javne službe po javnem pooblastilu izdaja pravila, ki urejajo delovanje </w:t>
      </w:r>
      <w:proofErr w:type="gramStart"/>
      <w:r>
        <w:t>centra</w:t>
      </w:r>
      <w:proofErr w:type="gramEnd"/>
      <w:r>
        <w:t xml:space="preserve"> za podpore. Pred objavo v Uradnem listu Republike Slovenije mora zanje pridobiti soglasje Vlade RS, kot določa Zakon o spodbujanju rabe obnovljivih virov energije (ZSROVE).</w:t>
      </w:r>
    </w:p>
    <w:p w14:paraId="65906288" w14:textId="77777777" w:rsidR="009F6580" w:rsidRDefault="009F6580" w:rsidP="009F6580"/>
    <w:p w14:paraId="6F20E281" w14:textId="77777777" w:rsidR="009F6580" w:rsidRDefault="009F6580" w:rsidP="009F6580">
      <w:r>
        <w:t>S spremembo pravil se usklajuje postopek prehoda iz obratovalne podpore na zagotovljeni odkup. Do zdaj so lahko upravičenci prešli na zagotovljeni odkup takoj po prekinitvi pogodbe z dobaviteljem električne energije, medtem ko je že obstoječ mehanizem omogočal tudi obratni prehod – iz zagotovljenega odkupa nazaj na obratovalno podporo.</w:t>
      </w:r>
    </w:p>
    <w:p w14:paraId="5B9E6CAB" w14:textId="77777777" w:rsidR="009F6580" w:rsidRDefault="009F6580" w:rsidP="009F6580"/>
    <w:p w14:paraId="67BBB50F" w14:textId="77777777" w:rsidR="009F6580" w:rsidRDefault="009F6580" w:rsidP="009F6580">
      <w:r>
        <w:t>Po novem bodo morali upravičenci najpozneje do oktobra tekočega leta prijaviti namero o menjavi podpore, pridobiti odločbo o menjavi, sprememba pa bo začela veljati s 1. januarjem prihodnjega leta.</w:t>
      </w:r>
    </w:p>
    <w:p w14:paraId="5F84E52B" w14:textId="271DF198" w:rsidR="004E0038" w:rsidRDefault="009F6580" w:rsidP="009F6580">
      <w:pPr>
        <w:pStyle w:val="Vir"/>
      </w:pPr>
      <w:r>
        <w:t>Vir: Ministrstvo za okolje, podnebje in energijo</w:t>
      </w:r>
    </w:p>
    <w:p w14:paraId="5EBC498C" w14:textId="432892BE" w:rsidR="003F002C" w:rsidRDefault="003F002C" w:rsidP="003F002C">
      <w:pPr>
        <w:pStyle w:val="Naslov2"/>
      </w:pPr>
      <w:r>
        <w:t>Vlada sprejela spremembe programa odprave posledic škode po neurjih jeseni 2023</w:t>
      </w:r>
    </w:p>
    <w:p w14:paraId="5B0DA6DF" w14:textId="77777777" w:rsidR="003F002C" w:rsidRDefault="003F002C" w:rsidP="003F002C">
      <w:r>
        <w:t xml:space="preserve">Vlada je sprejela spremembe programa odprave posledic škode zaradi močnih neurij s plazovi in poplavami od 27. oktobra do 6. novembra 2023. Na seznam objektov v lasti občine ali osebe javnega prava in objektov gospodarske javne infrastrukture lokalnega pomena je dodala nove objekte za obnovo, in sicer v občinah Osilnica in Škofja Loka.  </w:t>
      </w:r>
    </w:p>
    <w:p w14:paraId="35C7B086" w14:textId="77777777" w:rsidR="003F002C" w:rsidRDefault="003F002C" w:rsidP="003F002C"/>
    <w:p w14:paraId="48CBD3A7" w14:textId="77777777" w:rsidR="003F002C" w:rsidRDefault="003F002C" w:rsidP="003F002C">
      <w:r>
        <w:t>Ker objekti v času priprave programa odprave posledic škode vanj niso bili zajeti, se s spremembo zagotavlja uskladitev stanja pri obnovi lokalne infrastrukture. Uvrstitev objektov za sanacijo v program je podlaga za uvrščanje projektov v državni Načrt razvojnih programov in s tem v nadaljevanju za sanacijo.</w:t>
      </w:r>
    </w:p>
    <w:p w14:paraId="4138A81C" w14:textId="4E8398BD" w:rsidR="004E0038" w:rsidRDefault="003F002C" w:rsidP="003F002C">
      <w:pPr>
        <w:pStyle w:val="Vir"/>
      </w:pPr>
      <w:r>
        <w:t>Vir: Ministrstvo za naravne vire in prostor</w:t>
      </w:r>
    </w:p>
    <w:p w14:paraId="15BC1FC2" w14:textId="01493E7B" w:rsidR="00386B69" w:rsidRDefault="00386B69" w:rsidP="00386B69">
      <w:pPr>
        <w:pStyle w:val="Naslov2"/>
      </w:pPr>
      <w:r>
        <w:t>Vlada določila videz spominskega kovanca ob 150. obletnici rojstva Ivana Cankarja</w:t>
      </w:r>
    </w:p>
    <w:p w14:paraId="6D1B0474" w14:textId="77777777" w:rsidR="00386B69" w:rsidRDefault="00386B69" w:rsidP="00386B69">
      <w:r>
        <w:t>Vlada je določila videz spominskega kovanca ob 150. obletnici rojstva Ivana Cankarja.</w:t>
      </w:r>
    </w:p>
    <w:p w14:paraId="7F9BE61B" w14:textId="77777777" w:rsidR="00386B69" w:rsidRDefault="00386B69" w:rsidP="00386B69"/>
    <w:p w14:paraId="4086D213" w14:textId="71AFC816" w:rsidR="00386B69" w:rsidRDefault="00386B69" w:rsidP="00386B69">
      <w:r>
        <w:t>Vlada je predhodno z Uredbo o določitvi dogodkov, ob katerih se v letu 2026 izdajo priložnostni kovanci, določila, da se prihodnje leto izdajo spominski kovanci ob 150. obletnici rojstva Ivana Cankarja. Danes pa je določila glavna znamenja tega spominskega kovanca in obseg izdaje.</w:t>
      </w:r>
    </w:p>
    <w:p w14:paraId="5A2B4EA2" w14:textId="77777777" w:rsidR="00386B69" w:rsidRDefault="00386B69" w:rsidP="00386B69"/>
    <w:p w14:paraId="0F35E72A" w14:textId="1AD78C3A" w:rsidR="00386B69" w:rsidRDefault="00386B69" w:rsidP="00386B69">
      <w:r>
        <w:t>Na kovancu bo upodobljen portret Ivana Cankarja, navdih</w:t>
      </w:r>
      <w:proofErr w:type="gramStart"/>
      <w:r>
        <w:t xml:space="preserve"> za</w:t>
      </w:r>
      <w:proofErr w:type="gramEnd"/>
      <w:r>
        <w:t xml:space="preserve"> katerega je je kip Ivana Cankarja, ki stoji pred Cankarjevim domom in je delo kiparja Slavka Tihca. V levem delu kovanca je ob kolobarju napis »IVAN CANKAR« in njegova letnica rojstva »1876«, spodaj desno pa še država izdajateljica in letnica kovanja. Na kolobarju kovanca je razvrščenih dvanajst zvezd evropske zastave, na obodu kovanca pa je napis »SLOVENIJA«. Izdanih bo milijon teh spominskih kovancev.</w:t>
      </w:r>
    </w:p>
    <w:p w14:paraId="35962073" w14:textId="21F1FBF1" w:rsidR="004E0038" w:rsidRDefault="00386B69" w:rsidP="00386B69">
      <w:pPr>
        <w:pStyle w:val="Vir"/>
      </w:pPr>
      <w:r>
        <w:t>Vir: Ministrstvo za finance</w:t>
      </w:r>
    </w:p>
    <w:p w14:paraId="7D41DCB5" w14:textId="066FF23A" w:rsidR="00F916C5" w:rsidRDefault="00F916C5" w:rsidP="00F916C5">
      <w:pPr>
        <w:pStyle w:val="Naslov2"/>
      </w:pPr>
      <w:r>
        <w:t>Soglasje k pogodbi o sofinanciranju projekta »Novogradnja Fakultete za farmacijo«</w:t>
      </w:r>
    </w:p>
    <w:p w14:paraId="06478CCC" w14:textId="77777777" w:rsidR="00F916C5" w:rsidRDefault="00F916C5" w:rsidP="00F916C5">
      <w:r>
        <w:t xml:space="preserve">Vlada je dala soglasje k sklenitvi pogodbe o sofinanciranju projekta »Novogradnja Fakultete za farmacijo«, ki se sofinancira na podlagi Zakona o zagotavljanju finančnih sredstev za </w:t>
      </w:r>
      <w:proofErr w:type="gramStart"/>
      <w:r>
        <w:t>investicije</w:t>
      </w:r>
      <w:proofErr w:type="gramEnd"/>
      <w:r>
        <w:t xml:space="preserve"> v slovensko zdravstvo v letih od 2021 do 2031 na področju izobraževanja.</w:t>
      </w:r>
    </w:p>
    <w:p w14:paraId="01F11A9F" w14:textId="77777777" w:rsidR="00F916C5" w:rsidRDefault="00F916C5" w:rsidP="00F916C5"/>
    <w:p w14:paraId="1996F532" w14:textId="765906C5" w:rsidR="00F916C5" w:rsidRDefault="00F916C5" w:rsidP="00F916C5">
      <w:r>
        <w:t xml:space="preserve">Z izgradnjo novega objekta za potrebe Univerze v Ljubljani, Fakultete za farmacijo (UL FFA) bodo odpravljene prostorske in tehnične omejitve za izvajanje pedagoške, znanstveno raziskovalne in razvojne ter strokovne dejavnosti omenjene fakultete. S tem bo omogočeno zvišanje vpisnih mest za redni študij na študijskih programih farmacevtskega področja, snovanje in izvedba dodatnih visokošolskih strokovnih študijskih programov, ki naslavljajo potrebe zdravstvenega sistema in gospodarstva, pomembno pa bodo povečani tudi zmogljivosti in kakovost laboratorijev in oprema za znanstveno, raziskovalno in razvojno delo. </w:t>
      </w:r>
    </w:p>
    <w:p w14:paraId="4F4931D1" w14:textId="77777777" w:rsidR="00F916C5" w:rsidRDefault="00F916C5" w:rsidP="00F916C5"/>
    <w:p w14:paraId="460907AD" w14:textId="77777777" w:rsidR="00F916C5" w:rsidRDefault="00F916C5" w:rsidP="00F916C5">
      <w:r>
        <w:t>Projekt je vlada s sklepom že uvrstila v veljavni Načrt razvojnih programov 2025-2028 (v nadaljevanju NRP), njegova vrednost znaša nekaj več kot 133 milijonov evrov. Ministrstvo za zdravje bo prispevalo 97,6 milijona evrov, Ministrstvo za visoko šolstvo, znanost in inovacije 18,7 milijona evrov, lastni viri upravičenca, Univerze v Ljubljani pa 16,8 milijona evrov.</w:t>
      </w:r>
    </w:p>
    <w:p w14:paraId="34562415" w14:textId="00918FC8" w:rsidR="004E0038" w:rsidRDefault="00F916C5" w:rsidP="00F916C5">
      <w:pPr>
        <w:pStyle w:val="Vir"/>
      </w:pPr>
      <w:r>
        <w:t>Vir: Ministrstvo za visoko šolstvo, znanost in inovacije</w:t>
      </w:r>
    </w:p>
    <w:p w14:paraId="1552BE54" w14:textId="074E0C87" w:rsidR="0004260D" w:rsidRDefault="0004260D" w:rsidP="0004260D">
      <w:pPr>
        <w:pStyle w:val="Naslov2"/>
      </w:pPr>
      <w:r>
        <w:t xml:space="preserve">Soglasje Kolesarski zvezi Slovenije za vložitev kandidature za organizacijo </w:t>
      </w:r>
      <w:proofErr w:type="gramStart"/>
      <w:r>
        <w:t>UEC Evropskega prvenstva</w:t>
      </w:r>
      <w:proofErr w:type="gramEnd"/>
      <w:r>
        <w:t xml:space="preserve"> v cestnem kolesarstvu 2026</w:t>
      </w:r>
    </w:p>
    <w:p w14:paraId="437E2CF9" w14:textId="06DF8CEE" w:rsidR="0004260D" w:rsidRDefault="0004260D" w:rsidP="0004260D">
      <w:r>
        <w:t xml:space="preserve">Vlada je Kolesarski zvezi Slovenije dala soglasje za vložitev kandidature pri Evropskem kolesarstvu za organizacijo </w:t>
      </w:r>
      <w:proofErr w:type="gramStart"/>
      <w:r>
        <w:t>UEC Evropskega prvenstva</w:t>
      </w:r>
      <w:proofErr w:type="gramEnd"/>
      <w:r>
        <w:t xml:space="preserve"> v cestnem kolesarstvu 2026. S kandidaturo se je na 28. dopisni seji dne 25. avgusta 2025 seznanil tudi Strokovni svet Republike Slovenije za šport in podal pozitivno mnenje h kandidaturi.</w:t>
      </w:r>
    </w:p>
    <w:p w14:paraId="5A901237" w14:textId="77777777" w:rsidR="0004260D" w:rsidRDefault="0004260D" w:rsidP="0004260D"/>
    <w:p w14:paraId="6417A5F0" w14:textId="77777777" w:rsidR="0004260D" w:rsidRDefault="0004260D" w:rsidP="0004260D">
      <w:r>
        <w:t xml:space="preserve">V skladu z Zakonom o športu morajo kandidati za organizacijo velikih mednarodnih športnih prireditev v Republiki Sloveniji pred vložitvijo kandidature za evropska prvenstva pri mednarodni športni zvezi pridobiti soglasje Vlade Republike Slovenije. </w:t>
      </w:r>
    </w:p>
    <w:p w14:paraId="7A45DFD8" w14:textId="77777777" w:rsidR="0004260D" w:rsidRDefault="0004260D" w:rsidP="0004260D"/>
    <w:p w14:paraId="65A964BE" w14:textId="77777777" w:rsidR="0004260D" w:rsidRDefault="0004260D" w:rsidP="0004260D">
      <w:r>
        <w:t>Kolesarska zveza Slovenije je dolžna ministrstvo za gospodarstvo, turizem in šport, takoj po pridobitvi pravice za organizacijo oziroma najpozneje do 15. novembra 2025 obvestiti, ali je pri Evropski kolesarski zvezi (UEC) pridobila pravice za organizacijo prvenstva.</w:t>
      </w:r>
    </w:p>
    <w:p w14:paraId="2E8AAFDB" w14:textId="77777777" w:rsidR="0004260D" w:rsidRDefault="0004260D" w:rsidP="0004260D"/>
    <w:p w14:paraId="458E429D" w14:textId="77777777" w:rsidR="0004260D" w:rsidRDefault="0004260D" w:rsidP="0004260D">
      <w:r>
        <w:t xml:space="preserve">Vlada je Kolesarski zvezi dala tudi soglasje za sofinanciranje organizacije </w:t>
      </w:r>
      <w:proofErr w:type="gramStart"/>
      <w:r>
        <w:t>UEC Evropskega prvenstva</w:t>
      </w:r>
      <w:proofErr w:type="gramEnd"/>
      <w:r>
        <w:t xml:space="preserve"> v cestnem kolesarstvu 2026. Sofinanciranje se lahko izvede v letu 2026 skladno z letnim programom </w:t>
      </w:r>
      <w:r>
        <w:lastRenderedPageBreak/>
        <w:t>športa v Republiki Sloveniji za leto 2026 in na podlagi Pravilnika o sofinanciranju izvajanja letnega programa športa na državni ravni.</w:t>
      </w:r>
    </w:p>
    <w:p w14:paraId="012BBE41" w14:textId="204D038F" w:rsidR="0004260D" w:rsidRDefault="0004260D" w:rsidP="0004260D">
      <w:pPr>
        <w:pStyle w:val="Vir"/>
      </w:pPr>
      <w:r>
        <w:t>Vir: Ministrstvo za gospodarstvo, turizem in šport</w:t>
      </w:r>
    </w:p>
    <w:p w14:paraId="556E657D" w14:textId="38D9D1DE" w:rsidR="0089453C" w:rsidRDefault="0089453C" w:rsidP="0089453C">
      <w:pPr>
        <w:pStyle w:val="Naslov2"/>
      </w:pPr>
      <w:r>
        <w:t>Vlada o proračunskih prerazporeditvah</w:t>
      </w:r>
    </w:p>
    <w:p w14:paraId="16E0176D" w14:textId="77777777" w:rsidR="0089453C" w:rsidRDefault="0089453C" w:rsidP="0089453C">
      <w:r>
        <w:t>Vlada je odločila o prerazporeditvah pravic porabe v letošnjem državnem proračunu.</w:t>
      </w:r>
    </w:p>
    <w:p w14:paraId="2DEF6666" w14:textId="77777777" w:rsidR="0089453C" w:rsidRDefault="0089453C" w:rsidP="0089453C"/>
    <w:p w14:paraId="54381A90" w14:textId="77777777" w:rsidR="0089453C" w:rsidRDefault="0089453C" w:rsidP="0089453C">
      <w:r>
        <w:t xml:space="preserve">Policija bo znotraj svojega finančnega načrta prerazporedila približno 1,4 milijona evrov. Sredstva bodo namenjena </w:t>
      </w:r>
      <w:proofErr w:type="gramStart"/>
      <w:r>
        <w:t>investicijam</w:t>
      </w:r>
      <w:proofErr w:type="gramEnd"/>
      <w:r>
        <w:t xml:space="preserve"> in plačilu licenc informacijske opreme.</w:t>
      </w:r>
    </w:p>
    <w:p w14:paraId="075FF968" w14:textId="77777777" w:rsidR="0089453C" w:rsidRDefault="0089453C" w:rsidP="0089453C"/>
    <w:p w14:paraId="07EFBE43" w14:textId="77777777" w:rsidR="0089453C" w:rsidRDefault="0089453C" w:rsidP="0089453C">
      <w:r>
        <w:t xml:space="preserve">Ministrstvo za kulturo bo v okviru svojega finančnega načrta prerazporedilo 990.000 evrov, med drugim za zagotavljanje izplačil prispevkov za samozaposlene in za plačilo socialnih prispevkov verskih uslužbencev. </w:t>
      </w:r>
    </w:p>
    <w:p w14:paraId="1362BBA7" w14:textId="77777777" w:rsidR="0089453C" w:rsidRDefault="0089453C" w:rsidP="0089453C"/>
    <w:p w14:paraId="4DC5A8B2" w14:textId="77777777" w:rsidR="0089453C" w:rsidRDefault="0089453C" w:rsidP="0089453C">
      <w:r>
        <w:t>Direkcija Republike Slovenije za vode bo v okviru svojega finančnega načrta z namenom zagotovitve zadostnih sredstev za izvajanje obvezne gospodarske javne službe urejanja voda prerazporedila 885.500 evrov.</w:t>
      </w:r>
    </w:p>
    <w:p w14:paraId="70C1062D" w14:textId="32E582E4" w:rsidR="004E0038" w:rsidRDefault="0089453C" w:rsidP="0089453C">
      <w:pPr>
        <w:pStyle w:val="Vir"/>
      </w:pPr>
      <w:r>
        <w:t>Vir: Ministrstvo za finance</w:t>
      </w:r>
    </w:p>
    <w:p w14:paraId="5FDC9A52" w14:textId="2F8B4116" w:rsidR="003D6D80" w:rsidRDefault="003D6D80" w:rsidP="003D6D80">
      <w:pPr>
        <w:pStyle w:val="Naslov2"/>
      </w:pPr>
      <w:r>
        <w:t>V Načrt razvojnih programov sprejeti standardi opozoril in kriznega upravljanja</w:t>
      </w:r>
    </w:p>
    <w:p w14:paraId="398D0E90" w14:textId="77777777" w:rsidR="003D6D80" w:rsidRDefault="003D6D80" w:rsidP="003D6D80">
      <w:r>
        <w:t>Vlada je v veljavni Načrt razvojnih programov 2025–2028 uvrstila nov projekt Standardi opozoril in kriznega upravljanja (</w:t>
      </w:r>
      <w:proofErr w:type="spellStart"/>
      <w:r>
        <w:t>ARTEMis</w:t>
      </w:r>
      <w:proofErr w:type="spellEnd"/>
      <w:r>
        <w:t>).</w:t>
      </w:r>
    </w:p>
    <w:p w14:paraId="73747457" w14:textId="77777777" w:rsidR="003D6D80" w:rsidRDefault="003D6D80" w:rsidP="003D6D80"/>
    <w:p w14:paraId="55A01920" w14:textId="77777777" w:rsidR="003D6D80" w:rsidRDefault="003D6D80" w:rsidP="003D6D80">
      <w:r>
        <w:t>Evropa se vse pogosteje sooča s posledicami podnebnih sprememb – od suš, vročinskih valov, poplav in plazov do gozdnih požarov. Ker so takšni dogodki pogosto čezmejni, zahtevajo hiter in usklajen odziv na lokalni, regionalni in evropski ravni. Analize pa kažejo, da v številnih državah še vedno ni enotnih protokolov in orodij za opozarjanje in upravljanje izrednih razmer.</w:t>
      </w:r>
    </w:p>
    <w:p w14:paraId="79F0D3A3" w14:textId="77777777" w:rsidR="003D6D80" w:rsidRDefault="003D6D80" w:rsidP="003D6D80"/>
    <w:p w14:paraId="26F40D73" w14:textId="77777777" w:rsidR="003D6D80" w:rsidRDefault="003D6D80" w:rsidP="003D6D80">
      <w:r>
        <w:t xml:space="preserve">Namen projekta </w:t>
      </w:r>
      <w:proofErr w:type="spellStart"/>
      <w:r>
        <w:t>ARTEMis</w:t>
      </w:r>
      <w:proofErr w:type="spellEnd"/>
      <w:r>
        <w:t xml:space="preserve"> je oblikovati sodoben, odporen in tehnološko napreden sistem kriznega upravljanja, ki bo temeljil na čezmejnem sodelovanju, skupnih standardih in inovativnih tehnologijah. Cilj je bolj usklajeno opozarjanje, pravočasno obveščanje prebivalstva ter učinkovitejše ukrepanje ob naravnih nesrečah.</w:t>
      </w:r>
    </w:p>
    <w:p w14:paraId="7BB4CAB7" w14:textId="77777777" w:rsidR="003D6D80" w:rsidRDefault="003D6D80" w:rsidP="003D6D80"/>
    <w:p w14:paraId="61D1DBCB" w14:textId="77777777" w:rsidR="003D6D80" w:rsidRDefault="003D6D80" w:rsidP="003D6D80">
      <w:r>
        <w:t>Projekt vključuje razvoj enotnih protokolov in orodij za napovedovanje tveganj, usposabljanja in kampanje za dvig ozaveščenosti ter preverjanje učinkovitosti rešitev v realnih razmerah. Poseben poudarek bo namenjen tudi pripravi načrtov, ki bodo omogočili širšo uporabo rezultatov v celotni Evropski uniji.</w:t>
      </w:r>
    </w:p>
    <w:p w14:paraId="4AE9EAC3" w14:textId="77777777" w:rsidR="003D6D80" w:rsidRDefault="003D6D80" w:rsidP="003D6D80"/>
    <w:p w14:paraId="0AE029E3" w14:textId="77777777" w:rsidR="003D6D80" w:rsidRDefault="003D6D80" w:rsidP="003D6D80">
      <w:r>
        <w:t>Triletni projekt je vreden 3,14 milijona evrov, financiran pa bo v okviru programa Obzorje Evropa.</w:t>
      </w:r>
    </w:p>
    <w:p w14:paraId="609AC4B2" w14:textId="54B3A448" w:rsidR="004E0038" w:rsidRDefault="003D6D80" w:rsidP="003D6D80">
      <w:pPr>
        <w:pStyle w:val="Vir"/>
      </w:pPr>
      <w:r>
        <w:t>Vir: Ministrstvo za okolje, podnebje in energijo</w:t>
      </w:r>
    </w:p>
    <w:p w14:paraId="783954EB" w14:textId="508E7974" w:rsidR="0004260D" w:rsidRDefault="0004260D" w:rsidP="0004260D">
      <w:pPr>
        <w:pStyle w:val="Naslov2"/>
      </w:pPr>
      <w:r>
        <w:t xml:space="preserve">Uvrstitev projekta »Zasneževanje v širšem območju NC Planica 2025-2026« v veljavni Načrt razvojnih programov 2025–2028 </w:t>
      </w:r>
    </w:p>
    <w:p w14:paraId="0428F292" w14:textId="77777777" w:rsidR="0004260D" w:rsidRDefault="0004260D" w:rsidP="0004260D">
      <w:r>
        <w:t>Vlada je sklenila, da se v veljavni Načrt razvojnih programov 2025–2028 Proračuna Republike Slovenije uvrsti nov projekt – Zasneževanje v širšem območju NC Planica 2025-2026</w:t>
      </w:r>
    </w:p>
    <w:p w14:paraId="31EE8E07" w14:textId="77777777" w:rsidR="0004260D" w:rsidRDefault="0004260D" w:rsidP="0004260D"/>
    <w:p w14:paraId="27CB64DB" w14:textId="77777777" w:rsidR="0004260D" w:rsidRDefault="0004260D" w:rsidP="0004260D">
      <w:r>
        <w:lastRenderedPageBreak/>
        <w:t xml:space="preserve">Namen projekta je vzpostaviti celovit, sodoben in zanesljiv sistem umetnega zasneževanja tekaških prog na območju Nordijskega </w:t>
      </w:r>
      <w:proofErr w:type="gramStart"/>
      <w:r>
        <w:t>centra</w:t>
      </w:r>
      <w:proofErr w:type="gramEnd"/>
      <w:r>
        <w:t xml:space="preserve"> Planica in širšem okolju. Sistem bo omogočal kakovostno, učinkovito in prilagodljivo pripravo snežne podlage </w:t>
      </w:r>
      <w:proofErr w:type="gramStart"/>
      <w:r>
        <w:t>skozi</w:t>
      </w:r>
      <w:proofErr w:type="gramEnd"/>
      <w:r>
        <w:t xml:space="preserve"> celotno zimsko sezono, ne glede na naravne snežne razmere, kar je ključno za zagotavljanje nemotenega treninga, rekreacije in izvedbe tekmovanj na visokem nivoju. </w:t>
      </w:r>
    </w:p>
    <w:p w14:paraId="40E8F5E2" w14:textId="77777777" w:rsidR="0004260D" w:rsidRDefault="0004260D" w:rsidP="0004260D"/>
    <w:p w14:paraId="442DAE27" w14:textId="77777777" w:rsidR="0004260D" w:rsidRDefault="0004260D" w:rsidP="0004260D">
      <w:r>
        <w:t>Glavni cilj je zagotoviti stalno razpoložljivost tekaških prog, tudi v letih in obdobjih z neugodnimi vremenskimi pogoji, ko je naravni sneg neustrezne količine in kakovosti. Projekt predvideva nadgradnjo obstoječega sistema cevnih razvodov za zasneževanje, vključno z zamenjavo cevi za zagotavljanje večjega pretoka vode ter vzpostavitev dodatnih odvodnih krakov, ki bodo omogočili priključitev mobilnih snežnih žiraf s kompresorji. Projekt bo vključeval tudi vgradnjo naprednih črpalk, hladilnikov in tlakovno-regulacijskih naprav.</w:t>
      </w:r>
    </w:p>
    <w:p w14:paraId="277ED9D9" w14:textId="77777777" w:rsidR="0004260D" w:rsidRDefault="0004260D" w:rsidP="0004260D"/>
    <w:p w14:paraId="48781ED7" w14:textId="77777777" w:rsidR="0004260D" w:rsidRDefault="0004260D" w:rsidP="0004260D">
      <w:r>
        <w:t xml:space="preserve">Vrednost projekta znaša milijon evrov in se bo zaključil do 30. novembra 2026. Sredstva bo v celoti financiralo ministrstvo za gospodarstvo, turizem in šport, in sicer 345.900,00 </w:t>
      </w:r>
      <w:proofErr w:type="gramStart"/>
      <w:r>
        <w:t>evrov v letu 2025 in 654.100,00 evrov</w:t>
      </w:r>
      <w:proofErr w:type="gramEnd"/>
      <w:r>
        <w:t xml:space="preserve"> v letu 2026.</w:t>
      </w:r>
    </w:p>
    <w:p w14:paraId="4344031C" w14:textId="77777777" w:rsidR="0004260D" w:rsidRDefault="0004260D" w:rsidP="0004260D"/>
    <w:p w14:paraId="23381D52" w14:textId="77777777" w:rsidR="0004260D" w:rsidRDefault="0004260D" w:rsidP="0004260D">
      <w:r>
        <w:t xml:space="preserve">Za navedeno </w:t>
      </w:r>
      <w:proofErr w:type="gramStart"/>
      <w:r>
        <w:t>investicijo</w:t>
      </w:r>
      <w:proofErr w:type="gramEnd"/>
      <w:r>
        <w:t xml:space="preserve"> ima Zavod za šport Republike Slovenija Planica izdelano investicijsko dokumentacijo, ki je skladna z Uredbo o enotni metodologiji za pripravo investicijske dokumentacije na področju javnih financ ter podpisane in žigosane sklepe o potrditvi investicijske dokumentacije s strani odgovornega organa oziroma osebe.</w:t>
      </w:r>
    </w:p>
    <w:p w14:paraId="6016D18A" w14:textId="77777777" w:rsidR="0004260D" w:rsidRDefault="0004260D" w:rsidP="0004260D">
      <w:pPr>
        <w:pStyle w:val="Vir"/>
      </w:pPr>
      <w:r>
        <w:t>Vir: Ministrstvo za gospodarstvo, turizem in šport</w:t>
      </w:r>
    </w:p>
    <w:p w14:paraId="58DD0777" w14:textId="0F65D38A" w:rsidR="00B2155C" w:rsidRDefault="00B2155C" w:rsidP="00B2155C">
      <w:pPr>
        <w:pStyle w:val="Naslov2"/>
      </w:pPr>
      <w:r>
        <w:t xml:space="preserve">Umetna inteligenca za Varnostni operativni </w:t>
      </w:r>
      <w:proofErr w:type="gramStart"/>
      <w:r>
        <w:t>center</w:t>
      </w:r>
      <w:proofErr w:type="gramEnd"/>
      <w:r>
        <w:t xml:space="preserve"> slovenskega elektroenergetskega sektorja</w:t>
      </w:r>
    </w:p>
    <w:p w14:paraId="1C9C6DA1" w14:textId="77777777" w:rsidR="00B2155C" w:rsidRDefault="00B2155C" w:rsidP="00B2155C">
      <w:r>
        <w:t>Vlada je sprejela sklep, da se v veljavni Načrt razvojnih programov 2025 - 2028 uvrsti nov projekt Umetna inteligenca za Varnostni operativni center slovenskega elektroenergetskega sektorja (</w:t>
      </w:r>
      <w:proofErr w:type="spellStart"/>
      <w:r>
        <w:t>ALiEnS</w:t>
      </w:r>
      <w:proofErr w:type="spellEnd"/>
      <w:r>
        <w:t>-</w:t>
      </w:r>
      <w:proofErr w:type="gramStart"/>
      <w:r>
        <w:t>SOC</w:t>
      </w:r>
      <w:proofErr w:type="gramEnd"/>
      <w:r>
        <w:t xml:space="preserve">), ki bo razvil napreden sistem kibernetske varnosti za elektroenergetski sektor, temelječ na umetni inteligenci in kibernetskem obveščanju. </w:t>
      </w:r>
    </w:p>
    <w:p w14:paraId="368DC1A0" w14:textId="77777777" w:rsidR="00B2155C" w:rsidRDefault="00B2155C" w:rsidP="00B2155C"/>
    <w:p w14:paraId="327439D9" w14:textId="7749EC77" w:rsidR="00B2155C" w:rsidRDefault="00B2155C" w:rsidP="00B2155C">
      <w:r>
        <w:t xml:space="preserve">Sistem bo preizkušen v Nacionalnem varnostno-operativnem </w:t>
      </w:r>
      <w:proofErr w:type="gramStart"/>
      <w:r>
        <w:t>centru</w:t>
      </w:r>
      <w:proofErr w:type="gramEnd"/>
      <w:r>
        <w:t xml:space="preserve"> in bo omogočal hitrejše ter učinkovitejše zaznavanje, preprečevanje in odzivanje na varnostne grožnje. Poudarek projekta je na etični uporabi umetne inteligence, zmanjševanju pristranskosti algoritmov in krepitvi preglednosti ter avtonomije uporabnikov. Projekt vključuje šest povezanih delovnih sklopov, od analize okolja do razvoja rešitev in testiranja v pilotnih primerih. Vzpostavljena bo tudi čezmejna izmenjava informacij o grožnjah ter poslovni model za nadaljnjo komercializacijo. </w:t>
      </w:r>
    </w:p>
    <w:p w14:paraId="58914884" w14:textId="77777777" w:rsidR="00B2155C" w:rsidRDefault="00B2155C" w:rsidP="00B2155C"/>
    <w:p w14:paraId="1B1C5D0C" w14:textId="5897DC00" w:rsidR="004E0038" w:rsidRDefault="00B2155C" w:rsidP="00B2155C">
      <w:r>
        <w:t>Vrednost projekta znaša 9,92 milijona evrov, sofinanciranje EU znaša 4,96 milijona evrov, Urad Vlade Republike Slovenije za informacijsko varnost prejme 451.000 evrov. Projekt poteka od januarja 2025 do decembra 2027, sodeluje 13 partnerjev.</w:t>
      </w:r>
    </w:p>
    <w:p w14:paraId="77FD2917" w14:textId="1185E5A2" w:rsidR="00B2155C" w:rsidRDefault="00B2155C" w:rsidP="00B2155C">
      <w:pPr>
        <w:pStyle w:val="Vir"/>
      </w:pPr>
      <w:r w:rsidRPr="00B2155C">
        <w:t>Vir: Urad za informacijsko varnost</w:t>
      </w:r>
    </w:p>
    <w:p w14:paraId="2E229EB1" w14:textId="0CCD894A" w:rsidR="00B2155C" w:rsidRDefault="00B2155C" w:rsidP="00B2155C">
      <w:pPr>
        <w:pStyle w:val="Naslov2"/>
      </w:pPr>
      <w:r>
        <w:t>Krepitev ekosistema kibernetske varnosti v Sloveniji (SECIS)</w:t>
      </w:r>
    </w:p>
    <w:p w14:paraId="41E72BF0" w14:textId="77777777" w:rsidR="00B2155C" w:rsidRDefault="00B2155C" w:rsidP="00B2155C">
      <w:r>
        <w:t xml:space="preserve">Vlada je sprejela sklep, da se v veljavni Načrt razvojnih programov 2025 - 2028 uvrsti nov projekt Krepitev ekosistema kibernetske varnosti v Sloveniji (SECIS), katerega namen je okrepiti Nacionalni koordinacijski </w:t>
      </w:r>
      <w:proofErr w:type="gramStart"/>
      <w:r>
        <w:t>center</w:t>
      </w:r>
      <w:proofErr w:type="gramEnd"/>
      <w:r>
        <w:t xml:space="preserve"> za kibernetsko varnost v Sloveniji (NCC-SI) in ga postaviti kot ključno središče za znanje, krepitev zmogljivosti in sodelovanje na področju kibernetske varnosti. </w:t>
      </w:r>
    </w:p>
    <w:p w14:paraId="37889FCE" w14:textId="77777777" w:rsidR="00B2155C" w:rsidRDefault="00B2155C" w:rsidP="00B2155C"/>
    <w:p w14:paraId="012EC625" w14:textId="5C8D65D6" w:rsidR="00B2155C" w:rsidRDefault="00B2155C" w:rsidP="00B2155C">
      <w:r>
        <w:lastRenderedPageBreak/>
        <w:t xml:space="preserve">Projekt obravnava pereče izzive razdrobljenih informacij o kibernetski varnosti, omejenih pobud za krepitev zmogljivosti in vse večjih zahtev po skladnosti upravljavcev </w:t>
      </w:r>
      <w:proofErr w:type="gramStart"/>
      <w:r>
        <w:t>kritične infrastrukture</w:t>
      </w:r>
      <w:proofErr w:type="gramEnd"/>
      <w:r>
        <w:t xml:space="preserve"> in mikro, majhnih in srednje velikih podjetij (MSP) v skladu z Direktivo o ukrepih za visoko skupno raven kibernetske varnosti v Uniji (NIS2).</w:t>
      </w:r>
    </w:p>
    <w:p w14:paraId="0DB0482A" w14:textId="77777777" w:rsidR="00B2155C" w:rsidRDefault="00B2155C" w:rsidP="00B2155C"/>
    <w:p w14:paraId="7A7424BF" w14:textId="0F676C3E" w:rsidR="00B2155C" w:rsidRDefault="00B2155C" w:rsidP="00B2155C">
      <w:r>
        <w:t xml:space="preserve">Z vzpostavitvijo NCC-SI kot enotne kontaktne točke za kibernetsko varnost v Sloveniji projekt zagotavlja deležnikom prilagojeno podporo in dostop do kritičnih virov za izboljšanje njihove odpornosti na kibernetsko varnost. </w:t>
      </w:r>
    </w:p>
    <w:p w14:paraId="54B2B324" w14:textId="77777777" w:rsidR="00B2155C" w:rsidRDefault="00B2155C" w:rsidP="00B2155C"/>
    <w:p w14:paraId="668F45EA" w14:textId="77777777" w:rsidR="00B2155C" w:rsidRDefault="00B2155C" w:rsidP="00B2155C">
      <w:r>
        <w:t xml:space="preserve">Temeljne aktivnosti projekta so strukturirane okoli petih ciljev: izgradnja sodelovalnega ekosistema kibernetske varnosti: razvoj registra deležnikov in spodbujanje partnerstev z akademskimi krogi, podjetji in javnimi institucijami za premostitev vrzeli v slovenskem okviru kibernetske varnosti; krepitev zmogljivosti in izmenjava znanja: ponujanje strukturiranih programov usposabljanja, delavnic in praktičnih orodij za izboljšanje zmogljivosti kibernetske varnosti MSP s poudarkom na vrednostnih verigah </w:t>
      </w:r>
      <w:proofErr w:type="gramStart"/>
      <w:r>
        <w:t>kritične infrastrukture</w:t>
      </w:r>
      <w:proofErr w:type="gramEnd"/>
      <w:r>
        <w:t>; olajšanje kaskadnega financiranja: uvedba mehanizma financiranja na podlagi zrelosti za podporo sprejetju najsodobnejših ukrepov za kibernetsko varnost, prilagojenih posebnim potrebam MSP; uvedba platforme NCC-SI: ustvarjanje centraliziranega digitalnega vozlišča za najboljše prakse, izobraževalne vire, orodja in poročanje o incidentih, usklajeno z zahtevami direktive NIS2; dejavnosti strateškega ozaveščanja: spodbujanje ozaveščenosti o kibernetski varnosti in sodelovanja v vseh sektorjih, zagotavljanje nenehnega izboljševanja nacionalne kulture kibernetske varnosti in skladnosti z zakonodajo.</w:t>
      </w:r>
    </w:p>
    <w:p w14:paraId="60004435" w14:textId="77777777" w:rsidR="00B2155C" w:rsidRDefault="00B2155C" w:rsidP="00B2155C"/>
    <w:p w14:paraId="2A2A5FFD" w14:textId="21E1CB00" w:rsidR="004E0038" w:rsidRDefault="00B2155C" w:rsidP="00B2155C">
      <w:r>
        <w:t xml:space="preserve">Urad Vlade Republike Slovenije za informacijsko varnost je v tem projektu koordinativni organ. Projekt se začne 1. 9. 2025, zaključi pa 31. 12. 2029, skupna vrednost projekta znaša 4.136.780,00 </w:t>
      </w:r>
      <w:proofErr w:type="gramStart"/>
      <w:r>
        <w:t>evrov</w:t>
      </w:r>
      <w:proofErr w:type="gramEnd"/>
      <w:r>
        <w:t>, od tega je 50 % EU sredstev.</w:t>
      </w:r>
    </w:p>
    <w:p w14:paraId="36B14374" w14:textId="3F67AF51" w:rsidR="004E0038" w:rsidRDefault="00B2155C" w:rsidP="00B2155C">
      <w:pPr>
        <w:pStyle w:val="Vir"/>
      </w:pPr>
      <w:r w:rsidRPr="00B2155C">
        <w:t>Vir: Urad za informacijsko varnost</w:t>
      </w:r>
    </w:p>
    <w:p w14:paraId="1D71CD8E" w14:textId="0CF5A124" w:rsidR="00B2155C" w:rsidRDefault="00B2155C" w:rsidP="00B2155C">
      <w:pPr>
        <w:pStyle w:val="Naslov2"/>
      </w:pPr>
      <w:r>
        <w:t>Strategije in storitve za izboljšano odpornost na motnje in sodelovanje v Evropi</w:t>
      </w:r>
    </w:p>
    <w:p w14:paraId="34A9A3F7" w14:textId="77777777" w:rsidR="00B2155C" w:rsidRDefault="00B2155C" w:rsidP="00B2155C">
      <w:r>
        <w:t xml:space="preserve">Vlada je sprejela sklep, da se v veljavni Načrt razvojnih programov 2025 - </w:t>
      </w:r>
      <w:proofErr w:type="gramStart"/>
      <w:r>
        <w:t xml:space="preserve">2028  </w:t>
      </w:r>
      <w:proofErr w:type="gramEnd"/>
      <w:r>
        <w:t xml:space="preserve">uvrsti nov projekt Strategije in storitve za izboljšano odpornost na motnje in sodelovanje v Evropi (ENDURANCE), ki naslavlja kritično potrebo po okrepitvi odpornosti evropskih bistvenih storitev proti potencialnim motnjam, pri čemer presega zgolj osredotočenost na osnovne kritične dobrine. </w:t>
      </w:r>
    </w:p>
    <w:p w14:paraId="31E785D2" w14:textId="6F0F2FCC" w:rsidR="00B2155C" w:rsidRDefault="00B2155C" w:rsidP="00B2155C">
      <w:r>
        <w:t xml:space="preserve">Projekt bo pomagal organom </w:t>
      </w:r>
      <w:proofErr w:type="gramStart"/>
      <w:r>
        <w:t>kritične infrastrukture</w:t>
      </w:r>
      <w:proofErr w:type="gramEnd"/>
      <w:r>
        <w:t xml:space="preserve"> po vsej Evropski uniji pri celovitem razumevanju in usklajeni implementaciji obeh direktiv. S celovitim razumevanjem in pripravo na zahteve teh zakonodajnih ukrepov (in njihovih nacionalnih implementacij) želi opolnomočiti organe držav članic Evropske unije in operaterje </w:t>
      </w:r>
      <w:proofErr w:type="gramStart"/>
      <w:r>
        <w:t>kritične infrastrukture</w:t>
      </w:r>
      <w:proofErr w:type="gramEnd"/>
      <w:r>
        <w:t xml:space="preserve"> z znanjem, metodologijami, storitvami in strategijami, potrebnimi za učinkovito krmarjenje skozi kompleksnosti odpornosti na motnje.</w:t>
      </w:r>
    </w:p>
    <w:p w14:paraId="1A059CD6" w14:textId="77777777" w:rsidR="00B2155C" w:rsidRDefault="00B2155C" w:rsidP="00B2155C"/>
    <w:p w14:paraId="645E8586" w14:textId="77777777" w:rsidR="00B2155C" w:rsidRDefault="00B2155C" w:rsidP="00B2155C">
      <w:r>
        <w:t xml:space="preserve">Urad Vlade Republike Slovenije za informacijsko varnost sodeluje v 22-članskem konzorciju, ki ga sestavljajo partnerji iz Italije, Grčije, Romunije, Nemčije, Irske, Belgije in Slovenije. Projekt bo okrepil strateško sodelovanje in povezovanje med deležniki </w:t>
      </w:r>
      <w:proofErr w:type="gramStart"/>
      <w:r>
        <w:t>kritične infrastrukture</w:t>
      </w:r>
      <w:proofErr w:type="gramEnd"/>
      <w:r>
        <w:t xml:space="preserve"> na vseh ravneh, razvil nabore podatkov, registre, metodologije, tehnologije in storitve za varno izmenjavo in federativno obdelavo podatkov, skupno oceno relevantnih tveganj in odpornosti ter obsežno stresno testiranje pripravljenosti ter zagotovil usklajeno in pragmatično strategijo za kontinuiteto medsebojno povezanih bistvenih storitev. </w:t>
      </w:r>
    </w:p>
    <w:p w14:paraId="13D2D687" w14:textId="77777777" w:rsidR="00B2155C" w:rsidRDefault="00B2155C" w:rsidP="00B2155C"/>
    <w:p w14:paraId="19353FF9" w14:textId="6B040223" w:rsidR="00B2155C" w:rsidRDefault="00B2155C" w:rsidP="00B2155C">
      <w:r>
        <w:t xml:space="preserve">Obdobje trajanja projekta je predvideno do </w:t>
      </w:r>
      <w:proofErr w:type="gramStart"/>
      <w:r>
        <w:t>30. 9. 2027</w:t>
      </w:r>
      <w:proofErr w:type="gramEnd"/>
      <w:r>
        <w:t>, njegova skupna vrednost pa znaša 4.999.776,25 evra, pri čemer Evropska komisija krije celoten znesek. Urad Vlade Republike Slovenije za informacijsko varnost od te vrednosti prejme 93.125,00 evra.</w:t>
      </w:r>
    </w:p>
    <w:p w14:paraId="1859491F" w14:textId="3B5FEBB0" w:rsidR="00B2155C" w:rsidRDefault="00B2155C" w:rsidP="00B2155C">
      <w:pPr>
        <w:pStyle w:val="Vir"/>
      </w:pPr>
      <w:bookmarkStart w:id="0" w:name="_Hlk209040818"/>
      <w:r w:rsidRPr="00B2155C">
        <w:t>Vir: Urad za informacijsko varnost</w:t>
      </w:r>
    </w:p>
    <w:bookmarkEnd w:id="0"/>
    <w:p w14:paraId="3B9F283A" w14:textId="4B645CC5" w:rsidR="00516166" w:rsidRDefault="00516166" w:rsidP="00516166">
      <w:pPr>
        <w:pStyle w:val="Naslov2"/>
      </w:pPr>
      <w:r>
        <w:lastRenderedPageBreak/>
        <w:t>Upravljanje in operativna podpora za razvoj Evropske akademije za kibernetsko varnost</w:t>
      </w:r>
    </w:p>
    <w:p w14:paraId="63D7117C" w14:textId="77777777" w:rsidR="00516166" w:rsidRDefault="00516166" w:rsidP="00516166">
      <w:r>
        <w:t xml:space="preserve">Vlada je sprejela sklep, da se v veljavni Načrt razvojnih programov 2025 - </w:t>
      </w:r>
      <w:proofErr w:type="gramStart"/>
      <w:r>
        <w:t xml:space="preserve">2028  </w:t>
      </w:r>
      <w:proofErr w:type="gramEnd"/>
      <w:r>
        <w:t>uvrsti nov projekt Upravljanje in operativna podpora za razvoj Evropske akademije za kibernetsko varnost (AKADIMOS), ki podpira ustanovitev in začetno delovanje Evropske akademije za kibernetske veščine, ki stremi k enotni vstopni točki za pobude usposabljanja na področju kibernetske varnosti skupaj s priložnostmi financiranja razvoja kibernetskih veščin in s tem zmanjševanja vrzeli strokovnjakov za kibernetsko varnost po vsej Evropski uniji (EU). Projekt je horizontalni projekt in deluje v smeri podpore in razvoja pomembnih instrumentov in rezultatov, predvidenih v vseh stebrih akademije, vključno s koordiniranim sodelovanjem in vključevanjem vseh relevantnih deležnikov.</w:t>
      </w:r>
    </w:p>
    <w:p w14:paraId="31140203" w14:textId="77777777" w:rsidR="00516166" w:rsidRDefault="00516166" w:rsidP="00516166"/>
    <w:p w14:paraId="4CC6A8C6" w14:textId="5EF67C86" w:rsidR="00516166" w:rsidRDefault="00516166" w:rsidP="00516166">
      <w:r>
        <w:t>Cilj je preprečiti razpršena in redundantna prizadevanja ter ponuditi priložnost za nadgradnjo veščin in opazno vplivati na zmanjšanje vrzeli med strokovnjaki za kibernetsko varnost. Projekt bo izboljšal Evropski okvir kibernetskih veščin in ustvaril orodja za izboljšanje in učinkovito spremljanje vpliva obstoječih in prihodnjih pobud. Ustvaril bo informacijski sistem za učne načrte kibernetske varnosti, ki bo vseboval vse gradivo za tečaje, njihove metapodatke, register trenerjev ter zagotavljal storitve različnim subjektom za nadgradnjo in storitve za posodabljanje platforme za digitalne veščine in delovna mesta ter za potrjevanje vsebine v smeri trdnega in realističnega načrta za trajnost akademije.</w:t>
      </w:r>
    </w:p>
    <w:p w14:paraId="7C458EE4" w14:textId="77777777" w:rsidR="00516166" w:rsidRDefault="00516166" w:rsidP="00516166"/>
    <w:p w14:paraId="1387AE4D" w14:textId="77777777" w:rsidR="00516166" w:rsidRDefault="00516166" w:rsidP="00516166">
      <w:r>
        <w:t xml:space="preserve">Projekt bo vzpostavil postopke za učinkovito in uspešno decentralizirano delovanje akademije, s ciljem, da le-ta postane edinstven referenčni ekosistem Evropske unije (EU) za strokovnjake za kibernetsko varnost. </w:t>
      </w:r>
    </w:p>
    <w:p w14:paraId="3434CD5E" w14:textId="77777777" w:rsidR="00516166" w:rsidRDefault="00516166" w:rsidP="00516166"/>
    <w:p w14:paraId="573681FC" w14:textId="0E380074" w:rsidR="00516166" w:rsidRDefault="00516166" w:rsidP="00516166">
      <w:r>
        <w:t xml:space="preserve">Obdobje trajanja projekta je predvideno do 31. </w:t>
      </w:r>
      <w:r w:rsidR="00C1234E">
        <w:t xml:space="preserve">decembra </w:t>
      </w:r>
      <w:r>
        <w:t xml:space="preserve">2027, njegova skupna vrednost pa znaša 3.999.660,00 evra. Delež, ki ga prejmeta slovenska partnerja v projektu (Univerza v Mariboru (UM) ter Urad Vlade Republike Slovenije za informacijsko varnost) znaša za vsakega 200.090,00 evra. </w:t>
      </w:r>
    </w:p>
    <w:p w14:paraId="260BD46E" w14:textId="2D195A2F" w:rsidR="004E0038" w:rsidRDefault="00516166" w:rsidP="00516166">
      <w:pPr>
        <w:pStyle w:val="Vir"/>
      </w:pPr>
      <w:r w:rsidRPr="00516166">
        <w:t>Vir: Urad za informacijsko varnost</w:t>
      </w:r>
    </w:p>
    <w:p w14:paraId="5EC58C26" w14:textId="289C0F89" w:rsidR="00516166" w:rsidRDefault="00516166" w:rsidP="00516166">
      <w:pPr>
        <w:pStyle w:val="Naslov2"/>
      </w:pPr>
      <w:r>
        <w:t>Zmogljivost informacijske varnosti 2024-2027</w:t>
      </w:r>
    </w:p>
    <w:p w14:paraId="5B9E664B" w14:textId="77777777" w:rsidR="00516166" w:rsidRDefault="00516166" w:rsidP="00516166">
      <w:r>
        <w:t xml:space="preserve">Vlada je sprejela sklep, da se v veljavni Načrt razvojnih programov 2025 - </w:t>
      </w:r>
      <w:proofErr w:type="gramStart"/>
      <w:r>
        <w:t xml:space="preserve">2028  </w:t>
      </w:r>
      <w:proofErr w:type="gramEnd"/>
      <w:r>
        <w:t xml:space="preserve">uvrsti sprememba projekta Zmogljivost informacijske varnosti 2024-2027. Novi Zakon o informacijski varnosti v pravni red Republike Slovenije prenaša </w:t>
      </w:r>
      <w:proofErr w:type="gramStart"/>
      <w:r>
        <w:t>Direktivo</w:t>
      </w:r>
      <w:proofErr w:type="gramEnd"/>
      <w:r>
        <w:t xml:space="preserve"> Evropskega parlamenta in Sveta o ukrepih za visoko skupno raven kibernetske varnosti v Uniji in razširja nabor zavezancev ter obseg nalog, ki so predvidene za skupine za odzivanje na incidente računalniške varnosti (CSIRT). </w:t>
      </w:r>
    </w:p>
    <w:p w14:paraId="5D4359D4" w14:textId="77777777" w:rsidR="00516166" w:rsidRDefault="00516166" w:rsidP="00516166"/>
    <w:p w14:paraId="66C738F0" w14:textId="048485F5" w:rsidR="00516166" w:rsidRDefault="00516166" w:rsidP="00516166">
      <w:r>
        <w:t xml:space="preserve">Zaradi vključitve novih sektorjev in povečanja števila zavezancev nova ureditev do 15x povečuje število subjektov, ki morajo po zakonu priglasiti vse incidente, ki imajo pomemben vpliv na zagotavljanje njihovih storitev. Zaradi povečanja obsega zavezancev in nalog za skupine CSIRT je treba povišati izhodiščno vrednost projekta iz 2.840.000,00 </w:t>
      </w:r>
      <w:proofErr w:type="gramStart"/>
      <w:r>
        <w:t>evrov</w:t>
      </w:r>
      <w:proofErr w:type="gramEnd"/>
      <w:r>
        <w:t xml:space="preserve"> na 3.750.350,64 evra. </w:t>
      </w:r>
    </w:p>
    <w:p w14:paraId="6C2F3055" w14:textId="77777777" w:rsidR="00516166" w:rsidRDefault="00516166" w:rsidP="00516166"/>
    <w:p w14:paraId="26CDEA34" w14:textId="6B13A85F" w:rsidR="004E0038" w:rsidRDefault="00516166" w:rsidP="00516166">
      <w:r>
        <w:t>V okviru projekta se financira delovanje obstoječih in vzpostavitev novih delovnih mest v skupinah CSIRT ter opreme in storitev, potrebnih za izvajanje nalog, ki je izjemno pomembno, saj rešujejo priglašene varnostne incidente bistvenih subjektov v visoko kritičnih sektorjih energije, prometa, bančništva, infrastrukture finančnega trga, zdravja, pitne vode, odpadne vode, digitalne infrastrukture, upravljanja storitev informacijsko komunikacijskih tehnologij in vesolja ter pomembnih subjektov v kritičnih sektorjih poštne in kurirske storitve, ravnanje z odpadki, izdelava, proizvodnja in distribucija kemikalij, pridelava, predelava in distribucija živil, proizvodnja različnih proizvodov, digitalni ponudniki in raziskave.</w:t>
      </w:r>
    </w:p>
    <w:p w14:paraId="6D0ECCF2" w14:textId="05BFDCCB" w:rsidR="00516166" w:rsidRDefault="00516166" w:rsidP="00516166">
      <w:pPr>
        <w:pStyle w:val="Vir"/>
      </w:pPr>
      <w:r w:rsidRPr="00516166">
        <w:t>Vir: Urad za informacijsko varnost</w:t>
      </w:r>
    </w:p>
    <w:p w14:paraId="12BADB6A" w14:textId="06C7E306" w:rsidR="004B2286" w:rsidRDefault="004B2286" w:rsidP="00541391">
      <w:pPr>
        <w:pStyle w:val="Naslov2"/>
      </w:pPr>
      <w:r>
        <w:lastRenderedPageBreak/>
        <w:t>Vlada se je seznanila s poročilom o delu Koordinacije služb na morju za obdobje za leto 2024</w:t>
      </w:r>
    </w:p>
    <w:p w14:paraId="4292ECA3" w14:textId="5AE1D8D1" w:rsidR="004B2286" w:rsidRDefault="004B2286" w:rsidP="004B2286">
      <w:r>
        <w:t xml:space="preserve">Temelj za ustanovitev koordinacije služb na morju je Uredba o koordinaciji služb na morju. Uredba določa sodelovanje in način dela organov, ki delujejo na morju v okviru svojih pristojnosti na podlagi nacionalne in mednarodne zakonodaje, da se zagotovi usklajeno, povezano, racionalno in učinkovito delovanje ter izvajanje nalog pristojnih organov za skupno reševanje problematike, povezane z morjem (koordinacija služb na morju). </w:t>
      </w:r>
    </w:p>
    <w:p w14:paraId="198D0C93" w14:textId="77777777" w:rsidR="004B2286" w:rsidRDefault="004B2286" w:rsidP="004B2286"/>
    <w:p w14:paraId="53281155" w14:textId="6FD28EB3" w:rsidR="004B2286" w:rsidRDefault="004B2286" w:rsidP="004B2286">
      <w:r>
        <w:t>Koordinacija služb na morju se je prvič sestala 26. marca 2013 v prostorih Uprave Republike Slovenije za pomorstvo. Deluje v skladu s Poslovnikom o koordinaciji služb na morju in jo vodi predstojnik Uprave Republike Slovenije za pomorstvo. O svojem delu poroča ministrstvom, vključenim v koordinacijo, in vladi v letnem poročilu.</w:t>
      </w:r>
    </w:p>
    <w:p w14:paraId="432DD0FB" w14:textId="77777777" w:rsidR="004B2286" w:rsidRDefault="004B2286" w:rsidP="004B2286"/>
    <w:p w14:paraId="1002C413" w14:textId="507B1A27" w:rsidR="004E0038" w:rsidRDefault="004B2286" w:rsidP="004B2286">
      <w:r>
        <w:t xml:space="preserve">S predmetnim poročilom se poroča o delu koordinacije služb na morju za obdobje od 1. januarja 2024 do 31. decembra 2024. Poročilo vsebuje </w:t>
      </w:r>
      <w:proofErr w:type="gramStart"/>
      <w:r>
        <w:t>aktivnosti</w:t>
      </w:r>
      <w:proofErr w:type="gramEnd"/>
      <w:r>
        <w:t xml:space="preserve"> koordinacije služb na morju, ki so bile izvedene v tem obdobju.</w:t>
      </w:r>
    </w:p>
    <w:p w14:paraId="6501B884" w14:textId="77777777" w:rsidR="004B2286" w:rsidRDefault="004B2286" w:rsidP="004B2286">
      <w:pPr>
        <w:pStyle w:val="Vir"/>
      </w:pPr>
      <w:r>
        <w:t>Vir: Ministrstvo za infrastrukturo</w:t>
      </w:r>
    </w:p>
    <w:p w14:paraId="02C0E806" w14:textId="6346C326" w:rsidR="005C6B8E" w:rsidRDefault="005C6B8E" w:rsidP="005C6B8E">
      <w:pPr>
        <w:pStyle w:val="Naslov2"/>
      </w:pPr>
      <w:r>
        <w:t>Predlog odgovora glede spodbujanja energije iz obnovljivih virov</w:t>
      </w:r>
    </w:p>
    <w:p w14:paraId="1E1DD7A4" w14:textId="77777777" w:rsidR="005C6B8E" w:rsidRDefault="005C6B8E" w:rsidP="005C6B8E">
      <w:r>
        <w:t xml:space="preserve">Vlada Republike Slovenije je sprejela predlog odgovora na uradni opomin Evropske komisije zaradi zamude pri prenosu </w:t>
      </w:r>
      <w:proofErr w:type="gramStart"/>
      <w:r>
        <w:t>direktive</w:t>
      </w:r>
      <w:proofErr w:type="gramEnd"/>
      <w:r>
        <w:t xml:space="preserve"> o spodbujanju energije iz obnovljivih virov v slovenski pravni red.</w:t>
      </w:r>
    </w:p>
    <w:p w14:paraId="79E68066" w14:textId="77777777" w:rsidR="005C6B8E" w:rsidRDefault="005C6B8E" w:rsidP="005C6B8E"/>
    <w:p w14:paraId="1AD8B062" w14:textId="77777777" w:rsidR="005C6B8E" w:rsidRDefault="005C6B8E" w:rsidP="005C6B8E">
      <w:r>
        <w:t xml:space="preserve">Evropska komisija je v uradnem opominu opozorila, da Slovenija ni pravočasno notificirala predpisov za prenos </w:t>
      </w:r>
      <w:proofErr w:type="gramStart"/>
      <w:r>
        <w:t>direktive</w:t>
      </w:r>
      <w:proofErr w:type="gramEnd"/>
      <w:r>
        <w:t xml:space="preserve">, katere rok je potekel 21. maja letos. Vlada pojasnjuje, da bo Slovenija </w:t>
      </w:r>
      <w:proofErr w:type="gramStart"/>
      <w:r>
        <w:t>direktivo</w:t>
      </w:r>
      <w:proofErr w:type="gramEnd"/>
      <w:r>
        <w:t xml:space="preserve"> v celoti prenesla z novim Zakonom o spodbujanju rabe obnovljivih virov energije ter z Zakonom o spremembah in dopolnitvah Zakona o uvajanju naprav za proizvodnjo električne energije iz obnovljivih virov energije.</w:t>
      </w:r>
    </w:p>
    <w:p w14:paraId="05F365AA" w14:textId="77777777" w:rsidR="005C6B8E" w:rsidRDefault="005C6B8E" w:rsidP="005C6B8E"/>
    <w:p w14:paraId="658FD7DD" w14:textId="77777777" w:rsidR="005C6B8E" w:rsidRDefault="005C6B8E" w:rsidP="005C6B8E">
      <w:r>
        <w:t xml:space="preserve">Oba zakona sta v zakonodajnem postopku in bosta sprejeta še letos. Takoj po objavi v Uradnem listu bo Slovenija o njuni vsebini uradno obvestila Evropsko komisijo preko namenske </w:t>
      </w:r>
      <w:proofErr w:type="spellStart"/>
      <w:r>
        <w:t>notifikacijske</w:t>
      </w:r>
      <w:proofErr w:type="spellEnd"/>
      <w:r>
        <w:t xml:space="preserve"> baze.</w:t>
      </w:r>
    </w:p>
    <w:p w14:paraId="5A592076" w14:textId="77777777" w:rsidR="005C6B8E" w:rsidRDefault="005C6B8E" w:rsidP="005C6B8E"/>
    <w:p w14:paraId="283F2D47" w14:textId="77777777" w:rsidR="005C6B8E" w:rsidRDefault="005C6B8E" w:rsidP="005C6B8E">
      <w:r>
        <w:t>S tem Slovenija potrjuje zavezanost k pravočasnemu izvajanju evropske zakonodaje ter k nadaljnjemu spodbujanju rabe energije iz obnovljivih virov.</w:t>
      </w:r>
    </w:p>
    <w:p w14:paraId="16AE4352" w14:textId="1AB8D18A" w:rsidR="004E0038" w:rsidRDefault="005C6B8E" w:rsidP="005C6B8E">
      <w:pPr>
        <w:pStyle w:val="Vir"/>
      </w:pPr>
      <w:r>
        <w:t>Vir: Ministrstvo za okolje, podnebje in energijo</w:t>
      </w:r>
    </w:p>
    <w:p w14:paraId="79827569" w14:textId="3E0235D9" w:rsidR="00D42EA1" w:rsidRDefault="00D42EA1" w:rsidP="00D42EA1">
      <w:pPr>
        <w:pStyle w:val="Naslov2"/>
      </w:pPr>
      <w:r>
        <w:t>Vlada o zagotavljanju evropske pomoči Jordaniji</w:t>
      </w:r>
    </w:p>
    <w:p w14:paraId="3A023F5C" w14:textId="47692AC5" w:rsidR="00D42EA1" w:rsidRDefault="00D42EA1" w:rsidP="00D42EA1">
      <w:r>
        <w:t>Vlada je sprejela stališče Republike Slovenije k predlogu sklepa Evropskega parlamenta in Sveta o zagotavljanju makrofinančne pomoči Hašemitski kraljevini Jordaniji.</w:t>
      </w:r>
    </w:p>
    <w:p w14:paraId="034582E5" w14:textId="77777777" w:rsidR="00D42EA1" w:rsidRDefault="00D42EA1" w:rsidP="00D42EA1"/>
    <w:p w14:paraId="1CBB2FD5" w14:textId="729E7273" w:rsidR="00D42EA1" w:rsidRDefault="00D42EA1" w:rsidP="00D42EA1">
      <w:r>
        <w:t xml:space="preserve">Slovenija ne nasprotuje predlogu sklepa Evropskega parlamenta in Sveta Evropske unije o zagotavljanju makrofinančne pomoči Hašemitski kraljevini Jordaniji, v kolikor bo Jordanija izpolnjevale zaveze ekonomskih politik, določene v </w:t>
      </w:r>
      <w:proofErr w:type="gramStart"/>
      <w:r>
        <w:t>memorandumu</w:t>
      </w:r>
      <w:proofErr w:type="gramEnd"/>
      <w:r>
        <w:t xml:space="preserve"> o soglasju.</w:t>
      </w:r>
    </w:p>
    <w:p w14:paraId="5426D167" w14:textId="77777777" w:rsidR="00D42EA1" w:rsidRDefault="00D42EA1" w:rsidP="00D42EA1"/>
    <w:p w14:paraId="703C30C9" w14:textId="77777777" w:rsidR="00D42EA1" w:rsidRDefault="00D42EA1" w:rsidP="00D42EA1">
      <w:r>
        <w:t xml:space="preserve">Izvajanje pomoči bo v pristojnosti Evropske komisije, pri čemer bodo veljale določbe za preprečevanje goljufij in nepravilnosti. Izplačila bodo pogojena z uspešno izvedbo pregledov programa Mednarodnega denarnega sklada (IMF) in z dogovorjenimi reformnimi ukrepi, določenimi v </w:t>
      </w:r>
      <w:proofErr w:type="gramStart"/>
      <w:r>
        <w:t>memorandumu</w:t>
      </w:r>
      <w:proofErr w:type="gramEnd"/>
      <w:r>
        <w:t xml:space="preserve"> o soglasju, ki bodo podpirali jordanski reformni načrt in dopolnjevali programe IMF, Svetovne banke in drugih donatorjev.</w:t>
      </w:r>
    </w:p>
    <w:p w14:paraId="50287D17" w14:textId="77777777" w:rsidR="00D42EA1" w:rsidRDefault="00D42EA1" w:rsidP="00D42EA1"/>
    <w:p w14:paraId="3C53AEC0" w14:textId="77777777" w:rsidR="00D42EA1" w:rsidRDefault="00D42EA1" w:rsidP="00D42EA1">
      <w:r>
        <w:lastRenderedPageBreak/>
        <w:t>Predlagani ukrep makrofinančne pomoči za Jordanijo v višini do 500 milijonov evrov v obliki posojil naj bi se izplačal v treh obrokih, ki naj bi se sprostili v obdobju dveh let in pol.</w:t>
      </w:r>
    </w:p>
    <w:p w14:paraId="31C9B5E8" w14:textId="7163DBF5" w:rsidR="004E0038" w:rsidRDefault="00D42EA1" w:rsidP="00D42EA1">
      <w:pPr>
        <w:pStyle w:val="Vir"/>
      </w:pPr>
      <w:r>
        <w:t>Vir: Ministrstvo za finance</w:t>
      </w:r>
    </w:p>
    <w:p w14:paraId="2C1F2BF8" w14:textId="11E4BB71" w:rsidR="00160B86" w:rsidRDefault="00160B86" w:rsidP="00160B86">
      <w:pPr>
        <w:pStyle w:val="Naslov2"/>
      </w:pPr>
      <w:bookmarkStart w:id="1" w:name="_Hlk209041840"/>
      <w:r>
        <w:t xml:space="preserve">Vlada sprejela predlog stališča Slovenije do predloga uredbe Evropskega parlamenta in Sveta o evropski statistiki ribištva in akvakulture </w:t>
      </w:r>
    </w:p>
    <w:p w14:paraId="22FA6B0A" w14:textId="77777777" w:rsidR="00160B86" w:rsidRDefault="00160B86" w:rsidP="00160B86">
      <w:r>
        <w:t xml:space="preserve">Vlada Republike Slovenije je sprejela stališče Republike Slovenije k predlogu uredbe Evropskega parlamenta in Sveta o evropski statistiki ribištva in akvakulture ter razveljavitvi uredb (ES) št. 1921/2006, (ES) št. 762/2008, (ES) št. 216/2009, (ES) št. 217/2009 in (ES) št. 218/2009- 12050/25. </w:t>
      </w:r>
    </w:p>
    <w:p w14:paraId="7BE91DB8" w14:textId="77777777" w:rsidR="00160B86" w:rsidRDefault="00160B86" w:rsidP="00160B86"/>
    <w:p w14:paraId="392619CD" w14:textId="576CF98E" w:rsidR="00160B86" w:rsidRDefault="00160B86" w:rsidP="00160B86">
      <w:r>
        <w:t xml:space="preserve">Republika Slovenija načeloma podpira predlog uredbe Evropskega parlamenta in Sveta o evropski statistiki ribištva in akvakulture ter razveljavitvi uredb (ES) št. 1921/2006, (ES) št. 762/2008, (ES) št. 216/2009, (ES) št. 217/2009 in (ES) št. 218/2009. Predlog prinaša optimalnejšo uporabo administrativnih podatkov za zagotavljanje evropskih statistik in optimalnejše možnosti za posredovanje podatkov mednarodnim organizacijam. Ob tem bo Republika Slovenija predlagala razmislek glede preširokih pooblastil, ki so v predlogu Uredbe dodeljena Evropski komisiji za sprejemanje izvedbenih in delegiranih aktov, ter glede predlaganih rokov za sprejem izvedbenih aktov. Prizadevali si bomo za omejitev zahtev po podatkih izključno na tiste, ki jih je mogoče zagotoviti na podlagi administrativnih virov. Republika Slovenija predlaga tudi nadaljnji razmislek glede možnosti sofinanciranja prve izvedbe zahtev tega predloga z </w:t>
      </w:r>
      <w:r w:rsidR="00C1234E">
        <w:t>evropskimi</w:t>
      </w:r>
      <w:r>
        <w:t xml:space="preserve"> sredstvi.</w:t>
      </w:r>
    </w:p>
    <w:p w14:paraId="22544DE4" w14:textId="05B88DFD" w:rsidR="004E0038" w:rsidRDefault="00160B86" w:rsidP="00160B86">
      <w:pPr>
        <w:pStyle w:val="Vir"/>
      </w:pPr>
      <w:r>
        <w:t xml:space="preserve">Vir: </w:t>
      </w:r>
      <w:proofErr w:type="gramStart"/>
      <w:r>
        <w:t>Statistični Urad Republike Slovenije</w:t>
      </w:r>
      <w:proofErr w:type="gramEnd"/>
    </w:p>
    <w:bookmarkEnd w:id="1"/>
    <w:p w14:paraId="33FB5600" w14:textId="40372499" w:rsidR="00C47AC5" w:rsidRDefault="00C47AC5" w:rsidP="00C47AC5">
      <w:pPr>
        <w:pStyle w:val="Naslov2"/>
      </w:pPr>
      <w:r>
        <w:t>Stališče Slovenije do Predloga uredbe Sveta o določitvi ribolovnih možnosti za leto 2026 za nekatere staleže rib in skupine staležev rib, ki se uporabljajo v Baltskem morju</w:t>
      </w:r>
    </w:p>
    <w:p w14:paraId="5D0B257F" w14:textId="77777777" w:rsidR="00C47AC5" w:rsidRDefault="00C47AC5" w:rsidP="00C47AC5">
      <w:r>
        <w:t>Vlada je sprejela stališče Republike Slovenije glede Predloga uredbe Sveta o določitvi ribolovnih možnosti za leto 2026 za nekatere staleže rib in skupine staležev rib, ki se uporabljajo v Baltskem morju (v nadaljevanju: Uredba), ter o spremembi Uredbe glede nekaterih ribolovnih možnosti v drugih vodah.</w:t>
      </w:r>
    </w:p>
    <w:p w14:paraId="0FAA5959" w14:textId="77777777" w:rsidR="00C47AC5" w:rsidRDefault="00C47AC5" w:rsidP="00C47AC5"/>
    <w:p w14:paraId="15326781" w14:textId="77777777" w:rsidR="00C47AC5" w:rsidRDefault="00C47AC5" w:rsidP="00C47AC5">
      <w:r>
        <w:t>Predlog neposredno ne zadeva slovenskega ribištva, saj slovenski morski gospodarski ribiči izvajajo ribolov izključno v severnem Jadranu.</w:t>
      </w:r>
    </w:p>
    <w:p w14:paraId="49B96DDE" w14:textId="77777777" w:rsidR="00C47AC5" w:rsidRDefault="00C47AC5" w:rsidP="00C47AC5"/>
    <w:p w14:paraId="69B8CBB7" w14:textId="77777777" w:rsidR="00C47AC5" w:rsidRDefault="00C47AC5" w:rsidP="00C47AC5">
      <w:r>
        <w:t>Slovenija ob tem meni, da je pri obravnavi predloga Uredbe treba upoštevati mnenja tistih držav članic, ki jih predlog neposredno zadeva.</w:t>
      </w:r>
    </w:p>
    <w:p w14:paraId="142AFC5D" w14:textId="716C2529" w:rsidR="004E0038" w:rsidRDefault="00C47AC5" w:rsidP="00C47AC5">
      <w:pPr>
        <w:pStyle w:val="Vir"/>
      </w:pPr>
      <w:r>
        <w:t>Vir: Ministrstvo za kmetijstvo, gozdarstvo in prehrano</w:t>
      </w:r>
    </w:p>
    <w:p w14:paraId="50F5F4CA" w14:textId="38CC87FB" w:rsidR="00BB0248" w:rsidRDefault="00BB0248" w:rsidP="00BB0248">
      <w:pPr>
        <w:pStyle w:val="Naslov2"/>
      </w:pPr>
      <w:r>
        <w:t xml:space="preserve">Memorandum o soglasju o dvostranskih posvetovanjih </w:t>
      </w:r>
    </w:p>
    <w:p w14:paraId="11528220" w14:textId="77777777" w:rsidR="00BB0248" w:rsidRDefault="00BB0248" w:rsidP="00BB0248">
      <w:r>
        <w:t xml:space="preserve">Vlada Republike Slovenije se je seznanila z informacijo o nameravanem podpisu Memoranduma o soglasju o dvostranskih posvetovanjih med Ministrstvom za zunanje in evropske zadeve Republike Slovenije in Ministrstvom za zunanje zadeve Islamske republike Pakistan. </w:t>
      </w:r>
    </w:p>
    <w:p w14:paraId="2556C218" w14:textId="77777777" w:rsidR="00BB0248" w:rsidRDefault="00BB0248" w:rsidP="00BB0248"/>
    <w:p w14:paraId="0C60DC9A" w14:textId="77777777" w:rsidR="00BB0248" w:rsidRDefault="00BB0248" w:rsidP="00BB0248">
      <w:r>
        <w:t xml:space="preserve">S podpisom Memoranduma o soglasju o dvostranskih posvetovanjih bo vzpostavljen mehanizem rednih političnih posvetovanj na različnih ravneh. Posvetovanja bodo potekala izmenično v Sloveniji in v Pakistanu.   </w:t>
      </w:r>
    </w:p>
    <w:p w14:paraId="7AFBB72A" w14:textId="77777777" w:rsidR="00BB0248" w:rsidRDefault="00BB0248" w:rsidP="00BB0248"/>
    <w:p w14:paraId="25AEC171" w14:textId="77777777" w:rsidR="00BB0248" w:rsidRDefault="00BB0248" w:rsidP="00BB0248">
      <w:r>
        <w:t xml:space="preserve">Memorandum bo predvidoma podpisala ministrica za zunanje in evropske zadeve Tanja Fajon na dvostranskem srečanju z ministrom za zunanje zadeve Pakistana Mohammadom Ishaqom Darom ob </w:t>
      </w:r>
      <w:r>
        <w:lastRenderedPageBreak/>
        <w:t xml:space="preserve">robu septembrske splošne razprave Generalne skupščine Organizacije združenih narodov v New Yorku. </w:t>
      </w:r>
    </w:p>
    <w:p w14:paraId="1DCFDEC0" w14:textId="782FC6D8" w:rsidR="004E0038" w:rsidRDefault="00BB0248" w:rsidP="00BB0248">
      <w:pPr>
        <w:pStyle w:val="Vir"/>
      </w:pPr>
      <w:r>
        <w:t>Vir: Ministrstvo za zunanje in evropske zadeve</w:t>
      </w:r>
    </w:p>
    <w:p w14:paraId="7C7E6CE4" w14:textId="035B0304" w:rsidR="001071DC" w:rsidRDefault="001071DC" w:rsidP="001071DC">
      <w:pPr>
        <w:pStyle w:val="Naslov2"/>
      </w:pPr>
      <w:r>
        <w:t>Soglasje k predlogu spremembe sklepa v zvezi s kandidaturo Republike Slovenije v vodilne in strokovne odbore Unesca</w:t>
      </w:r>
    </w:p>
    <w:p w14:paraId="2138D632" w14:textId="77777777" w:rsidR="001071DC" w:rsidRDefault="001071DC" w:rsidP="001071DC">
      <w:r>
        <w:t xml:space="preserve">Vlada je sklenila, da se sklep v zvezi s kandidaturo Republike Slovenije za članstvo v vodilne in strokovne odbore </w:t>
      </w:r>
      <w:proofErr w:type="gramStart"/>
      <w:r>
        <w:t>Organizacije Združenih narodov</w:t>
      </w:r>
      <w:proofErr w:type="gramEnd"/>
      <w:r>
        <w:t xml:space="preserve"> za izobraževanje, znanost in kulturo (UNESCO), ki ga je sprejela v začetku marca letos, spremeni. Po medresorskem dogovoru med Ministrstvom za naravne vire in prostor, Ministrstvom za visoko šolstvo, znanost in inovacije, Uradom za UNESCO</w:t>
      </w:r>
      <w:proofErr w:type="gramStart"/>
      <w:r>
        <w:t>,</w:t>
      </w:r>
      <w:proofErr w:type="gramEnd"/>
      <w:r>
        <w:t xml:space="preserve"> in Ministrstvom za zunanje in evropske zadeve se predlaga umik kandidature Republike Slovenije v Mednarodni koordinacijski svet za program Človek in biosfera (MAB).</w:t>
      </w:r>
    </w:p>
    <w:p w14:paraId="1C7DF69C" w14:textId="77777777" w:rsidR="001071DC" w:rsidRDefault="001071DC" w:rsidP="001071DC"/>
    <w:p w14:paraId="276A8C39" w14:textId="77777777" w:rsidR="001071DC" w:rsidRDefault="001071DC" w:rsidP="001071DC">
      <w:r>
        <w:t>Vlada Republike Slovenije tako soglaša s kandidaturo Republike Slovenije za članstvo v naslednjih vodilnih in strokovnih odborih Unesca za obdobje 2025 – 2029:</w:t>
      </w:r>
    </w:p>
    <w:p w14:paraId="3D924079" w14:textId="73EC3B5C" w:rsidR="001071DC" w:rsidRDefault="001071DC" w:rsidP="001071DC">
      <w:pPr>
        <w:pStyle w:val="Odstavekseznama"/>
        <w:numPr>
          <w:ilvl w:val="0"/>
          <w:numId w:val="11"/>
        </w:numPr>
      </w:pPr>
      <w:r>
        <w:t xml:space="preserve">Izvršilni odbor – </w:t>
      </w:r>
      <w:proofErr w:type="spellStart"/>
      <w:r>
        <w:t>Executive</w:t>
      </w:r>
      <w:proofErr w:type="spellEnd"/>
      <w:r>
        <w:t xml:space="preserve"> Board (2027 – 2031)</w:t>
      </w:r>
    </w:p>
    <w:p w14:paraId="2EC02CA9" w14:textId="538C533F" w:rsidR="001071DC" w:rsidRDefault="001071DC" w:rsidP="001071DC">
      <w:pPr>
        <w:pStyle w:val="Odstavekseznama"/>
        <w:numPr>
          <w:ilvl w:val="0"/>
          <w:numId w:val="11"/>
        </w:numPr>
      </w:pPr>
      <w:r>
        <w:t xml:space="preserve">Odbor za svetovno dediščino – World Heritage </w:t>
      </w:r>
      <w:proofErr w:type="spellStart"/>
      <w:r>
        <w:t>Committee</w:t>
      </w:r>
      <w:proofErr w:type="spellEnd"/>
    </w:p>
    <w:p w14:paraId="1D7E2CE8" w14:textId="4536D1FC" w:rsidR="001071DC" w:rsidRDefault="001071DC" w:rsidP="001071DC">
      <w:pPr>
        <w:pStyle w:val="Odstavekseznama"/>
        <w:numPr>
          <w:ilvl w:val="0"/>
          <w:numId w:val="11"/>
        </w:numPr>
      </w:pPr>
      <w:r>
        <w:t xml:space="preserve">Medvladni svet Mednarodnega hidrološkega programa – International Council of the International </w:t>
      </w:r>
      <w:proofErr w:type="spellStart"/>
      <w:r>
        <w:t>Hydrological</w:t>
      </w:r>
      <w:proofErr w:type="spellEnd"/>
      <w:r>
        <w:t xml:space="preserve"> </w:t>
      </w:r>
      <w:proofErr w:type="spellStart"/>
      <w:r>
        <w:t>Programme</w:t>
      </w:r>
      <w:proofErr w:type="spellEnd"/>
      <w:r>
        <w:t xml:space="preserve"> (IHP)</w:t>
      </w:r>
    </w:p>
    <w:p w14:paraId="0C8D8E23" w14:textId="77A40A91" w:rsidR="001071DC" w:rsidRDefault="001071DC" w:rsidP="001071DC">
      <w:pPr>
        <w:pStyle w:val="Odstavekseznama"/>
        <w:numPr>
          <w:ilvl w:val="0"/>
          <w:numId w:val="11"/>
        </w:numPr>
      </w:pPr>
      <w:r>
        <w:t xml:space="preserve">Medvladni bioetični odbor – </w:t>
      </w:r>
      <w:proofErr w:type="spellStart"/>
      <w:r>
        <w:t>Intergovernmental</w:t>
      </w:r>
      <w:proofErr w:type="spellEnd"/>
      <w:r>
        <w:t xml:space="preserve"> </w:t>
      </w:r>
      <w:proofErr w:type="spellStart"/>
      <w:r>
        <w:t>Bioethics</w:t>
      </w:r>
      <w:proofErr w:type="spellEnd"/>
      <w:r>
        <w:t xml:space="preserve"> </w:t>
      </w:r>
      <w:proofErr w:type="spellStart"/>
      <w:r>
        <w:t>Committee</w:t>
      </w:r>
      <w:proofErr w:type="spellEnd"/>
      <w:r>
        <w:t xml:space="preserve"> (IGBC)</w:t>
      </w:r>
    </w:p>
    <w:p w14:paraId="2D927DA1" w14:textId="58A8165A" w:rsidR="001071DC" w:rsidRDefault="001071DC" w:rsidP="001071DC">
      <w:pPr>
        <w:pStyle w:val="Odstavekseznama"/>
        <w:numPr>
          <w:ilvl w:val="0"/>
          <w:numId w:val="11"/>
        </w:numPr>
      </w:pPr>
      <w:r>
        <w:t xml:space="preserve">Medvladni odbor za telesno vzgojo in šport – </w:t>
      </w:r>
      <w:proofErr w:type="spellStart"/>
      <w:r>
        <w:t>Intergovernmental</w:t>
      </w:r>
      <w:proofErr w:type="spellEnd"/>
      <w:r>
        <w:t xml:space="preserve"> </w:t>
      </w:r>
      <w:proofErr w:type="spellStart"/>
      <w:r>
        <w:t>Committee</w:t>
      </w:r>
      <w:proofErr w:type="spellEnd"/>
      <w:r>
        <w:t xml:space="preserve"> </w:t>
      </w:r>
      <w:proofErr w:type="gramStart"/>
      <w:r>
        <w:t>for</w:t>
      </w:r>
      <w:proofErr w:type="gramEnd"/>
      <w:r>
        <w:t xml:space="preserve"> </w:t>
      </w:r>
      <w:proofErr w:type="spellStart"/>
      <w:r>
        <w:t>Physical</w:t>
      </w:r>
      <w:proofErr w:type="spellEnd"/>
      <w:r>
        <w:t xml:space="preserve"> </w:t>
      </w:r>
      <w:proofErr w:type="spellStart"/>
      <w:r>
        <w:t>Education</w:t>
      </w:r>
      <w:proofErr w:type="spellEnd"/>
      <w:r>
        <w:t xml:space="preserve"> and Sport (CIGEPS).</w:t>
      </w:r>
    </w:p>
    <w:p w14:paraId="67EA43B5" w14:textId="77777777" w:rsidR="001071DC" w:rsidRDefault="001071DC" w:rsidP="001071DC"/>
    <w:p w14:paraId="6FCAFFF7" w14:textId="3CE5FFCD" w:rsidR="001071DC" w:rsidRDefault="001071DC" w:rsidP="001071DC">
      <w:r>
        <w:t xml:space="preserve">Ministrstvo za zunanje in evropske zadeve je vlada pooblastila, da kandidature najavi pri Unescu in izvede potrebne </w:t>
      </w:r>
      <w:proofErr w:type="gramStart"/>
      <w:r>
        <w:t>aktivnosti</w:t>
      </w:r>
      <w:proofErr w:type="gramEnd"/>
      <w:r>
        <w:t xml:space="preserve"> za pridobivanje podpore kandidaturam.                                                                                                                                                     </w:t>
      </w:r>
    </w:p>
    <w:p w14:paraId="26D478A4" w14:textId="4C032CB6" w:rsidR="004E0038" w:rsidRDefault="001071DC" w:rsidP="001071DC">
      <w:pPr>
        <w:pStyle w:val="Vir"/>
      </w:pPr>
      <w:r>
        <w:t>Vir: Ministrstvo za visoko šolstvo, znanost in inovacije</w:t>
      </w:r>
    </w:p>
    <w:p w14:paraId="045135ED" w14:textId="00DB2B99" w:rsidR="00AE7096" w:rsidRDefault="00AE7096" w:rsidP="00AE7096">
      <w:pPr>
        <w:pStyle w:val="Naslov2"/>
      </w:pPr>
      <w:r>
        <w:t xml:space="preserve">Vlada potrdila </w:t>
      </w:r>
      <w:proofErr w:type="gramStart"/>
      <w:r>
        <w:t>predlog Zakona</w:t>
      </w:r>
      <w:proofErr w:type="gramEnd"/>
      <w:r>
        <w:t xml:space="preserve"> o centralnem kreditnem registru</w:t>
      </w:r>
    </w:p>
    <w:p w14:paraId="079A66BB" w14:textId="77777777" w:rsidR="00AE7096" w:rsidRDefault="00AE7096" w:rsidP="00AE7096">
      <w:r>
        <w:t xml:space="preserve">Vlada je danes potrdila predlog novega Zakona o </w:t>
      </w:r>
      <w:proofErr w:type="gramStart"/>
      <w:r>
        <w:t>centralnem</w:t>
      </w:r>
      <w:proofErr w:type="gramEnd"/>
      <w:r>
        <w:t xml:space="preserve"> kreditnem registru, ki nadgrajuje veljavni zakon in med drugim prinaša novosti glede obveznega sporočanja podatkov za dajalce kreditov, vključene v centralni kreditni register.</w:t>
      </w:r>
    </w:p>
    <w:p w14:paraId="4963D68B" w14:textId="77777777" w:rsidR="00AE7096" w:rsidRDefault="00AE7096" w:rsidP="00AE7096"/>
    <w:p w14:paraId="162A7EB2" w14:textId="77777777" w:rsidR="00AE7096" w:rsidRDefault="00AE7096" w:rsidP="00AE7096">
      <w:r>
        <w:t>Centralni kreditni register je centralizirana zbirka podatkov in informacij o zadolženosti poslovnih subjektov ter kreditnih tveganjih in drugih izpostavljenostih, ki jih prevzemajo kreditodajalci pri poslovanju s poslovnimi subjekti</w:t>
      </w:r>
      <w:proofErr w:type="gramStart"/>
      <w:r>
        <w:t>,</w:t>
      </w:r>
      <w:proofErr w:type="gramEnd"/>
      <w:r>
        <w:t xml:space="preserve"> ter zadolženosti fizičnih oseb iz naslova kreditnih poslov. </w:t>
      </w:r>
    </w:p>
    <w:p w14:paraId="774B313A" w14:textId="77777777" w:rsidR="00AE7096" w:rsidRDefault="00AE7096" w:rsidP="00AE7096"/>
    <w:p w14:paraId="1AAC719D" w14:textId="77777777" w:rsidR="00AE7096" w:rsidRDefault="00AE7096" w:rsidP="00AE7096">
      <w:proofErr w:type="gramStart"/>
      <w:r>
        <w:t>Centralni</w:t>
      </w:r>
      <w:proofErr w:type="gramEnd"/>
      <w:r>
        <w:t xml:space="preserve"> kreditni register med drugim omogoča učinkovitejše izvajanje nalog in pooblastil Banke Slovenije na področju vodenja denarne politike, zagotavljanja finančne stabilnosti in makrobonitetnega nadzora. Prispeva tudi k učinkovitemu upravljanju s </w:t>
      </w:r>
      <w:proofErr w:type="gramStart"/>
      <w:r>
        <w:t>kreditnim</w:t>
      </w:r>
      <w:proofErr w:type="gramEnd"/>
      <w:r>
        <w:t xml:space="preserve"> tveganjem, saj omogoča izmenjavo podatkov in informacij v okviru sistema za izmenjavo informacij za ocenjevanje kreditne sposobnosti in obvladovanje kreditnih tveganj. </w:t>
      </w:r>
    </w:p>
    <w:p w14:paraId="648F4B1B" w14:textId="77777777" w:rsidR="00AE7096" w:rsidRDefault="00AE7096" w:rsidP="00AE7096"/>
    <w:p w14:paraId="6841380D" w14:textId="77777777" w:rsidR="00AE7096" w:rsidRDefault="00AE7096" w:rsidP="00AE7096">
      <w:r>
        <w:t xml:space="preserve">Novi zakon veljavnega med drugim nadgrajuje z naslednjimi cilji: </w:t>
      </w:r>
    </w:p>
    <w:p w14:paraId="2910447C" w14:textId="77777777" w:rsidR="00AE7096" w:rsidRDefault="00AE7096" w:rsidP="00AE7096"/>
    <w:p w14:paraId="702002E4" w14:textId="3CFF77E8" w:rsidR="00AE7096" w:rsidRDefault="00AE7096" w:rsidP="00AE7096">
      <w:pPr>
        <w:pStyle w:val="Odstavekseznama"/>
        <w:numPr>
          <w:ilvl w:val="0"/>
          <w:numId w:val="10"/>
        </w:numPr>
      </w:pPr>
      <w:r>
        <w:t xml:space="preserve">Vključeni </w:t>
      </w:r>
      <w:r w:rsidR="00A362F1">
        <w:t xml:space="preserve">kreditodajalci </w:t>
      </w:r>
      <w:r>
        <w:t xml:space="preserve">bodo morali obvezno sporočati podatke o </w:t>
      </w:r>
      <w:proofErr w:type="gramStart"/>
      <w:r>
        <w:t>kreditnih</w:t>
      </w:r>
      <w:proofErr w:type="gramEnd"/>
      <w:r>
        <w:t xml:space="preserve"> poslih, ko se kreditni posel sklene pri opravljanju dejavnosti na območju Slovenije ali druge države članice Evropske unije, če ima kreditojemalec stalno prebivališče v Sloveniji oziroma sedež ali registrirano podružnico v naši državi;</w:t>
      </w:r>
    </w:p>
    <w:p w14:paraId="171BC75D" w14:textId="30D7377F" w:rsidR="00AE7096" w:rsidRDefault="00AE7096" w:rsidP="00AE7096">
      <w:pPr>
        <w:pStyle w:val="Odstavekseznama"/>
        <w:numPr>
          <w:ilvl w:val="0"/>
          <w:numId w:val="10"/>
        </w:numPr>
      </w:pPr>
      <w:r>
        <w:lastRenderedPageBreak/>
        <w:t xml:space="preserve">Omogočili bomo učinkovitejše ocenjevanje in obvladovanje </w:t>
      </w:r>
      <w:proofErr w:type="gramStart"/>
      <w:r>
        <w:t>kreditnega</w:t>
      </w:r>
      <w:proofErr w:type="gramEnd"/>
      <w:r>
        <w:t xml:space="preserve"> tveganja pri kreditodajalcih, ki sklepajo kreditne posle s fizičnimi osebami;</w:t>
      </w:r>
    </w:p>
    <w:p w14:paraId="1FBBE8DE" w14:textId="20167FB6" w:rsidR="00AE7096" w:rsidRDefault="00AE7096" w:rsidP="00AE7096">
      <w:pPr>
        <w:pStyle w:val="Odstavekseznama"/>
        <w:numPr>
          <w:ilvl w:val="0"/>
          <w:numId w:val="10"/>
        </w:numPr>
      </w:pPr>
      <w:r>
        <w:t>Vzpostavili bomo pravne podlage za uvedbo sodobnejših tehnologij in digitalizacije na področju opravljanja bančnih storitev;</w:t>
      </w:r>
    </w:p>
    <w:p w14:paraId="06E15B54" w14:textId="07A3E986" w:rsidR="00AE7096" w:rsidRDefault="00AE7096" w:rsidP="00AE7096">
      <w:pPr>
        <w:pStyle w:val="Odstavekseznama"/>
        <w:numPr>
          <w:ilvl w:val="0"/>
          <w:numId w:val="10"/>
        </w:numPr>
      </w:pPr>
      <w:r>
        <w:t xml:space="preserve">Vzpostavili bomo register podatkov o </w:t>
      </w:r>
      <w:proofErr w:type="gramStart"/>
      <w:r>
        <w:t>okoljskih</w:t>
      </w:r>
      <w:proofErr w:type="gramEnd"/>
      <w:r>
        <w:t>, družbenih in upravljavskih vidikih poslovanja podjetij, ki jih morajo banke in hranilnice upoštevati v postopkih ocenjevanja kreditnega tveganja pri poslovanju s podjetji.</w:t>
      </w:r>
    </w:p>
    <w:p w14:paraId="0E794E5B" w14:textId="77777777" w:rsidR="00AE7096" w:rsidRDefault="00AE7096" w:rsidP="00AE7096"/>
    <w:p w14:paraId="5EBFAC4F" w14:textId="06CEBF46" w:rsidR="00AE7096" w:rsidRDefault="00AE7096" w:rsidP="00AE7096">
      <w:r>
        <w:t xml:space="preserve">Z novostmi glede obveznega sporočanja podatkov o kreditnih poslih v </w:t>
      </w:r>
      <w:proofErr w:type="gramStart"/>
      <w:r>
        <w:t>centralni</w:t>
      </w:r>
      <w:proofErr w:type="gramEnd"/>
      <w:r>
        <w:t xml:space="preserve"> register bomo v nacionalno zakonodajo hkrati delno prenesli evropsko direktivo o potrošniških kreditnih pogodbah. Preostali del navedene </w:t>
      </w:r>
      <w:proofErr w:type="gramStart"/>
      <w:r>
        <w:t>direktive</w:t>
      </w:r>
      <w:proofErr w:type="gramEnd"/>
      <w:r>
        <w:t xml:space="preserve"> pa bo prenesen z zakonom, ki ureja potrošniško kreditiranje.</w:t>
      </w:r>
    </w:p>
    <w:p w14:paraId="66C9717D" w14:textId="7A4235D3" w:rsidR="004E0038" w:rsidRDefault="00AE7096" w:rsidP="00AE7096">
      <w:pPr>
        <w:pStyle w:val="Vir"/>
      </w:pPr>
      <w:r>
        <w:t>Vir: Ministrstvo za finance</w:t>
      </w:r>
    </w:p>
    <w:p w14:paraId="1B4DDB92" w14:textId="4DC59680" w:rsidR="00CB2CCC" w:rsidRDefault="00CB2CCC" w:rsidP="00CB2CCC">
      <w:pPr>
        <w:pStyle w:val="Naslov2"/>
      </w:pPr>
      <w:r>
        <w:t>Vlada o pripravi proračunov za 2026 in 2027</w:t>
      </w:r>
    </w:p>
    <w:p w14:paraId="67DD179B" w14:textId="77777777" w:rsidR="00CB2CCC" w:rsidRDefault="00CB2CCC" w:rsidP="00CB2CCC">
      <w:r>
        <w:t xml:space="preserve">Vlada se je znova seznanila s stanjem in </w:t>
      </w:r>
      <w:proofErr w:type="gramStart"/>
      <w:r>
        <w:t>aktivnostmi</w:t>
      </w:r>
      <w:proofErr w:type="gramEnd"/>
      <w:r>
        <w:t xml:space="preserve"> v zvezi s pripravo sprememb državnega proračuna za leto 2026 in proračuna za leto 2027. Dokončno ju mora potrditi konec septembra, v državni zbor pa posredovati do 1. oktobra. V ospredju pozornosti vlade so področja gospodarstva in konkurenčnosti, popoplavne obnove, varnosti in obrambi, dostopnosti stanovanj ter izvajanja evropskih programov, hkrati pa sledimo srednjeročnemu cilju vzdržnosti javnega dolga in ohranjanja primanjkljaja sektorja država pod mejo treh odstotkov bruto domačega proizvoda.</w:t>
      </w:r>
    </w:p>
    <w:p w14:paraId="1F9B836D" w14:textId="27DF8D6C" w:rsidR="00C47BED" w:rsidRDefault="00CB2CCC" w:rsidP="00CB2CCC">
      <w:pPr>
        <w:pStyle w:val="Vir"/>
      </w:pPr>
      <w:r>
        <w:t>Vir: Ministrstvo za finance</w:t>
      </w:r>
    </w:p>
    <w:p w14:paraId="3EB3D1E4" w14:textId="197122C0" w:rsidR="002760DE" w:rsidRDefault="002760DE" w:rsidP="002760DE">
      <w:pPr>
        <w:pStyle w:val="Naslov2"/>
      </w:pPr>
      <w:r>
        <w:t>Vlada o izhodiščih za prilagoditev sistema normirancev</w:t>
      </w:r>
    </w:p>
    <w:p w14:paraId="5FC25C1A" w14:textId="77777777" w:rsidR="002760DE" w:rsidRDefault="002760DE" w:rsidP="002760DE">
      <w:r>
        <w:t>Vlada se je danes seznanila z izhodišči za pripravo sprememb pri obdavčitvi fizičnih oseb, ki opravljajo dejavnost in ugotavljajo davčno osnovo na podlagi dejanskih prihodkov in normiranih odhodkov. Med drugim se predlaga razmislek o prilagoditvi pogojev za vstop in obstoj v t. i. sistemu normirancev z zvišanjem zgornje meje prihodkov. Vlada bo izhodišča posredovala v obravnavo na Ekonomsko-socialni svet.</w:t>
      </w:r>
    </w:p>
    <w:p w14:paraId="3E544270" w14:textId="77777777" w:rsidR="002760DE" w:rsidRDefault="002760DE" w:rsidP="002760DE"/>
    <w:p w14:paraId="4185993B" w14:textId="77777777" w:rsidR="002760DE" w:rsidRDefault="002760DE" w:rsidP="002760DE">
      <w:r>
        <w:t xml:space="preserve">Sistem ugotavljanja davčne osnove na podlagi normiranih odhodkov je poenostavljen način določanja davčne osnove od dohodka iz dejavnosti. Namenjen je predvsem administrativni poenostavitvi v začetnih fazah poslovanja in pri majhnem obsegu poslovanja. Ker se je izkazalo, da sistem prinaša različne anomalije, smo ga v preteklosti večkrat prilagodili. </w:t>
      </w:r>
    </w:p>
    <w:p w14:paraId="3D543E68" w14:textId="77777777" w:rsidR="002760DE" w:rsidRDefault="002760DE" w:rsidP="002760DE"/>
    <w:p w14:paraId="63EAEAAE" w14:textId="77777777" w:rsidR="002760DE" w:rsidRDefault="002760DE" w:rsidP="002760DE">
      <w:r>
        <w:t xml:space="preserve">Nazadnje smo ga prilagodili s spremembo Zakona o dohodnini, ki se je začela uporabljati z letošnjim davčnim letom in s katero smo med drugim znižali prag za vstop in ohranitev v sistemu normiranih odhodkov. </w:t>
      </w:r>
    </w:p>
    <w:p w14:paraId="4639F951" w14:textId="77777777" w:rsidR="002760DE" w:rsidRDefault="002760DE" w:rsidP="002760DE"/>
    <w:p w14:paraId="391E65AD" w14:textId="77777777" w:rsidR="002760DE" w:rsidRDefault="002760DE" w:rsidP="002760DE">
      <w:r>
        <w:t xml:space="preserve">V razpravah, ki so sledile zadnji spremembi, je bilo izpostavljeno predvsem, da zniževanje pragov za vstop in obstanek v sistemu negativno motivacijsko vpliva na posameznike, da bi širili svojo dejavnost. Z namenom, da se lahko podjetniki v čim večji meri posvetijo svojemu delu in ustvarjanju dodane vrednosti, ob tem pa ne </w:t>
      </w:r>
      <w:proofErr w:type="gramStart"/>
      <w:r>
        <w:t>izgubljajo</w:t>
      </w:r>
      <w:proofErr w:type="gramEnd"/>
      <w:r>
        <w:t xml:space="preserve"> časa z administrativnimi opravili, se posledično predlaga vnovičen razmislek o spremembi sistema normiranih odhodkov.</w:t>
      </w:r>
    </w:p>
    <w:p w14:paraId="5E2F821A" w14:textId="77777777" w:rsidR="002760DE" w:rsidRDefault="002760DE" w:rsidP="002760DE"/>
    <w:p w14:paraId="5F9EFAA2" w14:textId="77777777" w:rsidR="002760DE" w:rsidRDefault="002760DE" w:rsidP="002760DE">
      <w:r>
        <w:t xml:space="preserve">Predlaga se dodaten razmislek o tem, da se prag za vstop v sistem normirancev poviša s 30.000 evrov na 50.000 evrov prihodkov za t. i. popoldanske normirance oziroma s 60.000 evrov na 120.000 evrov za t. i. polne normirance, skladno s tem pa bi se povišal tudi prag za izstop sistema na 50.000 evrov pri t. i. popoldanskih normirancih oziroma na 120.000 evrov pri t. i. polnih normirancih. </w:t>
      </w:r>
    </w:p>
    <w:p w14:paraId="7101F4DC" w14:textId="77777777" w:rsidR="002760DE" w:rsidRDefault="002760DE" w:rsidP="002760DE"/>
    <w:p w14:paraId="731B9E38" w14:textId="77777777" w:rsidR="002760DE" w:rsidRDefault="002760DE" w:rsidP="002760DE">
      <w:r>
        <w:t xml:space="preserve">S tem bi se zagotovilo, da samostojni podjetniki kljub širitvi poslovanja še vedno lahko ostanejo v sistemu normiranih odhodkov in posledično ohranijo administrativno </w:t>
      </w:r>
      <w:proofErr w:type="gramStart"/>
      <w:r>
        <w:t>enostaven</w:t>
      </w:r>
      <w:proofErr w:type="gramEnd"/>
      <w:r>
        <w:t xml:space="preserve"> način ugotavljanja davčne obveznosti.</w:t>
      </w:r>
    </w:p>
    <w:p w14:paraId="0591C5C1" w14:textId="77777777" w:rsidR="002760DE" w:rsidRDefault="002760DE" w:rsidP="002760DE"/>
    <w:p w14:paraId="445C36E2" w14:textId="77777777" w:rsidR="002760DE" w:rsidRDefault="002760DE" w:rsidP="002760DE">
      <w:r>
        <w:t>Višina normiranih odhodkov se v skladu z izhodišči ne spreminja:</w:t>
      </w:r>
    </w:p>
    <w:p w14:paraId="20B257AB" w14:textId="1E2EB5C6" w:rsidR="002760DE" w:rsidRDefault="002760DE" w:rsidP="002760DE">
      <w:pPr>
        <w:pStyle w:val="Odstavekseznama"/>
        <w:numPr>
          <w:ilvl w:val="0"/>
          <w:numId w:val="13"/>
        </w:numPr>
      </w:pPr>
      <w:r>
        <w:t xml:space="preserve">pri polnih normirancih: 80 odstotkov prihodkov za prihodke do 60.000 evrov in 0 odstotkov prihodkov za prihodke nad </w:t>
      </w:r>
      <w:proofErr w:type="gramStart"/>
      <w:r>
        <w:t xml:space="preserve">60.000  </w:t>
      </w:r>
      <w:proofErr w:type="gramEnd"/>
      <w:r>
        <w:t>evrov,</w:t>
      </w:r>
    </w:p>
    <w:p w14:paraId="74D9ED3F" w14:textId="3BE5CABB" w:rsidR="002760DE" w:rsidRDefault="002760DE" w:rsidP="002760DE">
      <w:pPr>
        <w:pStyle w:val="Odstavekseznama"/>
        <w:numPr>
          <w:ilvl w:val="0"/>
          <w:numId w:val="13"/>
        </w:numPr>
      </w:pPr>
      <w:r>
        <w:t xml:space="preserve">pri </w:t>
      </w:r>
      <w:proofErr w:type="gramStart"/>
      <w:r>
        <w:t>popoldancih</w:t>
      </w:r>
      <w:proofErr w:type="gramEnd"/>
      <w:r>
        <w:t>: 80 odstotkov prihodkov za prihodke do 12.500 evrov, 40 odstotkov prihodkov za prihodke nad 12.500 evrov do 30.000 evrov in 0 odstotkov za prihodke nad 30.000 evrov.</w:t>
      </w:r>
    </w:p>
    <w:p w14:paraId="676F7794" w14:textId="77777777" w:rsidR="002760DE" w:rsidRDefault="002760DE" w:rsidP="002760DE"/>
    <w:p w14:paraId="3A4B65F9" w14:textId="77777777" w:rsidR="002760DE" w:rsidRDefault="002760DE" w:rsidP="002760DE">
      <w:r>
        <w:t>Predlaga se razmislek o možnostih za dodatno razbremenitev najmanjših polnih normirancev.</w:t>
      </w:r>
    </w:p>
    <w:p w14:paraId="7993C8EF" w14:textId="77777777" w:rsidR="002760DE" w:rsidRDefault="002760DE" w:rsidP="002760DE"/>
    <w:p w14:paraId="359083F8" w14:textId="77777777" w:rsidR="002760DE" w:rsidRDefault="002760DE" w:rsidP="002760DE">
      <w:r>
        <w:t xml:space="preserve">Predlaga se tudi razmislek o povečanju davčne stopnje (iz obstoječih 20 odstotkov na npr. 35 odstotkov) za prihodke nad določeno višino (npr. nad 120.000 evrov), s čimer bi zmanjšali ugodnost sistema normirancev v primeru večjih izplačil v zadnjem letu poslovanja pred izstopom in spodbudili zavezance z večjimi prihodki k izkazovanju dejanskih dohodkov. S ciljem dodatnih varoval pred zlorabami sistema pa se predlaga tudi razmislek o podaljšanju obdobja po izstopu iz sistema ali prenehanja opravljanja dejavnosti, v katerem zavezanec ne more ponovno vstopiti v sistem. </w:t>
      </w:r>
    </w:p>
    <w:p w14:paraId="7058159E" w14:textId="0423806A" w:rsidR="00CF284A" w:rsidRDefault="002760DE" w:rsidP="002760DE">
      <w:pPr>
        <w:pStyle w:val="Vir"/>
      </w:pPr>
      <w:r>
        <w:t>Vir: Ministrstvo za finance</w:t>
      </w:r>
    </w:p>
    <w:p w14:paraId="1684A76E" w14:textId="5D647AE2" w:rsidR="00D74537" w:rsidRDefault="00D74537" w:rsidP="00D74537">
      <w:pPr>
        <w:pStyle w:val="Naslov2"/>
      </w:pPr>
      <w:r>
        <w:t>Vlada se je seznanila s predlogom izhodišč za razpravo o uvedbi božičnice</w:t>
      </w:r>
    </w:p>
    <w:p w14:paraId="03290993" w14:textId="1015FD9B" w:rsidR="00D74537" w:rsidRDefault="00D74537" w:rsidP="00D74537">
      <w:r>
        <w:t>Vlada se je seznanila s predlogom Izhodišč za razpravo o uvedbi obvezne pravice delavcev do izplačila 14. plače (božičnice) in jih posreduje v obravnavo na Ekonomsko-socialni svet.</w:t>
      </w:r>
    </w:p>
    <w:p w14:paraId="58610379" w14:textId="77777777" w:rsidR="00D74537" w:rsidRDefault="00D74537" w:rsidP="00D74537"/>
    <w:p w14:paraId="1CCF2635" w14:textId="77777777" w:rsidR="00D74537" w:rsidRDefault="00D74537" w:rsidP="00D74537">
      <w:r>
        <w:t xml:space="preserve">Z uvedbo 14. plače oz. božičnice se želi vsem delavcem v enakem položaju zagotoviti dodatni dohodek v posameznem letu, ki bi </w:t>
      </w:r>
      <w:proofErr w:type="gramStart"/>
      <w:r>
        <w:t>pripomogel</w:t>
      </w:r>
      <w:proofErr w:type="gramEnd"/>
      <w:r>
        <w:t xml:space="preserve"> k izboljšanju gmotnega položaja delavcev in s tem k izboljšanju njihovega zadovoljstva in motivacije za opravljanje dela. </w:t>
      </w:r>
    </w:p>
    <w:p w14:paraId="51F9834A" w14:textId="77777777" w:rsidR="00D74537" w:rsidRDefault="00D74537" w:rsidP="00D74537"/>
    <w:p w14:paraId="6C2E8506" w14:textId="77777777" w:rsidR="00D74537" w:rsidRDefault="00D74537" w:rsidP="00D74537">
      <w:r>
        <w:t>Po predlogu bi bil izplačan znesek 14. plače oproščen plačila davkov in prispevkov. Da se z vidika davčne obravnave omilijo razlike med davčnimi zavezanci, bi se 14. plača za davčne namene obravnavala enako kot plačilo za poslovno uspešnost, torej bi se upoštevala v okviru davčne ugodnosti, ki že danes velja za poslovno uspešnost.</w:t>
      </w:r>
    </w:p>
    <w:p w14:paraId="7EB0CE36" w14:textId="36AEE6AC" w:rsidR="00D74537" w:rsidRDefault="00D74537" w:rsidP="00D74537">
      <w:pPr>
        <w:pStyle w:val="Vir"/>
      </w:pPr>
      <w:r>
        <w:t>Vir: Ministrstvo za delo, družino,</w:t>
      </w:r>
      <w:r>
        <w:t xml:space="preserve"> </w:t>
      </w:r>
      <w:r>
        <w:t>socialne zadeve in enake možnosti</w:t>
      </w:r>
    </w:p>
    <w:p w14:paraId="46F6875E" w14:textId="264EE672" w:rsidR="004E0038" w:rsidRDefault="00AA59FF" w:rsidP="00CB2CCC">
      <w:pPr>
        <w:pStyle w:val="Naslov2"/>
      </w:pPr>
      <w:r>
        <w:t>S</w:t>
      </w:r>
      <w:r w:rsidR="004E0038">
        <w:t>oglasj</w:t>
      </w:r>
      <w:r>
        <w:t>e vlade</w:t>
      </w:r>
      <w:r w:rsidR="004E0038">
        <w:t xml:space="preserve"> k izvedbi kampanje</w:t>
      </w:r>
      <w:r w:rsidR="007E5129">
        <w:t xml:space="preserve"> za ozaveščanje in informiranje</w:t>
      </w:r>
      <w:r w:rsidR="004E0038">
        <w:t xml:space="preserve"> </w:t>
      </w:r>
      <w:r w:rsidR="007E5129">
        <w:t xml:space="preserve">uporabnikov </w:t>
      </w:r>
      <w:r w:rsidR="004E0038">
        <w:t>dolgotrajn</w:t>
      </w:r>
      <w:r w:rsidR="007E5129">
        <w:t>e</w:t>
      </w:r>
      <w:r w:rsidR="004E0038">
        <w:t xml:space="preserve"> oskrb</w:t>
      </w:r>
      <w:r w:rsidR="007E5129">
        <w:t>e</w:t>
      </w:r>
    </w:p>
    <w:p w14:paraId="7A6B5527" w14:textId="18FD6E47" w:rsidR="00AA59FF" w:rsidRDefault="00AA59FF" w:rsidP="00AA59FF">
      <w:r w:rsidRPr="00AA59FF">
        <w:t xml:space="preserve">Vlada se je seznanila z </w:t>
      </w:r>
      <w:r w:rsidR="007E5129">
        <w:t>izvedbo k</w:t>
      </w:r>
      <w:r w:rsidRPr="00AA59FF">
        <w:t>ampanj</w:t>
      </w:r>
      <w:r w:rsidR="007E5129">
        <w:t>e</w:t>
      </w:r>
      <w:r w:rsidR="007E5129" w:rsidRPr="007E5129">
        <w:t xml:space="preserve"> za ozaveščanje in informiranje uporabnikov dolgotrajn</w:t>
      </w:r>
      <w:r w:rsidR="007E5129">
        <w:t xml:space="preserve">e </w:t>
      </w:r>
      <w:r w:rsidR="007E5129" w:rsidRPr="007E5129">
        <w:t>oskrbe</w:t>
      </w:r>
      <w:r w:rsidRPr="00AA59FF">
        <w:t xml:space="preserve"> »Dostopna dolgotrajna oskrba« in dala soglasje Ministrstvu za solidarno prihodnost za izvedbo kampanje. Kampanja v vrednosti 190 tisoč evrov je integralen del kohezijskega projekta Evropske unije »Dostopna dolgotrajna oskrba – Izboljšanje dostopnosti storitev in informiranje o dolgotrajni oskrbi«. V okviru kampanje bodo izvedene različne promocijske </w:t>
      </w:r>
      <w:proofErr w:type="gramStart"/>
      <w:r w:rsidRPr="00AA59FF">
        <w:t>aktivnosti</w:t>
      </w:r>
      <w:proofErr w:type="gramEnd"/>
      <w:r w:rsidRPr="00AA59FF">
        <w:t xml:space="preserve"> z namenom ozaveščanja širše javnosti o dolgotrajni oskrbi.</w:t>
      </w:r>
    </w:p>
    <w:p w14:paraId="457A9EF2" w14:textId="2CC70362" w:rsidR="00AA59FF" w:rsidRPr="00AA59FF" w:rsidRDefault="00AA59FF" w:rsidP="00AA59FF">
      <w:pPr>
        <w:pStyle w:val="Vir"/>
      </w:pPr>
      <w:r w:rsidRPr="00AA59FF">
        <w:t>Vir: Ministrstvo za solidarno prihodnost</w:t>
      </w:r>
    </w:p>
    <w:p w14:paraId="6DC50978" w14:textId="6493DD55" w:rsidR="0004260D" w:rsidRDefault="0004260D" w:rsidP="0004260D">
      <w:pPr>
        <w:pStyle w:val="Naslov2"/>
      </w:pPr>
      <w:r>
        <w:t>Poročilo Evropske komisije o stanju vladavine prava v Evropski uniji za leto 2025: Slovenija je napredovala na vseh področjih</w:t>
      </w:r>
    </w:p>
    <w:p w14:paraId="11B33C71" w14:textId="77777777" w:rsidR="0004260D" w:rsidRDefault="0004260D" w:rsidP="0004260D">
      <w:r>
        <w:lastRenderedPageBreak/>
        <w:t xml:space="preserve">Vlada Republike Slovenije se je seznanila s Poročilom Evropske komisije o stanju vladavine prava v Evropski uniji za leto 2025. V tej zvezi je zadolžila pristojna ministrstva in organe v sestavi, da proučijo poglavje o Sloveniji, s poudarkom na priporočilih Evropske komisije Sloveniji, ter pripravijo celovit odziv glede pregleda trenutnega stanja, načrtov za implementacijo ter časovnega okvirja za njihovo realizacijo. </w:t>
      </w:r>
    </w:p>
    <w:p w14:paraId="480A2436" w14:textId="77777777" w:rsidR="00B8693A" w:rsidRDefault="00B8693A" w:rsidP="0004260D"/>
    <w:p w14:paraId="6AE85C5F" w14:textId="179EF42D" w:rsidR="0004260D" w:rsidRDefault="0004260D" w:rsidP="0004260D">
      <w:r>
        <w:t xml:space="preserve">Glede na poročilo je Slovenija napredovala na praktično vseh obravnavanih področjih in dosegla napredek pri vseh lanskih priporočilih. Poročilo za Slovenijo ugotavlja, da so v zadnjem obdobju bili doseženi pomembni napredki na področju pravosodja. Uvedena so jamstva za neodvisnost sodstva in samostojnost tožilcev v parlamentarnih preiskavah, zvišale so se tudi plače sodnikov in državnih tožilcev, medtem ko potekajo prizadevanja za izboljšanje zaščite pravosodnih delavcev. Državni zbor razpravlja o pomembnih zakonodajnih spremembah, ki zadevajo disciplinske postopke, imenovanja sodnikov vrhovnega sodišča in reformo mreže sodišč. Nadaljujejo se prizadevanja za digitalizacijo, čeprav ostajajo izzivi pri odpravi sodnih zaostankov, predvsem na področjih pranja denarja in korupcije. </w:t>
      </w:r>
    </w:p>
    <w:p w14:paraId="57224C49" w14:textId="77777777" w:rsidR="0004260D" w:rsidRDefault="0004260D" w:rsidP="0004260D"/>
    <w:p w14:paraId="6F2C9B73" w14:textId="242268FC" w:rsidR="0004260D" w:rsidRDefault="0004260D" w:rsidP="0004260D">
      <w:r>
        <w:t>Na področju boja proti korupciji sta bila sprejeta nova strategija in akcijski načrt, ki krepita preiskave, pregone in sodne postopke. Komisija za preprečevanje korupcije je poudarila potrebo po večji preglednosti pri imenovanju visokih javnih funkcionarjev, izboljšane so bile tudi smernice za lobiranje in pravila o političnem financiranju. Tehnične zmogljivosti Komisije za preprečevanje korupcije so se izboljšale, čeprav kadrovski izzivi ostajajo. Glede medijev poročilo ugotavlja, da medijski regulator ohranja neodvisnost, čeprav z omejenimi viri, neodvisnost javnih medijev pa se krepi, čeprav finančni izzivi vplivajo na zasebni medijski sektor in pluralnost medijev. Okvir za dostop do informacij ostaja ugoden, sprejeti pa so bili nadaljnji ukrepi za zaščito novinarjev. Zakonodajne spremembe so razbremenile ustavno sodišče in razširile pristojnosti varuha človekovih pravic, pri čemer se slovenski civilni prostor nadalje razvija v bolj odprtega.</w:t>
      </w:r>
    </w:p>
    <w:p w14:paraId="6A68AD3B" w14:textId="77777777" w:rsidR="0004260D" w:rsidRDefault="0004260D" w:rsidP="0004260D"/>
    <w:p w14:paraId="1D547D32" w14:textId="59D563F6" w:rsidR="0004260D" w:rsidRDefault="0004260D" w:rsidP="0004260D">
      <w:r>
        <w:t>Evropska komisija je v poročilu Sloveniji podala priporočila za sprejetje nadaljnjih ukrepov za zagotovitev stalnih rezultatov glede preiskav, pregonov in pravnomočnih sodb v primerih kaznivih dejanj korupcije, vključno s primeri na visoki ravni; za nadaljevanje postopka sprejemanja zakonodajnih in nezakonodajnih zaščitnih ukrepov za izboljšanje zaščite novinarjev ob upoštevanju evropskih standardov glede zaščite novinarjev; ter za dokončanje reforme za zagotovitev pravil ali mehanizmov za zagotavljanje financiranja javnih medijev, ki je primerno za opravljanje njihovih nalog javne službe, hkrati pa zagotavlja njihovo neodvisnost.</w:t>
      </w:r>
    </w:p>
    <w:p w14:paraId="655491B8" w14:textId="1D7CBEF0" w:rsidR="004E0038" w:rsidRDefault="0004260D" w:rsidP="0004260D">
      <w:pPr>
        <w:pStyle w:val="Vir"/>
      </w:pPr>
      <w:r>
        <w:t>Vir: Ministrstvo za zunanje in evropske zadeve</w:t>
      </w:r>
    </w:p>
    <w:p w14:paraId="3155C838" w14:textId="2BD54B75" w:rsidR="00380882" w:rsidRDefault="00380882" w:rsidP="00380882">
      <w:pPr>
        <w:pStyle w:val="Naslov2"/>
      </w:pPr>
      <w:r>
        <w:t>Imenovani predstavniki nadzornega sveta Eko sklada</w:t>
      </w:r>
    </w:p>
    <w:p w14:paraId="5DD9DA98" w14:textId="77777777" w:rsidR="00380882" w:rsidRDefault="00380882" w:rsidP="00380882">
      <w:r>
        <w:t xml:space="preserve">Vlada je sprejela sklep o imenovanju novih predstavnikov ustanovitelja v nadzorni svet Eko sklada, Slovenskega </w:t>
      </w:r>
      <w:proofErr w:type="gramStart"/>
      <w:r>
        <w:t>okoljskega</w:t>
      </w:r>
      <w:proofErr w:type="gramEnd"/>
      <w:r>
        <w:t xml:space="preserve"> javnega sklada.</w:t>
      </w:r>
    </w:p>
    <w:p w14:paraId="09A3EF3C" w14:textId="77777777" w:rsidR="00380882" w:rsidRDefault="00380882" w:rsidP="00380882"/>
    <w:p w14:paraId="711D877E" w14:textId="77777777" w:rsidR="00380882" w:rsidRDefault="00380882" w:rsidP="00380882">
      <w:r>
        <w:t>Za mandatno dobo štirih let, od 25. septembra 2025 do 24. septembra 2029, z možnostjo ponovnega imenovanja, so bili imenovani:</w:t>
      </w:r>
    </w:p>
    <w:p w14:paraId="14E3DD8B" w14:textId="00C5B283" w:rsidR="00380882" w:rsidRDefault="00380882" w:rsidP="00380882">
      <w:pPr>
        <w:pStyle w:val="Odstavekseznama"/>
        <w:numPr>
          <w:ilvl w:val="0"/>
          <w:numId w:val="12"/>
        </w:numPr>
      </w:pPr>
      <w:r>
        <w:t>Ervina Jarc, predstavnica ministrstva, pristojnega za finance,</w:t>
      </w:r>
    </w:p>
    <w:p w14:paraId="04B6DF36" w14:textId="1D676F4C" w:rsidR="00380882" w:rsidRDefault="00380882" w:rsidP="00380882">
      <w:pPr>
        <w:pStyle w:val="Odstavekseznama"/>
        <w:numPr>
          <w:ilvl w:val="0"/>
          <w:numId w:val="12"/>
        </w:numPr>
      </w:pPr>
      <w:r>
        <w:t>mag. Teja Božovič Holc, predstavnica ministrstva, pristojnega za okolje,</w:t>
      </w:r>
    </w:p>
    <w:p w14:paraId="769DD98E" w14:textId="28DACD79" w:rsidR="00380882" w:rsidRDefault="00380882" w:rsidP="00380882">
      <w:pPr>
        <w:pStyle w:val="Odstavekseznama"/>
        <w:numPr>
          <w:ilvl w:val="0"/>
          <w:numId w:val="12"/>
        </w:numPr>
      </w:pPr>
      <w:r>
        <w:t>mag. Erik Potočar, predstavnik ministrstva, pristojnega za energijo,</w:t>
      </w:r>
    </w:p>
    <w:p w14:paraId="0486DB1B" w14:textId="135C3D30" w:rsidR="00380882" w:rsidRDefault="00380882" w:rsidP="00380882">
      <w:pPr>
        <w:pStyle w:val="Odstavekseznama"/>
        <w:numPr>
          <w:ilvl w:val="0"/>
          <w:numId w:val="12"/>
        </w:numPr>
      </w:pPr>
      <w:r>
        <w:t>Andrej Gnezda, predstavnik ministrstva, pristojnega za podnebje.</w:t>
      </w:r>
    </w:p>
    <w:p w14:paraId="6BFB9887" w14:textId="44903F4C" w:rsidR="004E0038" w:rsidRDefault="00380882" w:rsidP="00380882">
      <w:pPr>
        <w:pStyle w:val="Vir"/>
      </w:pPr>
      <w:r>
        <w:t>Vir: Ministrstvo za okolje, podnebje in energijo</w:t>
      </w:r>
    </w:p>
    <w:p w14:paraId="07DF7C1E" w14:textId="672930EA" w:rsidR="0079177C" w:rsidRDefault="0079177C" w:rsidP="0079177C">
      <w:pPr>
        <w:pStyle w:val="Naslov2"/>
      </w:pPr>
      <w:r>
        <w:t xml:space="preserve">Predlog skupnega kadrovskega načrta (SKN) organov državne uprave za leti 2026 in 2027  </w:t>
      </w:r>
    </w:p>
    <w:p w14:paraId="3051A8F6" w14:textId="6FCED295" w:rsidR="0079177C" w:rsidRDefault="0079177C" w:rsidP="0079177C">
      <w:r>
        <w:lastRenderedPageBreak/>
        <w:t>Vlada Republike Slovenije je sprejela predlog skupnega kadrovskega načrta (SKN) organov državne uprave za leti 2026 in 2027 in ga v Državni zbor pošlje kot sestavni del obrazložitve predloga sprememb proračuna Republike Slovenije za leto 2026 in predloga proračuna Republike Slovenije za leto 2027.</w:t>
      </w:r>
    </w:p>
    <w:p w14:paraId="47CBA761" w14:textId="77777777" w:rsidR="0079177C" w:rsidRDefault="0079177C" w:rsidP="0079177C"/>
    <w:p w14:paraId="6AE10F0D" w14:textId="77777777" w:rsidR="0079177C" w:rsidRDefault="0079177C" w:rsidP="0079177C">
      <w:r>
        <w:t>Dovoljeno število zaposlitev po Predlogu SKN za leti 2026 in 2027 se glede na sprejet SKN za leti 2025 in 2026 (z že vključenimi spremembami) ne spreminja (to je skupaj 33.781 dovoljenih zaposlitev). Proračunski uporabniki sredstva za stroške dela zaposlenih javnih uslužbencev zagotavljajo v okviru sredstev za stroške dela v svojih finančnih načrtih.</w:t>
      </w:r>
    </w:p>
    <w:p w14:paraId="570B4541" w14:textId="77777777" w:rsidR="0079177C" w:rsidRDefault="0079177C" w:rsidP="0079177C"/>
    <w:p w14:paraId="666CBF3A" w14:textId="3728F44B" w:rsidR="0079177C" w:rsidRDefault="0079177C" w:rsidP="0079177C">
      <w:r>
        <w:t>Ob tem je vlada podaljšala veljavnost nekaterih že sprejetih kadrovskih ukrepov tudi za leti 2026 in 2027, na primer, da se v okviru dovoljenega števila zaposlitev za posamezni organ državne uprave določi posebna kvota dovoljenih zaposlitev, ki je namenjena izključno zaposlitvam pripravnikov; da predstojniki organov državne uprave na podlagi medsebojnega dogovora zagotovijo možnost prenosa kvot za zaposlitev pripravnikov, če jih v svojem organu</w:t>
      </w:r>
      <w:proofErr w:type="gramStart"/>
      <w:r>
        <w:t xml:space="preserve"> ne</w:t>
      </w:r>
      <w:proofErr w:type="gramEnd"/>
      <w:r w:rsidR="00A20A7C">
        <w:t xml:space="preserve"> </w:t>
      </w:r>
      <w:r>
        <w:t>potrebujejo; da zaposlitev pripravnika ne šteje za preseganje kadrovskega načrta ter da ministrstva v okviru kvote dovoljenih zaposlitev posebno pozornost namenijo ustrezni kadrovski popolnitvi delovnih mest inšpektorjev. V okviru kvote SKN se za leti 2026 in 2027 določi tudi minimalna kvota za zaposlitev vrhunskih športnikov in trenerjev, in sicer 21 pri Finančni upravi, 59 pri Policiji in 103 v Slovenski vojski.</w:t>
      </w:r>
    </w:p>
    <w:p w14:paraId="2E175FEA" w14:textId="74F1147F" w:rsidR="004E0038" w:rsidRDefault="0079177C" w:rsidP="0079177C">
      <w:pPr>
        <w:pStyle w:val="Vir"/>
      </w:pPr>
      <w:r>
        <w:t>Vir: Ministrstvo za javno upravo</w:t>
      </w:r>
    </w:p>
    <w:p w14:paraId="02B5E19C" w14:textId="091BF0C8" w:rsidR="0079177C" w:rsidRDefault="0079177C" w:rsidP="0079177C">
      <w:pPr>
        <w:pStyle w:val="Naslov2"/>
      </w:pPr>
      <w:r>
        <w:t>Predlog zbirnega kadrovskega načrt</w:t>
      </w:r>
      <w:r w:rsidR="00A20A7C">
        <w:t>a</w:t>
      </w:r>
      <w:r>
        <w:t xml:space="preserve"> (ZKN) oseb javnega prava po 22. členu Zakona o javnih uslužbencih za leti 2026 in 2027</w:t>
      </w:r>
    </w:p>
    <w:p w14:paraId="19A8C9A1" w14:textId="2BA79B2A" w:rsidR="0079177C" w:rsidRDefault="0079177C" w:rsidP="0079177C">
      <w:r>
        <w:t xml:space="preserve">Vlada Republike Slovenije je sprejela predlog zbirnega kadrovskega načrta (ZKN) oseb javnega prava po 22. členu Zakona o javnih uslužbencih za leti 2026 in 2027 in ga pošilja v Državni zbor kot sestavni del obrazložitve predloga sprememb proračuna Republike Slovenije za leto 2026 in predloga proračuna Republike Slovenije za leto 2027. </w:t>
      </w:r>
    </w:p>
    <w:p w14:paraId="7B4BD4EA" w14:textId="77777777" w:rsidR="0079177C" w:rsidRDefault="0079177C" w:rsidP="0079177C"/>
    <w:p w14:paraId="27341463" w14:textId="77777777" w:rsidR="0079177C" w:rsidRDefault="0079177C" w:rsidP="0079177C">
      <w:r>
        <w:t>Glede na sprejeti ZKN za leti 2025 in 2026</w:t>
      </w:r>
      <w:proofErr w:type="gramStart"/>
      <w:r>
        <w:t>,</w:t>
      </w:r>
      <w:proofErr w:type="gramEnd"/>
      <w:r>
        <w:t xml:space="preserve"> se Predlog ZKN za leti 2026 in 2027 ne povečuje (to je 4.072 dovoljenih zaposlitev). Proračunski uporabniki sredstva za stroške dela zaposlenih javnih uslužbencev zagotavljajo v okviru sredstev za stroške dela v svojih finančnih načrtih.</w:t>
      </w:r>
    </w:p>
    <w:p w14:paraId="13FEEBB7" w14:textId="77777777" w:rsidR="0079177C" w:rsidRDefault="0079177C" w:rsidP="0079177C"/>
    <w:p w14:paraId="35A5857A" w14:textId="77777777" w:rsidR="0079177C" w:rsidRDefault="0079177C" w:rsidP="0079177C">
      <w:r>
        <w:t>Vlada je s sklepom naložila ministrstvom, ki so pristojna za osebe javnega prava iz 22. člena Zakona o javnih uslužbencih, da predloge kadrovskih načrtov teh oseb javnega prava za leti 2026 in 2027 skupaj z obrazložitvami pošljejo Ministrstvu za javno upravo, ki nato pripravi predlog ZKN in ga predloži vladi v sprejem.</w:t>
      </w:r>
    </w:p>
    <w:p w14:paraId="6A60B46A" w14:textId="29FE636D" w:rsidR="004E0038" w:rsidRDefault="0079177C" w:rsidP="0079177C">
      <w:pPr>
        <w:pStyle w:val="Vir"/>
      </w:pPr>
      <w:r>
        <w:t>Vir: Ministrstvo za javno upravo</w:t>
      </w:r>
    </w:p>
    <w:p w14:paraId="4F2470BA" w14:textId="21FB721B" w:rsidR="0079177C" w:rsidRDefault="0079177C" w:rsidP="0079177C">
      <w:pPr>
        <w:pStyle w:val="Naslov2"/>
      </w:pPr>
      <w:r>
        <w:t>Kadrovski načrti nevladnih uporabnikov državnega proračuna za leti 2026 in 2027</w:t>
      </w:r>
    </w:p>
    <w:p w14:paraId="203C20B7" w14:textId="6EB0C6B0" w:rsidR="0079177C" w:rsidRDefault="0079177C" w:rsidP="0079177C">
      <w:r>
        <w:t xml:space="preserve">Vlada Republike Slovenije se je seznanila s kadrovskimi načrti nevladnih uporabnikov državnega proračuna za leti 2026 in 2027 ter zbirnik teh kadrovskih načrtov pošlje v Državni zbor kot sestavni del obrazložitve predloga sprememb proračuna Republike Slovenije za leto 2026 in predloga proračuna Republike Slovenije za leto 2027. </w:t>
      </w:r>
    </w:p>
    <w:p w14:paraId="3DBFBE02" w14:textId="77777777" w:rsidR="0079177C" w:rsidRDefault="0079177C" w:rsidP="0079177C"/>
    <w:p w14:paraId="7FE92F09" w14:textId="7A3523F8" w:rsidR="0079177C" w:rsidRDefault="0079177C" w:rsidP="0079177C">
      <w:r>
        <w:t xml:space="preserve">Vlada je na junijski seji letos sprejela sklep, s katerim je pozvala, da kadrovske načrte za leti 2026 in 2027 pripravijo tudi nevladni uporabniki državnega proračuna in jih skupaj z obrazložitvami pošljejo Ministrstvu za javno upravo, ki jih nato predloži vladi. Kot kažejo podatki, ki so jih posredovali nevladni uporabniki državnega proračuna, je bilo na dan 31. </w:t>
      </w:r>
      <w:r w:rsidR="00A20A7C">
        <w:t xml:space="preserve">decembra </w:t>
      </w:r>
      <w:r>
        <w:t>2024 dovoljeno število zaposlenih 998, na dan 31.</w:t>
      </w:r>
      <w:r w:rsidR="00A20A7C">
        <w:t xml:space="preserve"> decembra</w:t>
      </w:r>
      <w:r>
        <w:t xml:space="preserve"> 2025 je bilo dovoljeno število zaposlenih 1.101, predlog dovoljenega števila </w:t>
      </w:r>
      <w:r>
        <w:lastRenderedPageBreak/>
        <w:t xml:space="preserve">zaposlenih na dan 31. </w:t>
      </w:r>
      <w:r w:rsidR="00A20A7C">
        <w:t>decembra</w:t>
      </w:r>
      <w:r>
        <w:t xml:space="preserve"> 2026 je 1.121 (za prvih 6 mesecev) oziroma 1.156 (za drugih 6 mesecev), predlog dovoljenega števila zaposlenih na dan 31.</w:t>
      </w:r>
      <w:r w:rsidR="00A20A7C">
        <w:t xml:space="preserve"> decembra</w:t>
      </w:r>
      <w:r>
        <w:t xml:space="preserve"> 2027 pa 1.124. Predlog za povečanje dovoljenega števila zaposlenih v predlogih kadrovskih načrtov za leti 2026 in 2027 glede na kadrovski načrt za leto 2025 so predlagali: Urad predsednice republike, Državni zbor, Informacijski pooblaščenec, Računsko sodišče, Državna revizijska komisija, Komisija za preprečevanje korupcije in </w:t>
      </w:r>
      <w:proofErr w:type="gramStart"/>
      <w:r>
        <w:t>Fiskalni</w:t>
      </w:r>
      <w:proofErr w:type="gramEnd"/>
      <w:r>
        <w:t xml:space="preserve"> svet.</w:t>
      </w:r>
    </w:p>
    <w:p w14:paraId="756B0121" w14:textId="2FBE6415" w:rsidR="004E0038" w:rsidRDefault="0079177C" w:rsidP="0079177C">
      <w:pPr>
        <w:pStyle w:val="Vir"/>
      </w:pPr>
      <w:r>
        <w:t>Vir: Ministrstvo za javno upravo</w:t>
      </w:r>
    </w:p>
    <w:p w14:paraId="2D7569BC" w14:textId="46500690" w:rsidR="0004260D" w:rsidRDefault="0004260D" w:rsidP="0004260D">
      <w:pPr>
        <w:pStyle w:val="Naslov2"/>
      </w:pPr>
      <w:r>
        <w:t>Zbirni predlog kadrovskih načrtov pravosodnih organov za leti 2026 in 2027</w:t>
      </w:r>
    </w:p>
    <w:p w14:paraId="43083820" w14:textId="77777777" w:rsidR="0004260D" w:rsidRDefault="0004260D" w:rsidP="0004260D">
      <w:r>
        <w:t>Vlada Republike Slovenije se je na današnji seji seznanila z Zbirnim predlogom skupnih kadrovskih načrtov pravosodnih organov za leti 2026 in 2027 ter ga kot sestavni del predloga sprememb proračuna Republike Slovenije za leto 2026 in predloga proračuna za leto 2027 poslala v obravnavo Državnemu zboru Republike Slovenije.</w:t>
      </w:r>
    </w:p>
    <w:p w14:paraId="2D5DF6CC" w14:textId="77777777" w:rsidR="0004260D" w:rsidRDefault="0004260D" w:rsidP="0004260D"/>
    <w:p w14:paraId="08D1BB6A" w14:textId="77777777" w:rsidR="0004260D" w:rsidRDefault="0004260D" w:rsidP="0004260D">
      <w:r>
        <w:t>Ministrstvo za pravosodje je za leti 2026 in 2027 prejelo predloge skupnih kadrovskih načrtov Vrhovnega sodišča Republike Slovenije za sodišča, Vrhovnega državnega tožilstva Republike Slovenije za državno tožilstvo in Državnega odvetništva Republike Slovenije ter Predlog kadrovskega načrta Sodnega sveta.</w:t>
      </w:r>
    </w:p>
    <w:p w14:paraId="710F9A09" w14:textId="77777777" w:rsidR="0004260D" w:rsidRDefault="0004260D" w:rsidP="0004260D"/>
    <w:p w14:paraId="7E9544E0" w14:textId="77777777" w:rsidR="0004260D" w:rsidRDefault="0004260D" w:rsidP="0004260D">
      <w:r>
        <w:t>Vrhovno sodišče Republike Slovenije predlaga povečanje Skupnega kadrovskega načrta za sodišča za leti 2026 in 2027 za 45 dodatnih zaposlitev, in sicer za štiri (4) sodniška in šest (6) mest javnih uslužbencev za nedoločen čas na Upravnem sodišču Republike Slovenije ter za 35 mest javnih uslužbencev za nedoločen čas na Vrhovnem sodišču Republike Slovenije. Finančna sredstva za ta namen so v proračunu že zagotovljena.</w:t>
      </w:r>
    </w:p>
    <w:p w14:paraId="3F803E16" w14:textId="77777777" w:rsidR="0004260D" w:rsidRDefault="0004260D" w:rsidP="0004260D"/>
    <w:p w14:paraId="35DA9D72" w14:textId="77777777" w:rsidR="0004260D" w:rsidRDefault="0004260D" w:rsidP="0004260D">
      <w:r>
        <w:t>Kadrovski načrti Državnega odvetništva RS, državnih tožilstev in Sodnega sveta ostajajo glede na leto 2025 nespremenjeni.</w:t>
      </w:r>
    </w:p>
    <w:p w14:paraId="0AF81488" w14:textId="1ED6F4E2" w:rsidR="004E0038" w:rsidRDefault="0004260D" w:rsidP="0004260D">
      <w:pPr>
        <w:pStyle w:val="Vir"/>
      </w:pPr>
      <w:r>
        <w:t>Vir: Ministrstvo za pravosodje</w:t>
      </w:r>
    </w:p>
    <w:p w14:paraId="15B5B387" w14:textId="0D3F0E8C" w:rsidR="00A94EF8" w:rsidRDefault="00A94EF8" w:rsidP="00A94EF8">
      <w:pPr>
        <w:pStyle w:val="Naslov2"/>
      </w:pPr>
      <w:r>
        <w:t xml:space="preserve">Javni poziv za zastopnika </w:t>
      </w:r>
      <w:proofErr w:type="gramStart"/>
      <w:r>
        <w:t>pacientovih</w:t>
      </w:r>
      <w:proofErr w:type="gramEnd"/>
      <w:r>
        <w:t xml:space="preserve"> pravic na območju Raven na Koroškem</w:t>
      </w:r>
    </w:p>
    <w:p w14:paraId="7E1925C7" w14:textId="1904CC6E" w:rsidR="004E0038" w:rsidRDefault="00A94EF8" w:rsidP="00A94EF8">
      <w:r>
        <w:t xml:space="preserve">Vlada Republike Slovenije je sprejela besedilo javnega poziva za predlaganje kandidatov za zastopnika </w:t>
      </w:r>
      <w:proofErr w:type="gramStart"/>
      <w:r>
        <w:t>pacientovih</w:t>
      </w:r>
      <w:proofErr w:type="gramEnd"/>
      <w:r>
        <w:t xml:space="preserve"> pravic na območju območne enote Nacionalnega inštituta za javno zdravje Ravne na Koroškem, ki bo objavljen v dnevnem časopisju in na spletni strani Ministrstva za zdravje.</w:t>
      </w:r>
    </w:p>
    <w:p w14:paraId="6CF96829" w14:textId="77777777" w:rsidR="00A94EF8" w:rsidRDefault="00A94EF8" w:rsidP="00A94EF8">
      <w:pPr>
        <w:pStyle w:val="Vir"/>
      </w:pPr>
      <w:r>
        <w:t>Vir: Ministrstvo za zdravje</w:t>
      </w:r>
    </w:p>
    <w:p w14:paraId="3A3419B1" w14:textId="6E31C5CC" w:rsidR="005D3DB7" w:rsidRDefault="005D3DB7" w:rsidP="005D3DB7">
      <w:pPr>
        <w:pStyle w:val="Naslov2"/>
      </w:pPr>
      <w:r>
        <w:t>Vlada je imenovala nove predstavnike v svet ZPIZ</w:t>
      </w:r>
    </w:p>
    <w:p w14:paraId="7BCA7D61" w14:textId="77777777" w:rsidR="005D3DB7" w:rsidRDefault="005D3DB7" w:rsidP="005D3DB7">
      <w:r>
        <w:t>Vlada je sprejela sklep, s katerim je v svetu Zavoda za pokojninsko in invalidsko zavarovanje razrešila predstavnika ustanovitelja Jerneja Medena in Danijela Kovača ter za preostanek mandata, to je do 18. februarja 2026, kot predstavnici Vlade imenovala Urško Lipovž in Nino Piškur.</w:t>
      </w:r>
    </w:p>
    <w:p w14:paraId="0384A22A" w14:textId="7C639A1C" w:rsidR="005D3DB7" w:rsidRPr="005D3DB7" w:rsidRDefault="005D3DB7" w:rsidP="005D3DB7">
      <w:pPr>
        <w:pStyle w:val="Vir"/>
      </w:pPr>
      <w:r>
        <w:t>Vir: Ministrstvo za delo, družino</w:t>
      </w:r>
      <w:proofErr w:type="gramStart"/>
      <w:r>
        <w:t>,</w:t>
      </w:r>
      <w:proofErr w:type="gramEnd"/>
      <w:r>
        <w:t>socialne zadeve in enake možnosti.</w:t>
      </w:r>
    </w:p>
    <w:sectPr w:rsidR="005D3DB7" w:rsidRPr="005D3DB7"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611542"/>
    <w:multiLevelType w:val="hybridMultilevel"/>
    <w:tmpl w:val="0D6AE21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676D35"/>
    <w:multiLevelType w:val="hybridMultilevel"/>
    <w:tmpl w:val="A87415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E13E27"/>
    <w:multiLevelType w:val="hybridMultilevel"/>
    <w:tmpl w:val="43BA86B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2916F6"/>
    <w:multiLevelType w:val="hybridMultilevel"/>
    <w:tmpl w:val="B712AE9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0"/>
  </w:num>
  <w:num w:numId="2" w16cid:durableId="984821814">
    <w:abstractNumId w:val="6"/>
  </w:num>
  <w:num w:numId="3" w16cid:durableId="150218247">
    <w:abstractNumId w:val="0"/>
  </w:num>
  <w:num w:numId="4" w16cid:durableId="1026903286">
    <w:abstractNumId w:val="8"/>
  </w:num>
  <w:num w:numId="5" w16cid:durableId="231817878">
    <w:abstractNumId w:val="3"/>
  </w:num>
  <w:num w:numId="6" w16cid:durableId="2110814889">
    <w:abstractNumId w:val="12"/>
  </w:num>
  <w:num w:numId="7" w16cid:durableId="695153758">
    <w:abstractNumId w:val="4"/>
  </w:num>
  <w:num w:numId="8" w16cid:durableId="853298866">
    <w:abstractNumId w:val="5"/>
  </w:num>
  <w:num w:numId="9" w16cid:durableId="1789348953">
    <w:abstractNumId w:val="2"/>
  </w:num>
  <w:num w:numId="10" w16cid:durableId="345669419">
    <w:abstractNumId w:val="11"/>
  </w:num>
  <w:num w:numId="11" w16cid:durableId="724717638">
    <w:abstractNumId w:val="9"/>
  </w:num>
  <w:num w:numId="12" w16cid:durableId="1848981298">
    <w:abstractNumId w:val="7"/>
  </w:num>
  <w:num w:numId="13" w16cid:durableId="1829978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4260D"/>
    <w:rsid w:val="00050A56"/>
    <w:rsid w:val="00076DF7"/>
    <w:rsid w:val="00085D04"/>
    <w:rsid w:val="00087069"/>
    <w:rsid w:val="00087A14"/>
    <w:rsid w:val="00097B85"/>
    <w:rsid w:val="000B37F1"/>
    <w:rsid w:val="000D5520"/>
    <w:rsid w:val="000E0657"/>
    <w:rsid w:val="001071DC"/>
    <w:rsid w:val="00110B8F"/>
    <w:rsid w:val="00113F85"/>
    <w:rsid w:val="0013016C"/>
    <w:rsid w:val="001602C9"/>
    <w:rsid w:val="00160B86"/>
    <w:rsid w:val="0016530C"/>
    <w:rsid w:val="0016531E"/>
    <w:rsid w:val="001673A5"/>
    <w:rsid w:val="00173343"/>
    <w:rsid w:val="001B01DD"/>
    <w:rsid w:val="001B42F9"/>
    <w:rsid w:val="001C3560"/>
    <w:rsid w:val="001C5F19"/>
    <w:rsid w:val="001F51BC"/>
    <w:rsid w:val="001F7F63"/>
    <w:rsid w:val="00203F5F"/>
    <w:rsid w:val="00215140"/>
    <w:rsid w:val="00220CDD"/>
    <w:rsid w:val="00231021"/>
    <w:rsid w:val="002501CE"/>
    <w:rsid w:val="002760DE"/>
    <w:rsid w:val="002874FB"/>
    <w:rsid w:val="0029759C"/>
    <w:rsid w:val="002C36A6"/>
    <w:rsid w:val="002D5B5D"/>
    <w:rsid w:val="002E3F96"/>
    <w:rsid w:val="002F3BE7"/>
    <w:rsid w:val="002F5684"/>
    <w:rsid w:val="0032428F"/>
    <w:rsid w:val="00346E22"/>
    <w:rsid w:val="00351E1E"/>
    <w:rsid w:val="00357DC0"/>
    <w:rsid w:val="00361255"/>
    <w:rsid w:val="00380882"/>
    <w:rsid w:val="00381018"/>
    <w:rsid w:val="003847C8"/>
    <w:rsid w:val="00386B69"/>
    <w:rsid w:val="003877EB"/>
    <w:rsid w:val="00390DF7"/>
    <w:rsid w:val="0039662C"/>
    <w:rsid w:val="003D64D8"/>
    <w:rsid w:val="003D6D80"/>
    <w:rsid w:val="003E17B6"/>
    <w:rsid w:val="003E6170"/>
    <w:rsid w:val="003F002C"/>
    <w:rsid w:val="003F4CC5"/>
    <w:rsid w:val="00415527"/>
    <w:rsid w:val="00432937"/>
    <w:rsid w:val="004403EC"/>
    <w:rsid w:val="00447B57"/>
    <w:rsid w:val="00455B63"/>
    <w:rsid w:val="00460370"/>
    <w:rsid w:val="00472762"/>
    <w:rsid w:val="004A7CAD"/>
    <w:rsid w:val="004B2286"/>
    <w:rsid w:val="004B4753"/>
    <w:rsid w:val="004B7346"/>
    <w:rsid w:val="004D6BAC"/>
    <w:rsid w:val="004E0038"/>
    <w:rsid w:val="00514121"/>
    <w:rsid w:val="00516166"/>
    <w:rsid w:val="00522637"/>
    <w:rsid w:val="00527867"/>
    <w:rsid w:val="00527AA5"/>
    <w:rsid w:val="005314D7"/>
    <w:rsid w:val="00541391"/>
    <w:rsid w:val="005515BD"/>
    <w:rsid w:val="0056327E"/>
    <w:rsid w:val="0059143B"/>
    <w:rsid w:val="005A570D"/>
    <w:rsid w:val="005B5886"/>
    <w:rsid w:val="005C1523"/>
    <w:rsid w:val="005C6B8E"/>
    <w:rsid w:val="005D3DB7"/>
    <w:rsid w:val="005E1ABB"/>
    <w:rsid w:val="00614FFD"/>
    <w:rsid w:val="006274BB"/>
    <w:rsid w:val="00634EFA"/>
    <w:rsid w:val="00635D43"/>
    <w:rsid w:val="00655CCE"/>
    <w:rsid w:val="0066249C"/>
    <w:rsid w:val="0067375D"/>
    <w:rsid w:val="006B1698"/>
    <w:rsid w:val="006C1B31"/>
    <w:rsid w:val="006F29FA"/>
    <w:rsid w:val="0070324C"/>
    <w:rsid w:val="007120FD"/>
    <w:rsid w:val="007130E1"/>
    <w:rsid w:val="00717E59"/>
    <w:rsid w:val="0073796B"/>
    <w:rsid w:val="00747F68"/>
    <w:rsid w:val="00750D01"/>
    <w:rsid w:val="007643A0"/>
    <w:rsid w:val="007669A3"/>
    <w:rsid w:val="00781345"/>
    <w:rsid w:val="00784E57"/>
    <w:rsid w:val="0079177C"/>
    <w:rsid w:val="0079749C"/>
    <w:rsid w:val="007A6460"/>
    <w:rsid w:val="007B0ADD"/>
    <w:rsid w:val="007C21FB"/>
    <w:rsid w:val="007E198F"/>
    <w:rsid w:val="007E5129"/>
    <w:rsid w:val="007F5D6B"/>
    <w:rsid w:val="007F6EF7"/>
    <w:rsid w:val="008244C0"/>
    <w:rsid w:val="008336E7"/>
    <w:rsid w:val="00836E94"/>
    <w:rsid w:val="00847156"/>
    <w:rsid w:val="00847AD3"/>
    <w:rsid w:val="008624E8"/>
    <w:rsid w:val="00882C12"/>
    <w:rsid w:val="0089453C"/>
    <w:rsid w:val="008B6738"/>
    <w:rsid w:val="008B7AF2"/>
    <w:rsid w:val="008C4231"/>
    <w:rsid w:val="008D49BD"/>
    <w:rsid w:val="008D6CB5"/>
    <w:rsid w:val="00905C96"/>
    <w:rsid w:val="009174DA"/>
    <w:rsid w:val="00932718"/>
    <w:rsid w:val="00933061"/>
    <w:rsid w:val="00933087"/>
    <w:rsid w:val="0093562E"/>
    <w:rsid w:val="00945B27"/>
    <w:rsid w:val="009540E4"/>
    <w:rsid w:val="00974186"/>
    <w:rsid w:val="00983241"/>
    <w:rsid w:val="009900DE"/>
    <w:rsid w:val="009A41AA"/>
    <w:rsid w:val="009A6CCB"/>
    <w:rsid w:val="009C2C98"/>
    <w:rsid w:val="009C2D77"/>
    <w:rsid w:val="009C562E"/>
    <w:rsid w:val="009D10D1"/>
    <w:rsid w:val="009D23DC"/>
    <w:rsid w:val="009F4E25"/>
    <w:rsid w:val="009F6580"/>
    <w:rsid w:val="00A06971"/>
    <w:rsid w:val="00A20A7C"/>
    <w:rsid w:val="00A30052"/>
    <w:rsid w:val="00A34FC4"/>
    <w:rsid w:val="00A362F1"/>
    <w:rsid w:val="00A445DF"/>
    <w:rsid w:val="00A5415F"/>
    <w:rsid w:val="00A54E6D"/>
    <w:rsid w:val="00A60A37"/>
    <w:rsid w:val="00A60FBF"/>
    <w:rsid w:val="00A657F2"/>
    <w:rsid w:val="00A67305"/>
    <w:rsid w:val="00A7412B"/>
    <w:rsid w:val="00A94EF8"/>
    <w:rsid w:val="00AA59FF"/>
    <w:rsid w:val="00AB1DC2"/>
    <w:rsid w:val="00AD1AFD"/>
    <w:rsid w:val="00AE6CD6"/>
    <w:rsid w:val="00AE7096"/>
    <w:rsid w:val="00AF5FC8"/>
    <w:rsid w:val="00B022E5"/>
    <w:rsid w:val="00B2155C"/>
    <w:rsid w:val="00B47F61"/>
    <w:rsid w:val="00B60F58"/>
    <w:rsid w:val="00B70F5B"/>
    <w:rsid w:val="00B753A8"/>
    <w:rsid w:val="00B84862"/>
    <w:rsid w:val="00B8693A"/>
    <w:rsid w:val="00BA743D"/>
    <w:rsid w:val="00BB0248"/>
    <w:rsid w:val="00BB1111"/>
    <w:rsid w:val="00BB1C0B"/>
    <w:rsid w:val="00BB73C0"/>
    <w:rsid w:val="00BE5C43"/>
    <w:rsid w:val="00C00110"/>
    <w:rsid w:val="00C1234E"/>
    <w:rsid w:val="00C3152B"/>
    <w:rsid w:val="00C354D9"/>
    <w:rsid w:val="00C365A8"/>
    <w:rsid w:val="00C458C2"/>
    <w:rsid w:val="00C47AC5"/>
    <w:rsid w:val="00C47BED"/>
    <w:rsid w:val="00C666AC"/>
    <w:rsid w:val="00C97F7B"/>
    <w:rsid w:val="00CA5624"/>
    <w:rsid w:val="00CB2CCC"/>
    <w:rsid w:val="00CC3123"/>
    <w:rsid w:val="00CC37B3"/>
    <w:rsid w:val="00CF284A"/>
    <w:rsid w:val="00D10EB4"/>
    <w:rsid w:val="00D14EEC"/>
    <w:rsid w:val="00D22282"/>
    <w:rsid w:val="00D42EA1"/>
    <w:rsid w:val="00D60A92"/>
    <w:rsid w:val="00D650E2"/>
    <w:rsid w:val="00D7373E"/>
    <w:rsid w:val="00D74537"/>
    <w:rsid w:val="00D9208E"/>
    <w:rsid w:val="00D95BC6"/>
    <w:rsid w:val="00D966FF"/>
    <w:rsid w:val="00DA3B4D"/>
    <w:rsid w:val="00DA5C0D"/>
    <w:rsid w:val="00DA5D7A"/>
    <w:rsid w:val="00DE199D"/>
    <w:rsid w:val="00DE1B54"/>
    <w:rsid w:val="00DE27BA"/>
    <w:rsid w:val="00E02AB3"/>
    <w:rsid w:val="00E05EEE"/>
    <w:rsid w:val="00E14AAE"/>
    <w:rsid w:val="00E2036F"/>
    <w:rsid w:val="00E3207D"/>
    <w:rsid w:val="00E3507E"/>
    <w:rsid w:val="00E7132A"/>
    <w:rsid w:val="00E75F82"/>
    <w:rsid w:val="00E83E60"/>
    <w:rsid w:val="00E86C78"/>
    <w:rsid w:val="00E948BD"/>
    <w:rsid w:val="00EC012E"/>
    <w:rsid w:val="00EE35F8"/>
    <w:rsid w:val="00EF1263"/>
    <w:rsid w:val="00EF57B7"/>
    <w:rsid w:val="00F01966"/>
    <w:rsid w:val="00F20884"/>
    <w:rsid w:val="00F21123"/>
    <w:rsid w:val="00F21419"/>
    <w:rsid w:val="00F21BAD"/>
    <w:rsid w:val="00F23144"/>
    <w:rsid w:val="00F240E9"/>
    <w:rsid w:val="00F462C7"/>
    <w:rsid w:val="00F916C5"/>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7101</Words>
  <Characters>40481</Characters>
  <Application>Microsoft Office Word</Application>
  <DocSecurity>0</DocSecurity>
  <Lines>337</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2025-09-17T13:34:00Z</dcterms:created>
  <dcterms:modified xsi:type="dcterms:W3CDTF">2025-09-18T12:57:00Z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