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078A6478" w:rsidR="0073796B" w:rsidRPr="0039662C" w:rsidRDefault="00D10EB4" w:rsidP="0039662C">
      <w:pPr>
        <w:pStyle w:val="Naslov1"/>
      </w:pPr>
      <w:r>
        <w:t>1</w:t>
      </w:r>
      <w:r w:rsidR="00087A14">
        <w:t>6</w:t>
      </w:r>
      <w:r w:rsidR="002F3BE7">
        <w:t>7</w:t>
      </w:r>
      <w:r w:rsidR="0073796B" w:rsidRPr="0039662C">
        <w:t>. redna seja Vlade Republike Slovenije</w:t>
      </w:r>
    </w:p>
    <w:p w14:paraId="27F30B92" w14:textId="79F0B453" w:rsidR="0073796B" w:rsidRDefault="002F3BE7" w:rsidP="008B7AF2">
      <w:pPr>
        <w:pStyle w:val="DatumSZJ"/>
      </w:pPr>
      <w:r>
        <w:t>11</w:t>
      </w:r>
      <w:r w:rsidR="00D10EB4">
        <w:t>.</w:t>
      </w:r>
      <w:r w:rsidR="0073796B" w:rsidRPr="008B7AF2">
        <w:t xml:space="preserve"> </w:t>
      </w:r>
      <w:r w:rsidR="006F29FA">
        <w:t>september</w:t>
      </w:r>
      <w:r w:rsidR="00DA3B4D">
        <w:t xml:space="preserve"> </w:t>
      </w:r>
      <w:r w:rsidR="0073796B" w:rsidRPr="008B7AF2">
        <w:t>202</w:t>
      </w:r>
      <w:r w:rsidR="00F21123">
        <w:t>5</w:t>
      </w:r>
    </w:p>
    <w:p w14:paraId="41CE8FB4" w14:textId="6DA8801B" w:rsidR="00B333E1" w:rsidRDefault="00B333E1" w:rsidP="00B333E1">
      <w:pPr>
        <w:pStyle w:val="Naslov2"/>
      </w:pPr>
      <w:r>
        <w:t>Vlada sprejela spremembo Uredbe o soglasjih za proizvodnjo in dovoljenjih za promet z vojaškim orožjem in opremo ter predhodnih dovoljenjih za uvoz, izvoz, tranzit in prenos obrambnih proizvodov</w:t>
      </w:r>
    </w:p>
    <w:p w14:paraId="25227438" w14:textId="77777777" w:rsidR="00C81F28" w:rsidRDefault="00C81F28" w:rsidP="00C81F28">
      <w:pPr>
        <w:pStyle w:val="Vir"/>
      </w:pPr>
      <w:r>
        <w:t>Vlada sprejela spremembo Uredbe o soglasjih za proizvodnjo in dovoljenjih za promet z vojaškim orožjem in opremo ter predhodnih dovoljenjih za uvoz, izvoz, tranzit in prenos obrambnih proizvodov</w:t>
      </w:r>
    </w:p>
    <w:p w14:paraId="3A1B547E" w14:textId="77777777" w:rsidR="00C81F28" w:rsidRDefault="00C81F28" w:rsidP="00C81F28">
      <w:pPr>
        <w:pStyle w:val="Vir"/>
      </w:pPr>
      <w:r>
        <w:t xml:space="preserve">Na podlagi 77. in 78. člena Zakona o obrambi je bila leta 2011 sprejeta Uredba o soglasjih za proizvodnjo in dovoljenjih za promet z vojaškim orožjem in opremo ter predhodnih dovoljenjih za uvoz, izvoz, tranzit in prenos obrambnih proizvodov. </w:t>
      </w:r>
    </w:p>
    <w:p w14:paraId="2225CFE2" w14:textId="77777777" w:rsidR="00C81F28" w:rsidRDefault="00C81F28" w:rsidP="00C81F28">
      <w:pPr>
        <w:pStyle w:val="Vir"/>
      </w:pPr>
      <w:r>
        <w:t>Trenutno veljavna uredba v tretjem odstavku 12. člena določa, da »dovoljenje za posamezen posel za izvedbo tranzita ni potrebno, če država članica izvaža obrambne proizvode v tretje države čez ozemlje Republike Slovenije ali jih uvaža iz tretjih držav.«</w:t>
      </w:r>
    </w:p>
    <w:p w14:paraId="1360420A" w14:textId="77777777" w:rsidR="00C81F28" w:rsidRDefault="00C81F28" w:rsidP="00C81F28">
      <w:pPr>
        <w:pStyle w:val="Vir"/>
      </w:pPr>
      <w:r>
        <w:t xml:space="preserve">Zaradi vse večje nestabilnosti širšega varnostnega okolja in vojnih konfliktov, ki imajo lahko za posledico tudi pobijanje nedolžnih civilistov ter kršitev mednarodnega prava, humanitarnega prava in človekovih pravic, je treba vzpostaviti nadzor nad tranzitom tudi v primerih, če država članica izvaža obrambne proizvode v tretje države čez ozemlje Republike Slovenije ali jih uvaža iz tretjih držav. </w:t>
      </w:r>
    </w:p>
    <w:p w14:paraId="0FD45FF3" w14:textId="77777777" w:rsidR="00C81F28" w:rsidRDefault="00C81F28" w:rsidP="00C81F28">
      <w:pPr>
        <w:pStyle w:val="Vir"/>
      </w:pPr>
      <w:r>
        <w:t xml:space="preserve">S sprejeto Uredbo o spremembi Uredbe o soglasjih za proizvodnjo in dovoljenjih za promet z vojaškim orožjem in opremo ter predhodnih dovoljenjih za uvoz, izvoz, tranzit in prenos obrambnih proizvodov se vzpostavlja nadzor nad tranzitom tudi v primerih, če država članica izvaža obrambne proizvode v tretje države čez ozemlje Republike Slovenije ali jih uvaža iz tretjih držav. Gre za ureditev, ki je veljala že pred letom 2017. </w:t>
      </w:r>
    </w:p>
    <w:p w14:paraId="55D65D38" w14:textId="62783805" w:rsidR="00C81F28" w:rsidRDefault="00C81F28" w:rsidP="00C81F28">
      <w:pPr>
        <w:pStyle w:val="Vir"/>
      </w:pPr>
      <w:r>
        <w:t>Vlada Republike Slovenije je 31. julija 2025 sprejela sklep, s katerim je glede na oborožene spopade in posledično na hude ter očitne kršitve mednarodnega prava, humanitarnega prava in človekovih pravic s strani Izraela na Zahodnem bregu in v Gazi prepovedala izvoz in tranzit vojaškega orožja in opreme iz oz. preko Republike Slovenije v Izrael ter uvoza iz Izraela v Republiko Slovenijo.</w:t>
      </w:r>
    </w:p>
    <w:p w14:paraId="2EEE7A1D" w14:textId="01FF1167" w:rsidR="009C59CF" w:rsidRDefault="00B333E1" w:rsidP="00B333E1">
      <w:pPr>
        <w:pStyle w:val="Vir"/>
      </w:pPr>
      <w:r>
        <w:t>Vir: Ministrstvo za obrambo</w:t>
      </w:r>
    </w:p>
    <w:p w14:paraId="71102972" w14:textId="350F8D55" w:rsidR="00AB743D" w:rsidRDefault="00AB743D" w:rsidP="00AB743D">
      <w:pPr>
        <w:pStyle w:val="Naslov2"/>
      </w:pPr>
      <w:r>
        <w:t>Določen delež odpadne embalaže za zadnje trimesečje 2025</w:t>
      </w:r>
    </w:p>
    <w:p w14:paraId="34B86D15" w14:textId="77777777" w:rsidR="00AB743D" w:rsidRDefault="00AB743D" w:rsidP="00AB743D">
      <w:r>
        <w:t>Vlada Republike Slovenije je sprejela Sklep o določitvi deležev odpadne embalaže za oktober, november in december 2025.</w:t>
      </w:r>
    </w:p>
    <w:p w14:paraId="223D806B" w14:textId="77777777" w:rsidR="00AB743D" w:rsidRDefault="00AB743D" w:rsidP="00AB743D"/>
    <w:p w14:paraId="2C744EC8" w14:textId="77777777" w:rsidR="00AB743D" w:rsidRDefault="00AB743D" w:rsidP="00AB743D">
      <w:r>
        <w:t>Deleži določajo, kolikšen del odpadne embalaže mora posamezna družba za ravnanje z odpadno embalažo prevzeti in obdelati za svoje člane. Namen sklepa je zagotoviti, da obveznosti proizvajalčeve razširjene odgovornosti (PRO) ostajajo pošteno razdeljene med vse izvajalce, ki jih proizvajalci pooblastijo za ravnanje z odpadki.</w:t>
      </w:r>
    </w:p>
    <w:p w14:paraId="04FF1432" w14:textId="77777777" w:rsidR="00AB743D" w:rsidRDefault="00AB743D" w:rsidP="00AB743D"/>
    <w:p w14:paraId="48B664DB" w14:textId="77777777" w:rsidR="00AB743D" w:rsidRDefault="00AB743D" w:rsidP="00AB743D">
      <w:r>
        <w:lastRenderedPageBreak/>
        <w:t>Podatki za izračun deležev temeljijo na količini embalaže, ki je bila dana na trg, ter na podatkih iz Registra varstva okolja. Vlada tak sklep sprejme štirikrat letno, da se obveznosti sproti prilagajajo dejanski količini embalaže v obtoku.</w:t>
      </w:r>
    </w:p>
    <w:p w14:paraId="18480339" w14:textId="77777777" w:rsidR="00AB743D" w:rsidRDefault="00AB743D" w:rsidP="00AB743D"/>
    <w:p w14:paraId="1DB05722" w14:textId="77777777" w:rsidR="00AB743D" w:rsidRDefault="00AB743D" w:rsidP="00AB743D">
      <w:r>
        <w:t xml:space="preserve">S tem ukrepom država zagotavlja </w:t>
      </w:r>
      <w:proofErr w:type="gramStart"/>
      <w:r>
        <w:t>transparentno</w:t>
      </w:r>
      <w:proofErr w:type="gramEnd"/>
      <w:r>
        <w:t xml:space="preserve"> delitev obveznosti in nemoteno delovanje sistema ravnanja z odpadno embalažo, kar je ključno za učinkovito zbiranje, recikliranje in zmanjševanje vplivov embalaže na okolje. Podatki o družbah za ravnanje z odpadno embalažo, ki v drugem četrtletju leta 2025 upravljajo skupne sisteme, so pridobljeni iz Registra varstva okolja in so dostopni na osrednjem spletnem mestu državne uprave </w:t>
      </w:r>
      <w:proofErr w:type="spellStart"/>
      <w:r>
        <w:t>gov</w:t>
      </w:r>
      <w:proofErr w:type="spellEnd"/>
      <w:r>
        <w:t>.si.</w:t>
      </w:r>
    </w:p>
    <w:p w14:paraId="110B7A63" w14:textId="77777777" w:rsidR="00AB743D" w:rsidRDefault="00AB743D" w:rsidP="00AB743D"/>
    <w:p w14:paraId="0062E2F0" w14:textId="77777777" w:rsidR="00AB743D" w:rsidRDefault="00AB743D" w:rsidP="00AB743D">
      <w:r>
        <w:t>Podatki o masi embalaže, dane v promet v zadevnem četrtletju leta 2025, so pridobljeni iz poročil o dajanju embalaže na trg v Sloveniji iz 16. člena Uredbe o embalaži in odpadni embalaži. Podatki o izračunanih deležih odpadne embalaže za prvo, drugo, tretje, četrto četrtletje leta 2022 in prvo, drugo, tretje, četrto četrtletje leta 2023 in prvo, drugo, tretje in četrto četrtletje 2024 ter prvo, drugo in tretje četrtletje 2025.</w:t>
      </w:r>
    </w:p>
    <w:p w14:paraId="6A2ACA2B" w14:textId="6CA8C2CA" w:rsidR="009C59CF" w:rsidRDefault="00AB743D" w:rsidP="00AB743D">
      <w:pPr>
        <w:pStyle w:val="Vir"/>
      </w:pPr>
      <w:r>
        <w:t>Vir: Ministrstvo za okolje, podnebje in energijo</w:t>
      </w:r>
    </w:p>
    <w:p w14:paraId="4824CC9A" w14:textId="289337F5" w:rsidR="008852E3" w:rsidRPr="008852E3" w:rsidRDefault="008852E3" w:rsidP="008852E3">
      <w:pPr>
        <w:pStyle w:val="Naslov2"/>
        <w:rPr>
          <w:rStyle w:val="Naslov2Znak"/>
        </w:rPr>
      </w:pPr>
      <w:r>
        <w:t xml:space="preserve">Vlada sprejela letni načrt </w:t>
      </w:r>
      <w:proofErr w:type="gramStart"/>
      <w:r>
        <w:t>investicij</w:t>
      </w:r>
      <w:proofErr w:type="gramEnd"/>
      <w:r>
        <w:t xml:space="preserve"> za leto 2025</w:t>
      </w:r>
    </w:p>
    <w:p w14:paraId="46CA1587" w14:textId="77777777" w:rsidR="008852E3" w:rsidRDefault="008852E3" w:rsidP="008852E3">
      <w:r>
        <w:t xml:space="preserve">Vlada Republike Slovenije je na podlagi Zakona o zagotavljanju finančnih sredstev za </w:t>
      </w:r>
      <w:proofErr w:type="gramStart"/>
      <w:r>
        <w:t>investicije</w:t>
      </w:r>
      <w:proofErr w:type="gramEnd"/>
      <w:r>
        <w:t xml:space="preserve"> v slovensko zdravstvo v letih od 2021 do 2031 (ZZSISZ) sprejela Letni načrt investicij za leto 2025, ki predvideva več kot 302 milijona evrov naložb v javne zdravstvene in izobraževalne zavode s področja zdravstva.</w:t>
      </w:r>
    </w:p>
    <w:p w14:paraId="116BE427" w14:textId="77777777" w:rsidR="008852E3" w:rsidRDefault="008852E3" w:rsidP="008852E3"/>
    <w:p w14:paraId="51A8C970" w14:textId="72D28602" w:rsidR="008852E3" w:rsidRDefault="008852E3" w:rsidP="008852E3">
      <w:r>
        <w:t xml:space="preserve">V letni načrt </w:t>
      </w:r>
      <w:proofErr w:type="gramStart"/>
      <w:r>
        <w:t>investicij</w:t>
      </w:r>
      <w:proofErr w:type="gramEnd"/>
      <w:r>
        <w:t xml:space="preserve"> za leto 2025 so se vključili projekti, s katerimi se zagotavljajo operativne zmogljivosti zdravstvene dejavnosti (na primarni, sekundarni in terciarni ravni) ter izobraževalnih zavodov s področja zdravstva, in sicer zaradi povečanja števila vpisnih mest v programe medicinske, farmacevtske in zdravstvene smeri. </w:t>
      </w:r>
    </w:p>
    <w:p w14:paraId="25D568DA" w14:textId="77777777" w:rsidR="008852E3" w:rsidRDefault="008852E3" w:rsidP="008852E3"/>
    <w:p w14:paraId="5344AF05" w14:textId="731C7585" w:rsidR="008852E3" w:rsidRDefault="008852E3" w:rsidP="008852E3">
      <w:r>
        <w:t xml:space="preserve">Sredstva bodo namenjena gradnji, obnovi in energetski sanaciji zdravstvenih ustanov na primarni, </w:t>
      </w:r>
      <w:proofErr w:type="gramStart"/>
      <w:r>
        <w:t>sekundarni</w:t>
      </w:r>
      <w:proofErr w:type="gramEnd"/>
      <w:r>
        <w:t xml:space="preserve"> in terciarni ravni, nakupu sodobne medicinske opreme, povečanju zmogljivosti bolnišnic in zdravstvenih domov ter izboljšanju pogojev za izobraževanje novih zdravstvenih kadrov.</w:t>
      </w:r>
    </w:p>
    <w:p w14:paraId="0CFB2AC9" w14:textId="77777777" w:rsidR="008852E3" w:rsidRDefault="008852E3" w:rsidP="008852E3">
      <w:r>
        <w:t>Med projekti, uvrščenimi v načrt za leto 2025, so na primer:</w:t>
      </w:r>
    </w:p>
    <w:p w14:paraId="1AA51DF0" w14:textId="77777777" w:rsidR="008852E3" w:rsidRDefault="008852E3" w:rsidP="008852E3"/>
    <w:p w14:paraId="4B7A4D83" w14:textId="2CC0F47B" w:rsidR="008852E3" w:rsidRDefault="008852E3" w:rsidP="008852E3">
      <w:pPr>
        <w:pStyle w:val="Odstavekseznama"/>
        <w:numPr>
          <w:ilvl w:val="0"/>
          <w:numId w:val="13"/>
        </w:numPr>
      </w:pPr>
      <w:r>
        <w:t>dograditev Infekcijske klinike UKC Ljubljana in novogradnja infekcijske klinike UKC Maribor,</w:t>
      </w:r>
    </w:p>
    <w:p w14:paraId="2DFC85D0" w14:textId="0190CA4C" w:rsidR="008852E3" w:rsidRDefault="008852E3" w:rsidP="008852E3">
      <w:pPr>
        <w:pStyle w:val="Odstavekseznama"/>
        <w:numPr>
          <w:ilvl w:val="0"/>
          <w:numId w:val="13"/>
        </w:numPr>
      </w:pPr>
      <w:r>
        <w:t>širitev onkološke dejavnosti UKC Maribor,</w:t>
      </w:r>
    </w:p>
    <w:p w14:paraId="4BA653A1" w14:textId="2802ACC0" w:rsidR="008852E3" w:rsidRDefault="008852E3" w:rsidP="008852E3">
      <w:pPr>
        <w:pStyle w:val="Odstavekseznama"/>
        <w:numPr>
          <w:ilvl w:val="0"/>
          <w:numId w:val="13"/>
        </w:numPr>
      </w:pPr>
      <w:r>
        <w:t xml:space="preserve">revitalizacija </w:t>
      </w:r>
      <w:proofErr w:type="spellStart"/>
      <w:r>
        <w:t>Hospitala</w:t>
      </w:r>
      <w:proofErr w:type="spellEnd"/>
      <w:r>
        <w:t xml:space="preserve"> UKC Ljubljana,</w:t>
      </w:r>
    </w:p>
    <w:p w14:paraId="46E323E0" w14:textId="63A742A0" w:rsidR="008852E3" w:rsidRDefault="008852E3" w:rsidP="008852E3">
      <w:pPr>
        <w:pStyle w:val="Odstavekseznama"/>
        <w:numPr>
          <w:ilvl w:val="0"/>
          <w:numId w:val="13"/>
        </w:numPr>
      </w:pPr>
      <w:r>
        <w:t>novogradnja in rekonstrukcija prostorov Splošne bolnišnice Celje,</w:t>
      </w:r>
    </w:p>
    <w:p w14:paraId="12E420CB" w14:textId="2C5AFB8E" w:rsidR="008852E3" w:rsidRDefault="008852E3" w:rsidP="008852E3">
      <w:pPr>
        <w:pStyle w:val="Odstavekseznama"/>
        <w:numPr>
          <w:ilvl w:val="0"/>
          <w:numId w:val="13"/>
        </w:numPr>
      </w:pPr>
      <w:r>
        <w:t>energetske sanacije v več bolnišnicah (UKC Ljubljana, SB Nova Gorica, URI Soča ...),</w:t>
      </w:r>
    </w:p>
    <w:p w14:paraId="54CACC1C" w14:textId="28F1AB8C" w:rsidR="008852E3" w:rsidRDefault="008852E3" w:rsidP="008852E3">
      <w:pPr>
        <w:pStyle w:val="Odstavekseznama"/>
        <w:numPr>
          <w:ilvl w:val="0"/>
          <w:numId w:val="13"/>
        </w:numPr>
      </w:pPr>
      <w:r>
        <w:t>nakup naprav za magnetno resonanco in obsevalnikov,</w:t>
      </w:r>
    </w:p>
    <w:p w14:paraId="03052924" w14:textId="4C41FA7B" w:rsidR="008852E3" w:rsidRDefault="008852E3" w:rsidP="008852E3">
      <w:pPr>
        <w:pStyle w:val="Odstavekseznama"/>
        <w:numPr>
          <w:ilvl w:val="0"/>
          <w:numId w:val="13"/>
        </w:numPr>
      </w:pPr>
      <w:r>
        <w:t>gradnja novih prizidkov in prenove v zdravstvenih domovih (Nova Gorica, Celje, Šentjur, Tolmin, Kamnik, Tržič, Vrhnika, Lendava ...),</w:t>
      </w:r>
    </w:p>
    <w:p w14:paraId="7C445CC1" w14:textId="693F1F1E" w:rsidR="009C59CF" w:rsidRDefault="008852E3" w:rsidP="008852E3">
      <w:pPr>
        <w:pStyle w:val="Odstavekseznama"/>
        <w:numPr>
          <w:ilvl w:val="0"/>
          <w:numId w:val="13"/>
        </w:numPr>
      </w:pPr>
      <w:r>
        <w:t>obnova Psihiatrične bolnišnice Begunje po poplavah.</w:t>
      </w:r>
    </w:p>
    <w:p w14:paraId="14843CC6" w14:textId="7B56EB1A" w:rsidR="008852E3" w:rsidRDefault="008852E3" w:rsidP="008852E3">
      <w:pPr>
        <w:pStyle w:val="Vir"/>
      </w:pPr>
      <w:r w:rsidRPr="008852E3">
        <w:t>Vir: Ministrstvo za zdravje</w:t>
      </w:r>
    </w:p>
    <w:p w14:paraId="5D140E47" w14:textId="175DFBED" w:rsidR="009C59CF" w:rsidRDefault="009447D9" w:rsidP="009D4860">
      <w:pPr>
        <w:pStyle w:val="Naslov2"/>
      </w:pPr>
      <w:r>
        <w:t>Z</w:t>
      </w:r>
      <w:r w:rsidR="009C59CF">
        <w:t>ahtev</w:t>
      </w:r>
      <w:r>
        <w:t>a</w:t>
      </w:r>
      <w:r w:rsidR="009C59CF">
        <w:t xml:space="preserve"> za oceno ustavnosti in zakonitosti Odloka o občinskem podrobnem prostorskem načrtu »Ob Belokriški«</w:t>
      </w:r>
      <w:r>
        <w:t xml:space="preserve"> </w:t>
      </w:r>
    </w:p>
    <w:p w14:paraId="1300B504" w14:textId="77777777" w:rsidR="009447D9" w:rsidRDefault="009447D9" w:rsidP="009447D9">
      <w:r>
        <w:t>Vlada Republike Slovenije je sprejela zahtevo za oceno ustavnosti in zakonitosti Odloka o občinskem podrobnem prostorskem načrtu »Ob Belokriški«.</w:t>
      </w:r>
    </w:p>
    <w:p w14:paraId="1D2D11FA" w14:textId="77777777" w:rsidR="009447D9" w:rsidRDefault="009447D9" w:rsidP="009447D9"/>
    <w:p w14:paraId="65176E26" w14:textId="77777777" w:rsidR="009447D9" w:rsidRDefault="009447D9" w:rsidP="009447D9">
      <w:r>
        <w:lastRenderedPageBreak/>
        <w:t>Vlada Republike Slovenije je na podlagi 22. člena Zakona o ustavnem sodišču na Ustavno sodišče vložila zahtevo za oceno ustavnosti in zakonitosti Odloka o občinskem podrobnem prostorskem načrtu »Ob Belokriški«. Vlada predlaga, da ustavno sodišče navedeni odlok odpravi.</w:t>
      </w:r>
    </w:p>
    <w:p w14:paraId="4EE988D6" w14:textId="77777777" w:rsidR="009447D9" w:rsidRDefault="009447D9" w:rsidP="009447D9"/>
    <w:p w14:paraId="70335C32" w14:textId="77777777" w:rsidR="009447D9" w:rsidRDefault="009447D9" w:rsidP="009447D9">
      <w:r>
        <w:t>Občina Piran je marca 2025 v Uradnem listu objavila OPPN Ob Belokriški 2, ki je v bistvu prepis razveljavljenega OPPN Ob Belokriški 1 iz leta 2018. Tega je Ustavno sodišče leta 2021 razveljavilo zaradi neskladnosti z ustavo.</w:t>
      </w:r>
    </w:p>
    <w:p w14:paraId="7D64DDED" w14:textId="77777777" w:rsidR="009447D9" w:rsidRDefault="009447D9" w:rsidP="009447D9"/>
    <w:p w14:paraId="7E868789" w14:textId="2B4403B2" w:rsidR="009447D9" w:rsidRDefault="009447D9" w:rsidP="009447D9">
      <w:r>
        <w:t>Odlok je bil sprejet brez novega postopka po veljavnem Zakonu o urejanju prostora (ZUreP-3), ki velja od junija 2022. Občina pri pripravi ni upoštevala zakonsko določenih postopkov, kot so sodelovanje javnosti, vključitev nosilcev urejanja prostora in pridobivanje strokovnih podlag. S tem je občina kršila 14. in 153. člen Ustave RS ter več določb ZUreP-3 (9., 11., 18., 41. in 129. člen).</w:t>
      </w:r>
    </w:p>
    <w:p w14:paraId="0A0A8A49" w14:textId="77777777" w:rsidR="009447D9" w:rsidRDefault="009447D9" w:rsidP="009447D9"/>
    <w:p w14:paraId="5167BB34" w14:textId="77777777" w:rsidR="009447D9" w:rsidRDefault="009447D9" w:rsidP="009447D9">
      <w:r>
        <w:t>Vlada meni, da razveljavljenega prostorskega akta ni mogoče ponovno uveljaviti zgolj s prepisom in formalno objavo v Uradnem listu. Odločbe Ustavnega sodišča so dokončne in zavezujoče za vse. Občina bi morala postopek priprave novega prostorskega akta za območje Ob Belokriški začeti na novo in ga izpeljati v skladu z zakonskimi zahtevami ZUreP-3.</w:t>
      </w:r>
    </w:p>
    <w:p w14:paraId="1385ABEF" w14:textId="77777777" w:rsidR="009447D9" w:rsidRDefault="009447D9" w:rsidP="009447D9"/>
    <w:p w14:paraId="0A21B4D6" w14:textId="03E13934" w:rsidR="009447D9" w:rsidRDefault="009447D9" w:rsidP="009447D9">
      <w:r>
        <w:t>Ustavno sodišče je izvajanje OPPN Ob Belokriški 2 julija 2025 že začasno zadržalo. Vlada s svojo zahtevo predlaga tudi odpravo odloka, kar bi omogočilo odpravo morebitnih škodljivih posledic, nastalih na njegovi podlagi (npr. izdana gradbena dovoljenja).</w:t>
      </w:r>
    </w:p>
    <w:p w14:paraId="193C08BC" w14:textId="4A233462" w:rsidR="009447D9" w:rsidRDefault="009447D9" w:rsidP="009447D9">
      <w:pPr>
        <w:pStyle w:val="Vir"/>
      </w:pPr>
      <w:r>
        <w:t>Vir: Ministrstvo za naravne vire in prostor</w:t>
      </w:r>
    </w:p>
    <w:p w14:paraId="6CA54B38" w14:textId="7282525C" w:rsidR="001C4660" w:rsidRDefault="001C4660" w:rsidP="001C4660">
      <w:pPr>
        <w:pStyle w:val="Naslov2"/>
      </w:pPr>
      <w:r>
        <w:t>Vlada sprejela letno poročilo javnega podjetja INFRA za leto 2024</w:t>
      </w:r>
    </w:p>
    <w:p w14:paraId="1C439C35" w14:textId="77777777" w:rsidR="001C4660" w:rsidRDefault="001C4660" w:rsidP="001C4660">
      <w:r>
        <w:t xml:space="preserve">Vlada je na današnji seji sprejela Letno poročilo javnega podjetja INFRA izvajanje </w:t>
      </w:r>
      <w:proofErr w:type="gramStart"/>
      <w:r>
        <w:t>investicijske</w:t>
      </w:r>
      <w:proofErr w:type="gramEnd"/>
      <w:r>
        <w:t xml:space="preserve"> dejavnosti za leto 2024. </w:t>
      </w:r>
    </w:p>
    <w:p w14:paraId="36060C88" w14:textId="77777777" w:rsidR="001C4660" w:rsidRDefault="001C4660" w:rsidP="001C4660"/>
    <w:p w14:paraId="68CC5047" w14:textId="77777777" w:rsidR="001C4660" w:rsidRDefault="001C4660" w:rsidP="001C4660">
      <w:r>
        <w:t xml:space="preserve">Vlada je kot zastopnica ustanovitelja pristojna za sprejemanje letnega poročila, ki ga je predhodno obravnaval tudi nadzorni svet javnega podjetja. Poročilo neodvisnega revizorja je pokazalo, da računovodski izkazi pošteno predstavljajo finančni položaj družbe INFRA in njeno finančno uspešnost ter denarne tokove v skladu s </w:t>
      </w:r>
      <w:proofErr w:type="gramStart"/>
      <w:r>
        <w:t>Slovenskimi</w:t>
      </w:r>
      <w:proofErr w:type="gramEnd"/>
      <w:r>
        <w:t xml:space="preserve"> računovodskimi standardi. </w:t>
      </w:r>
    </w:p>
    <w:p w14:paraId="59D62AA4" w14:textId="42B8835B" w:rsidR="001C4660" w:rsidRDefault="001C4660" w:rsidP="001C4660">
      <w:pPr>
        <w:pStyle w:val="Vir"/>
      </w:pPr>
      <w:r>
        <w:t>Vir: Ministrstvo za naravne vire in prostor</w:t>
      </w:r>
    </w:p>
    <w:p w14:paraId="402B42E2" w14:textId="6717903E" w:rsidR="00840A28" w:rsidRDefault="00840A28" w:rsidP="00840A28">
      <w:pPr>
        <w:pStyle w:val="Naslov2"/>
      </w:pPr>
      <w:r>
        <w:t>Vlada se je seznanila s Statističnim poročilom o javnih naročilih, oddanih v letu 2024</w:t>
      </w:r>
    </w:p>
    <w:p w14:paraId="7C294385" w14:textId="28C6AB9E" w:rsidR="00840A28" w:rsidRDefault="00840A28" w:rsidP="00840A28">
      <w:r>
        <w:t>Javna naročila so v EU zelo pomemben del gospodarstva, kar se kaže tudi v Sloveniji. Kot izhaja iz statističnega poročila o javnih naročilih, je bilo v letu 2024 oddanih več kot milijon naročil v skupni vrednosti skoraj devet milijard evrov. Delež javnega naročanja v bruto domačem proizvodu je dosegel 13,44 odstotka, kar v letu 2024 pomeni zmanjšanje za nekaj več kot eno odstotno točko v primerjavi z letom 2023. Javno naročanje predstavlja pomemben delež odhodkov proračuna, saj je dosegel 58,45 odstotka odhodkov državnega proračuna.</w:t>
      </w:r>
    </w:p>
    <w:p w14:paraId="56103136" w14:textId="77777777" w:rsidR="00840A28" w:rsidRDefault="00840A28" w:rsidP="00840A28"/>
    <w:p w14:paraId="463CD409" w14:textId="77777777" w:rsidR="00840A28" w:rsidRDefault="00840A28" w:rsidP="00840A28">
      <w:r>
        <w:t xml:space="preserve">Najpogosteje izvedeni postopek za oddajo naročil je postopek oddaje naročila male vrednosti (51,67 odstotka), kar kaže na pogosto uporabo manj zahtevnih in </w:t>
      </w:r>
      <w:proofErr w:type="gramStart"/>
      <w:r>
        <w:t>enostavnejših</w:t>
      </w:r>
      <w:proofErr w:type="gramEnd"/>
      <w:r>
        <w:t xml:space="preserve"> postopkov. Povečal se je delež odprtih postopkov, kar je pozitiven premik v luči </w:t>
      </w:r>
      <w:proofErr w:type="gramStart"/>
      <w:r>
        <w:t>transparentnosti</w:t>
      </w:r>
      <w:proofErr w:type="gramEnd"/>
      <w:r>
        <w:t xml:space="preserve"> pri postopkih javnega naročanja. Vnovič je opazno povečanje števila evidenčnih postopkov, kar kaže na njihovo pomembno vlogo v sistemu javnega naročanja. Iz poročila izhaja, da so v letu 2024 naročniki oddali največ evidenčnih naročil v zadnjih sedmih letih, njihova vrednost pa se približuje 1,8 milijarde evrov. Postopkov s pogajanji brez predhodne objave je glede na leto 2023 manj za 0,01 odstotne točke in je </w:t>
      </w:r>
      <w:r>
        <w:lastRenderedPageBreak/>
        <w:t xml:space="preserve">tretji najpogosteje uporabljeni postopek z deležem 8,65 odstotka v vseh postopkih, kar pomeni najmanjši delež od leta 2015. </w:t>
      </w:r>
    </w:p>
    <w:p w14:paraId="269F3AEF" w14:textId="77777777" w:rsidR="00840A28" w:rsidRDefault="00840A28" w:rsidP="00840A28"/>
    <w:p w14:paraId="45A49840" w14:textId="77777777" w:rsidR="00840A28" w:rsidRDefault="00840A28" w:rsidP="00840A28">
      <w:r>
        <w:t xml:space="preserve">Glede na predmet naročanja so naročniki najpogosteje naročali blago (64,01 odstotka), storitve (25,82 odstotka) in gradnje (10,18 odstotka). Tudi po vrednosti je na prvem mestu blago (36,84 odstotka), na drugem in tretjem mestu pa naročila gradenj (36,64 odstotka) in naročila storitev (26,53 odstotka). Največkrat uporabljeno merilo za izbiro najugodnejšega ponudnika je bila cena, uporabljeno pri 17.826 oddanih naročilih, kar je dobrih 95 odstotkov vseh oddanih naročil tako po številu kot tudi vrednosti. Glede lokalnega naročanja so naročniki slovenskim ponudnikom oddali po vrednosti več kot 92 odstotkov javnih naročil. Več kot polovica javnih naročil je bila oddana ponudnikom iz osrednjeslovenske </w:t>
      </w:r>
      <w:proofErr w:type="gramStart"/>
      <w:r>
        <w:t>regije</w:t>
      </w:r>
      <w:proofErr w:type="gramEnd"/>
      <w:r>
        <w:t>.</w:t>
      </w:r>
    </w:p>
    <w:p w14:paraId="56719648" w14:textId="77777777" w:rsidR="00840A28" w:rsidRDefault="00840A28" w:rsidP="00840A28"/>
    <w:p w14:paraId="5E9F297D" w14:textId="77777777" w:rsidR="00840A28" w:rsidRDefault="00840A28" w:rsidP="00840A28">
      <w:r>
        <w:t xml:space="preserve">Skupno javno naročanje pomeni le manjši delež v številu vseh oddanih naročil (4,95 odstotka), v vrednosti pa slabo desetino (7,14 odstotka), kar kaže, da ni dovolj izkoriščeno, vendar se lahko to spremeni, če bodo naročniki prepoznali prednosti te prakse, se začeli bolj povezovati in jo večkrat izvajali. Pri zelenem javnem naročanju je v primerjavi z letom 2023 opazno povečanje števila naročil z vključenimi </w:t>
      </w:r>
      <w:proofErr w:type="gramStart"/>
      <w:r>
        <w:t>okoljskimi</w:t>
      </w:r>
      <w:proofErr w:type="gramEnd"/>
      <w:r>
        <w:t xml:space="preserve"> vidiki za 13,91 odstotka in zmanjšanje vrednosti za 23,31 odstotka. Družbeno odgovorno javno naročanje je v vzponu, vendar še zaostaja za zelenim javnim naročanjem. Socialni vidiki pri naročilih se vključujejo predvsem v pogodbena določila in pogoje za sodelovanje.</w:t>
      </w:r>
    </w:p>
    <w:p w14:paraId="1B077861" w14:textId="77777777" w:rsidR="00840A28" w:rsidRDefault="00840A28" w:rsidP="00840A28"/>
    <w:p w14:paraId="08A1DE29" w14:textId="77777777" w:rsidR="00840A28" w:rsidRDefault="00840A28" w:rsidP="00840A28">
      <w:r>
        <w:t xml:space="preserve">Kot določa zakonodaja, ministrstvo, pristojno za javno naročila, vsako leto pripravi statistično poročilo o oddanih javnih naročilih v preteklem letu, in ga do 30. septembra predloži v seznanitev vladi. Statistično poročilo je pripravljeno na podlagi podatkov, ki se zajemajo neposredno iz obvestil o oddaji naročila, objavljenih na portalu javnih naročil. Poleg tega poročilo zajema še podatke o evidenčnih naročilih, ki so jih naročniki vnesli v ločeno </w:t>
      </w:r>
      <w:proofErr w:type="gramStart"/>
      <w:r>
        <w:t>aplikacijo</w:t>
      </w:r>
      <w:proofErr w:type="gramEnd"/>
      <w:r>
        <w:t xml:space="preserve"> na portalu javnih naročil.</w:t>
      </w:r>
    </w:p>
    <w:p w14:paraId="16902351" w14:textId="44D471DB" w:rsidR="009C59CF" w:rsidRDefault="00840A28" w:rsidP="00840A28">
      <w:pPr>
        <w:pStyle w:val="Vir"/>
      </w:pPr>
      <w:r>
        <w:t>Vir: Ministrstvo za javno upravo</w:t>
      </w:r>
    </w:p>
    <w:p w14:paraId="084C968E" w14:textId="7868768C" w:rsidR="0086083B" w:rsidRDefault="0086083B" w:rsidP="0086083B">
      <w:pPr>
        <w:pStyle w:val="Naslov2"/>
      </w:pPr>
      <w:r>
        <w:t>Vlada se je seznanila z ustanovitvijo Zamejske kulturne koordinacije</w:t>
      </w:r>
    </w:p>
    <w:p w14:paraId="7D387623" w14:textId="3788B6F9" w:rsidR="0086083B" w:rsidRDefault="0086083B" w:rsidP="0086083B">
      <w:r>
        <w:t xml:space="preserve">Vlada se je na današnji seji seznanila z informacijo o ustanovitvi Zamejske kulturne koordinacije (ZKK). Pobudo za njeno vzpostavitev </w:t>
      </w:r>
      <w:proofErr w:type="gramStart"/>
      <w:r>
        <w:t>so</w:t>
      </w:r>
      <w:proofErr w:type="gramEnd"/>
      <w:r>
        <w:t xml:space="preserve"> podali Ministrstvo za kulturo, Urad Vlade RS za Slovence v zamejstvu in po svetu ter slovenske kulturne organizacije in krovne zveze slovenskih kulturnih društev iz Slovenije in sosednjih držav – Avstrije, Italije, Hrvaške in Madžarske.</w:t>
      </w:r>
    </w:p>
    <w:p w14:paraId="40D52232" w14:textId="77777777" w:rsidR="0086083B" w:rsidRDefault="0086083B" w:rsidP="0086083B"/>
    <w:p w14:paraId="7A191186" w14:textId="12E04574" w:rsidR="0086083B" w:rsidRDefault="0086083B" w:rsidP="0086083B">
      <w:r>
        <w:t>V ZKK so vključene slovenske kulturne organizacije in zveze slovenskih društev iz Avstrije (Slovenska prosvetna zveza, Krščanska kulturna zveza in Kulturno društvo člen 7 za avstrijsko Štajersko – Pavlova hiša), Italije (Zveza slovenskih kulturnih društev ETS, Slovenska prosveta, Zveza slovenske katoliške prosvete), Hrvaške (Zveza slovenskih društev na Hrvaškem) in Madžarske (Državna slovenska samouprava ter Zveza Slovencev na Madžarskem).</w:t>
      </w:r>
    </w:p>
    <w:p w14:paraId="165A1D62" w14:textId="77777777" w:rsidR="0086083B" w:rsidRDefault="0086083B" w:rsidP="0086083B"/>
    <w:p w14:paraId="2EC248C7" w14:textId="4B8DB4B3" w:rsidR="0086083B" w:rsidRDefault="0086083B" w:rsidP="0086083B">
      <w:r>
        <w:t>Namen Zamejske kulturne koordinacije je izboljšati in okrepiti povezovanje, mreženje, sodelovanje ter izmenjavo informacij med slovenskimi kulturnimi organizacijami na skupnem slovenskem kulturnem prostoru.</w:t>
      </w:r>
    </w:p>
    <w:p w14:paraId="61D33EE3" w14:textId="6E6EC0F3" w:rsidR="009C59CF" w:rsidRDefault="0086083B" w:rsidP="0086083B">
      <w:pPr>
        <w:pStyle w:val="Vir"/>
      </w:pPr>
      <w:r>
        <w:t>Vir: Ministrstvo za kulturo</w:t>
      </w:r>
    </w:p>
    <w:p w14:paraId="23A60877" w14:textId="7CCFF1E6" w:rsidR="00B10791" w:rsidRDefault="00B10791" w:rsidP="009649E4">
      <w:pPr>
        <w:pStyle w:val="Naslov2"/>
      </w:pPr>
      <w:r>
        <w:t>V Načrt razvojnih programov za obdobje 2025−2028 uvrščena rekonstrukcija in novogradnja Zdravstvenega doma Idrija</w:t>
      </w:r>
    </w:p>
    <w:p w14:paraId="107EDA75" w14:textId="77777777" w:rsidR="00B10791" w:rsidRDefault="00B10791" w:rsidP="00B10791">
      <w:r>
        <w:t xml:space="preserve">Vlada je na današnji seji sprejela sklep, da se v Načrt razvojnih programov za obdobje 2025−2028 uvrsti nov projekt Sprememba namembnosti, rekonstrukcija in novogradnja ZD Idrija. Projekt zajema </w:t>
      </w:r>
      <w:proofErr w:type="gramStart"/>
      <w:r>
        <w:lastRenderedPageBreak/>
        <w:t>investicijo</w:t>
      </w:r>
      <w:proofErr w:type="gramEnd"/>
      <w:r>
        <w:t xml:space="preserve"> v rekonstrukcijo, spremembo namembnosti dela objekta starega Zdravstvenega doma Idrija ter nadzidavo povezovalnega hodnika z obstoječim Zdravstvenim domom. </w:t>
      </w:r>
    </w:p>
    <w:p w14:paraId="6D8F73F9" w14:textId="77777777" w:rsidR="00B10791" w:rsidRDefault="00B10791" w:rsidP="00B10791"/>
    <w:p w14:paraId="3360FD83" w14:textId="77777777" w:rsidR="00B10791" w:rsidRDefault="00B10791" w:rsidP="00B10791">
      <w:r>
        <w:t xml:space="preserve">Z </w:t>
      </w:r>
      <w:proofErr w:type="gramStart"/>
      <w:r>
        <w:t>investicijo</w:t>
      </w:r>
      <w:proofErr w:type="gramEnd"/>
      <w:r>
        <w:t xml:space="preserve"> se bodo uredili prostori za izvajanje preventivnih zdravstvenih dejavnosti, in sicer prostori za delovanje Centra za duševno zdravje otrok in mladostnikov ter prostori za Medicino dela, prometa in športa. V </w:t>
      </w:r>
      <w:proofErr w:type="gramStart"/>
      <w:r>
        <w:t>investicijo</w:t>
      </w:r>
      <w:proofErr w:type="gramEnd"/>
      <w:r>
        <w:t xml:space="preserve"> je vključena tudi notranja oprema za nove prostore.</w:t>
      </w:r>
    </w:p>
    <w:p w14:paraId="2AEA4D5A" w14:textId="77777777" w:rsidR="00B10791" w:rsidRDefault="00B10791" w:rsidP="00B10791"/>
    <w:p w14:paraId="79A64976" w14:textId="77777777" w:rsidR="00B10791" w:rsidRDefault="00B10791" w:rsidP="00B10791">
      <w:r>
        <w:t>Vrednost projekta je 1.229.844,52 evra, od tega Urad za nadzor, kakovost in investicije v zdravstvu sofinancira 658.289,11 evra.</w:t>
      </w:r>
    </w:p>
    <w:p w14:paraId="7B0FF851" w14:textId="7B5D36EA" w:rsidR="009C59CF" w:rsidRDefault="00B10791" w:rsidP="00B10791">
      <w:pPr>
        <w:pStyle w:val="Vir"/>
      </w:pPr>
      <w:r>
        <w:t>Vir: Ministrstvo za zdravje</w:t>
      </w:r>
    </w:p>
    <w:p w14:paraId="554FFBDB" w14:textId="25812956" w:rsidR="00E752D5" w:rsidRDefault="00E752D5" w:rsidP="00E752D5">
      <w:pPr>
        <w:pStyle w:val="Naslov2"/>
      </w:pPr>
      <w:r>
        <w:t>Stališče Republike Slovenije do sporočila Komisije o enotnem trgu</w:t>
      </w:r>
    </w:p>
    <w:p w14:paraId="0EF9AF30" w14:textId="4F1B26BA" w:rsidR="00E752D5" w:rsidRDefault="00E752D5" w:rsidP="00E752D5">
      <w:r>
        <w:t xml:space="preserve">Vlada je sprejela stališče do sporočila Komisije Evropskemu parlamentu, Svetu, Evropskemu ekonomsko-socialnemu odboru in Odboru </w:t>
      </w:r>
      <w:proofErr w:type="gramStart"/>
      <w:r>
        <w:t>regij</w:t>
      </w:r>
      <w:proofErr w:type="gramEnd"/>
      <w:r>
        <w:t xml:space="preserve"> - Enotni trg: naš evropski domači trg v negotovem svetu – Strategija za enostaven, brezhibno delujoč in močan enotni trg.</w:t>
      </w:r>
    </w:p>
    <w:p w14:paraId="1BC2791D" w14:textId="77777777" w:rsidR="00E752D5" w:rsidRDefault="00E752D5" w:rsidP="00E752D5"/>
    <w:p w14:paraId="0EAD1B9D" w14:textId="77777777" w:rsidR="00E752D5" w:rsidRDefault="00E752D5" w:rsidP="00E752D5">
      <w:r>
        <w:t>Evropska komisija je 21. maja 2025 objavila Strategijo za enotni trg, ki predstavlja ključni načrt za nadaljnji razvoj in krepitev evropskega gospodarstva. Strategija predlaga pristop, ki ne temelji na dodajanju novih pravil, temveč na krepitvi in doslednem izvajanju obstoječih, s poudarkom na poenostavitvi in zmanjšanju administrativnih bremen za povečanje evropske konkurenčnosti in odpornosti. Poudarja tudi pospešitev zelenega in digitalnega prehoda.</w:t>
      </w:r>
    </w:p>
    <w:p w14:paraId="220913DA" w14:textId="77777777" w:rsidR="00E752D5" w:rsidRDefault="00E752D5" w:rsidP="00E752D5"/>
    <w:p w14:paraId="514B666A" w14:textId="77777777" w:rsidR="00E752D5" w:rsidRDefault="00E752D5" w:rsidP="00E752D5">
      <w:r>
        <w:t>Vlada pozdravlja strategijo in kot ključno prioriteto izpostavlja poenostavitev zakonodaje ter zmanjšanje administrativnih bremen za podjetja. Pri tem izpostavlja načelo »najprej pomisli na male«, saj so mala in srednja podjetja hrbtenica tako slovenskega kot evropskega gospodarstva. Poudarja potrebo po krepitvi notranjega trga na področju storitev, digitalizaciji postopkov, večji pravni varnosti ter realističnih rokih za implementacijo.</w:t>
      </w:r>
    </w:p>
    <w:p w14:paraId="1EA7A03B" w14:textId="51E4FF24" w:rsidR="009C59CF" w:rsidRDefault="00E752D5" w:rsidP="00E752D5">
      <w:pPr>
        <w:pStyle w:val="Vir"/>
      </w:pPr>
      <w:r>
        <w:t>Vir: Ministrstvo za gospodarstvo, turizem in šport</w:t>
      </w:r>
      <w:r w:rsidR="009C59CF">
        <w:t xml:space="preserve"> </w:t>
      </w:r>
    </w:p>
    <w:p w14:paraId="1617DCA9" w14:textId="74413450" w:rsidR="009649E4" w:rsidRDefault="009649E4" w:rsidP="009649E4">
      <w:pPr>
        <w:pStyle w:val="Naslov2"/>
      </w:pPr>
      <w:r>
        <w:t>Tripartitni dogovor o skupni izvedbi opazovalnega leta</w:t>
      </w:r>
    </w:p>
    <w:p w14:paraId="3AAD7CC8" w14:textId="77777777" w:rsidR="009649E4" w:rsidRDefault="009649E4" w:rsidP="009649E4">
      <w:r>
        <w:t>Vlada Republike Slovenije se je na današnji seji seznanila z namero podpisa Tehničnega dogovora med Ministrstvom za obrambo Madžarske, Ministrstvom za obrambo Italijanske republike in Ministrstvom za obrambo Republike Slovenije o skupni izvedbi opazovalnega leta v letih 2025 in 2026.</w:t>
      </w:r>
    </w:p>
    <w:p w14:paraId="2C98E58A" w14:textId="77777777" w:rsidR="009649E4" w:rsidRDefault="009649E4" w:rsidP="009649E4"/>
    <w:p w14:paraId="00AAB3A8" w14:textId="77777777" w:rsidR="009649E4" w:rsidRDefault="009649E4" w:rsidP="009649E4">
      <w:r>
        <w:t xml:space="preserve">Slovenija, Madžarska in Italija na podlagi določb Pogodbe o odprtih zračnih prostorih nadaljujejo sodelovanje pri izvajanju skupnih opazovalnih letov. Za leti 2025 in 2026 je znova načrtovana izvedba po enega opazovalnega leta v posameznem letu. Zaradi razmer v Ukrajini je v primeru nezmožnosti izvedbe opazovalnega leta nad Ukrajino načrtovana izvedba vadbenega leta nad drugo državo pogodbenico Pogodbe o odprtih zračnih prostorih. Predvideno je, da bo en opazovalni let izveden leta 2025, pri katerem bo vodilna država Madžarska, in </w:t>
      </w:r>
      <w:proofErr w:type="gramStart"/>
      <w:r>
        <w:t>en</w:t>
      </w:r>
      <w:proofErr w:type="gramEnd"/>
      <w:r>
        <w:t xml:space="preserve"> leta 2026, kjer bo imela vodilno vlogo Italija. Za izvedbo opazovalnega leta v letu 2025 je </w:t>
      </w:r>
      <w:proofErr w:type="gramStart"/>
      <w:r>
        <w:t>aktivnost</w:t>
      </w:r>
      <w:proofErr w:type="gramEnd"/>
      <w:r>
        <w:t xml:space="preserve"> načrtovana in odobrena v Letnem načrtu dela Verifikacijskega centra Slovenske vojske za leto 2025. </w:t>
      </w:r>
    </w:p>
    <w:p w14:paraId="2FBAE350" w14:textId="77777777" w:rsidR="009649E4" w:rsidRDefault="009649E4" w:rsidP="009649E4"/>
    <w:p w14:paraId="2FAF3F25" w14:textId="77777777" w:rsidR="009649E4" w:rsidRDefault="009649E4" w:rsidP="009649E4">
      <w:r>
        <w:t>Tehnični dogovor opredeljuje obveznosti podpisnikov v zvezi s skupno izvedbo opazovalnega leta in s tem povezane postopke.</w:t>
      </w:r>
    </w:p>
    <w:p w14:paraId="02DF23F2" w14:textId="71162D91" w:rsidR="009C59CF" w:rsidRDefault="009649E4" w:rsidP="009649E4">
      <w:pPr>
        <w:pStyle w:val="Vir"/>
      </w:pPr>
      <w:r>
        <w:t>Vir: Ministrstvo za obrambo</w:t>
      </w:r>
    </w:p>
    <w:p w14:paraId="057C2772" w14:textId="0F4AFC6A" w:rsidR="00BB2AF4" w:rsidRDefault="00BB2AF4" w:rsidP="00BB2AF4">
      <w:pPr>
        <w:pStyle w:val="Naslov2"/>
      </w:pPr>
      <w:r>
        <w:lastRenderedPageBreak/>
        <w:t>Podpisan bo tehnični dogovor o zagotovitvi podpore države gostiteljice</w:t>
      </w:r>
    </w:p>
    <w:p w14:paraId="70B9E637" w14:textId="77777777" w:rsidR="00BB2AF4" w:rsidRDefault="00BB2AF4" w:rsidP="00BB2AF4">
      <w:r>
        <w:t>Vlada Republike Slovenije se je danes seznanila z namero podpisa tehničnega dogovora o zagotovitvi podpore države gostiteljice za tečaj za inštruktorje helikopterskih taktik 2025 (HTIC-25).</w:t>
      </w:r>
    </w:p>
    <w:p w14:paraId="26C1AF30" w14:textId="77777777" w:rsidR="00BB2AF4" w:rsidRDefault="00BB2AF4" w:rsidP="00BB2AF4"/>
    <w:p w14:paraId="6F6A8ACB" w14:textId="77777777" w:rsidR="00BB2AF4" w:rsidRDefault="00BB2AF4" w:rsidP="00BB2AF4">
      <w:r>
        <w:t xml:space="preserve">V okviru Evropske obrambne agencije od leta 2022 kot stalna struktura na podlagi tehničnega dogovora deluje Večnacionalni helikopterski </w:t>
      </w:r>
      <w:proofErr w:type="gramStart"/>
      <w:r>
        <w:t>center</w:t>
      </w:r>
      <w:proofErr w:type="gramEnd"/>
      <w:r>
        <w:t xml:space="preserve"> za usposabljanje. </w:t>
      </w:r>
      <w:proofErr w:type="gramStart"/>
      <w:r>
        <w:t>Center</w:t>
      </w:r>
      <w:proofErr w:type="gramEnd"/>
      <w:r>
        <w:t xml:space="preserve"> omogoča mednarodno sodelovanje znotraj držav članic Evropske unije, predvsem v obliki izvajanja vaj, usposabljanj in tečajev s področja taktičnega letenja s helikopterji.</w:t>
      </w:r>
    </w:p>
    <w:p w14:paraId="655B7D16" w14:textId="77777777" w:rsidR="00BB2AF4" w:rsidRDefault="00BB2AF4" w:rsidP="00BB2AF4"/>
    <w:p w14:paraId="01DAB234" w14:textId="77777777" w:rsidR="00BB2AF4" w:rsidRDefault="00BB2AF4" w:rsidP="00BB2AF4">
      <w:r>
        <w:t>Tečaj za inštruktorje helikopterskih taktik bo potekal med 29. septembrom in 17. oktobrom 2025 na Madžarskem. Na usposabljanju bo sodeloval kontingent z do 17 pripadniki Slovenske vojske, ki bodo na usposabljanju sodelovali kot strokovni sodelavci s področja zračne obrambe kratkega dosega.</w:t>
      </w:r>
    </w:p>
    <w:p w14:paraId="3DF31602" w14:textId="77777777" w:rsidR="00BB2AF4" w:rsidRDefault="00BB2AF4" w:rsidP="00BB2AF4"/>
    <w:p w14:paraId="31A02F82" w14:textId="77777777" w:rsidR="00BB2AF4" w:rsidRDefault="00BB2AF4" w:rsidP="00BB2AF4">
      <w:r>
        <w:t>Osnutek tehničnega dogovora vsebuje določbe glede zagotavljanja podpore države gostiteljice sodelujočim oboroženim silam držav članic Evropske unije, in sicer Češki, Nemčiji, Avstriji, Portugalski, Sloveniji in Slovaški, ki se nanašajo na področja premikov in transporta, komunikacij, logistike in finančnih zadev, zdravstvene in zobozdravstvene oskrbe, varstva okolja, varnosti in zaščite sil, reševanja odškodninskih zahtevkov, preiskovanja letalskih nesreč in incidentov ter drugo.</w:t>
      </w:r>
    </w:p>
    <w:p w14:paraId="5A82308C" w14:textId="694B6478" w:rsidR="009C59CF" w:rsidRDefault="00BB2AF4" w:rsidP="00BB2AF4">
      <w:pPr>
        <w:pStyle w:val="Vir"/>
      </w:pPr>
      <w:r>
        <w:t>Vir: Ministrstvo za obrambo</w:t>
      </w:r>
    </w:p>
    <w:p w14:paraId="7C010D69" w14:textId="7CFB92AF" w:rsidR="00005BCD" w:rsidRDefault="00005BCD" w:rsidP="00005BCD">
      <w:pPr>
        <w:pStyle w:val="Naslov2"/>
      </w:pPr>
      <w:r>
        <w:t>Vojaški muzej bo dobil mobilni radarski sistem SNAR-10</w:t>
      </w:r>
    </w:p>
    <w:p w14:paraId="0B49B243" w14:textId="77777777" w:rsidR="00005BCD" w:rsidRDefault="00005BCD" w:rsidP="00005BCD">
      <w:r>
        <w:t>Vlada Republike Slovenije se je seznanila z Informacijo o nameravanem podpisu Sporazuma med Ministrstvom za obrambo Republike Slovenije in Ministrstvom za obrambo Črne gore o donaciji mobilnega radarskega sistema za nadzor bojišča SNAR-10.</w:t>
      </w:r>
    </w:p>
    <w:p w14:paraId="254871A2" w14:textId="77777777" w:rsidR="00005BCD" w:rsidRDefault="00005BCD" w:rsidP="00005BCD"/>
    <w:p w14:paraId="673C1DA7" w14:textId="77777777" w:rsidR="00005BCD" w:rsidRDefault="00005BCD" w:rsidP="00005BCD">
      <w:r>
        <w:t>Med Ministrstvom za obrambo Republike Slovenije in Ministrstvom za obrambo Črne gore je vzpostavljeno dolgoletno dobro sodelovanje na več področjih, tudi na področju muzejske dejavnosti. V preteklosti je črnogorska stran v zbirko muzeja Park vojaške zgodovine Pivka že donirala podmornico P-913 Zeta in podvodno plovilo R-2, pridobitev novega predmeta, mobilnega radarskega sistema za nadzor bojišča SNAR-10, za Vojaški muzej Slovenske vojske pa bo zbirko vsebinsko nadgradila.</w:t>
      </w:r>
    </w:p>
    <w:p w14:paraId="084A8CA7" w14:textId="77777777" w:rsidR="00005BCD" w:rsidRDefault="00005BCD" w:rsidP="00005BCD"/>
    <w:p w14:paraId="2F02953F" w14:textId="77777777" w:rsidR="00005BCD" w:rsidRDefault="00005BCD" w:rsidP="00005BCD">
      <w:r>
        <w:t xml:space="preserve">V zvezi z donacijo bosta strani sklenili sporazum, v katerem bodo opredeljene medsebojne pravice in obveznosti, povezane z donacijo muzejskega razstavnega predmeta, ki </w:t>
      </w:r>
      <w:proofErr w:type="gramStart"/>
      <w:r>
        <w:t>se nahaja</w:t>
      </w:r>
      <w:proofErr w:type="gramEnd"/>
      <w:r>
        <w:t xml:space="preserve"> v vojašnici v Baru v Črni gori. Stroške prevoza in dajatev v višini 20.000 evrov bo krila slovenska stran.</w:t>
      </w:r>
    </w:p>
    <w:p w14:paraId="799CD82E" w14:textId="11245CAB" w:rsidR="009C59CF" w:rsidRDefault="00005BCD" w:rsidP="00005BCD">
      <w:pPr>
        <w:pStyle w:val="Vir"/>
      </w:pPr>
      <w:r>
        <w:t>Vir: Ministrstvo za obrambo</w:t>
      </w:r>
    </w:p>
    <w:p w14:paraId="606ADE80" w14:textId="6C186D23" w:rsidR="000B2135" w:rsidRDefault="000B2135" w:rsidP="000B2135">
      <w:pPr>
        <w:pStyle w:val="Naslov2"/>
      </w:pPr>
      <w:r>
        <w:t>Vlada je sprejela stališče o zahtevi Državnega sveta, da Državni zbor ponovno odloča o Zakonu o gostinstvu</w:t>
      </w:r>
    </w:p>
    <w:p w14:paraId="7330EBF9" w14:textId="51A06885" w:rsidR="000B2135" w:rsidRDefault="000B2135" w:rsidP="000B2135">
      <w:r>
        <w:t>Vlada je sprejela stališče do zahteve Državnega sveta Republike Slovenije, da Državni zbor Republike Slovenije ponovno odloča o Zakonu o gostinstvu (ZGos-1), ter ga pošlje Državnemu zboru Republike Slovenije in Državnemu svetu Republike Slovenije.</w:t>
      </w:r>
    </w:p>
    <w:p w14:paraId="36D99FC7" w14:textId="77777777" w:rsidR="000B2135" w:rsidRDefault="000B2135" w:rsidP="000B2135"/>
    <w:p w14:paraId="55D3538F" w14:textId="77777777" w:rsidR="000B2135" w:rsidRDefault="000B2135" w:rsidP="000B2135">
      <w:r>
        <w:t>Vlada ocenjuje, da zakon uravnoteženo ureja oddajanje stanovanj v kratkotrajni najem in hkrati omogoča občinam, da prilagodijo časovne omejitve glede na lokalne razmere:</w:t>
      </w:r>
    </w:p>
    <w:p w14:paraId="27396C9E" w14:textId="6EE0E626" w:rsidR="000B2135" w:rsidRDefault="000B2135" w:rsidP="000B2135">
      <w:pPr>
        <w:pStyle w:val="Odstavekseznama"/>
        <w:numPr>
          <w:ilvl w:val="0"/>
          <w:numId w:val="14"/>
        </w:numPr>
      </w:pPr>
      <w:r>
        <w:t>V občinah z visokimi cenami stanovanj in velikim obsegom kratkotrajnega najema lahko občine same določijo obdobje med 30 in 270 dnevi na leto.</w:t>
      </w:r>
    </w:p>
    <w:p w14:paraId="6108B0CE" w14:textId="55B0ABDF" w:rsidR="000B2135" w:rsidRDefault="000B2135" w:rsidP="000B2135">
      <w:pPr>
        <w:pStyle w:val="Odstavekseznama"/>
        <w:numPr>
          <w:ilvl w:val="0"/>
          <w:numId w:val="14"/>
        </w:numPr>
      </w:pPr>
      <w:r>
        <w:t>V drugih občinah časovne omejitve ni, razen če jo občina uvede (najmanj 60 dni).</w:t>
      </w:r>
    </w:p>
    <w:p w14:paraId="2573ACA6" w14:textId="772F0B11" w:rsidR="000B2135" w:rsidRDefault="000B2135" w:rsidP="000B2135">
      <w:pPr>
        <w:pStyle w:val="Odstavekseznama"/>
        <w:numPr>
          <w:ilvl w:val="0"/>
          <w:numId w:val="14"/>
        </w:numPr>
      </w:pPr>
      <w:r>
        <w:lastRenderedPageBreak/>
        <w:t>Občine lahko omejitve določijo za celotno občino ali za posamezna območja, kar omogoča upoštevanje razlik med mesti in podeželjem.</w:t>
      </w:r>
    </w:p>
    <w:p w14:paraId="61B31FAA" w14:textId="77777777" w:rsidR="000B2135" w:rsidRDefault="000B2135" w:rsidP="000B2135"/>
    <w:p w14:paraId="2FD2A1EA" w14:textId="77777777" w:rsidR="000B2135" w:rsidRDefault="000B2135" w:rsidP="000B2135">
      <w:r>
        <w:t xml:space="preserve">Takšen okvir zagotavlja, da zakon naslavlja pomisleke Državnega sveta, hkrati pa ščiti lokalno gospodarstvo, turizem in prihodke občin. Vlada s tem omogoča prilagodljivo, </w:t>
      </w:r>
      <w:proofErr w:type="gramStart"/>
      <w:r>
        <w:t>transparentno</w:t>
      </w:r>
      <w:proofErr w:type="gramEnd"/>
      <w:r>
        <w:t xml:space="preserve"> in učinkovito ureditev kratkotrajnega najema, ki je primerna za različne lokalne razmere.</w:t>
      </w:r>
    </w:p>
    <w:p w14:paraId="400B357E" w14:textId="77777777" w:rsidR="000B2135" w:rsidRDefault="000B2135" w:rsidP="000B2135">
      <w:pPr>
        <w:pStyle w:val="Vir"/>
      </w:pPr>
      <w:r>
        <w:t>Vir: Ministrstvo za gospodarstvo, turizem in šport</w:t>
      </w:r>
    </w:p>
    <w:p w14:paraId="72597827" w14:textId="65EF5F14" w:rsidR="00BE5AA3" w:rsidRDefault="00CE50C8" w:rsidP="00BE5AA3">
      <w:pPr>
        <w:pStyle w:val="Naslov2"/>
      </w:pPr>
      <w:r w:rsidRPr="00CE50C8">
        <w:t>Jesenska napoved 202</w:t>
      </w:r>
      <w:r w:rsidR="00BE5AA3">
        <w:t xml:space="preserve">5: Letos upočasnitev rasti gospodarske </w:t>
      </w:r>
      <w:proofErr w:type="gramStart"/>
      <w:r w:rsidR="00BE5AA3">
        <w:t>aktivnosti</w:t>
      </w:r>
      <w:proofErr w:type="gramEnd"/>
      <w:r w:rsidR="00BE5AA3">
        <w:t xml:space="preserve">, v prihodnjih letih ponovno nekoliko višja gospodarska rast </w:t>
      </w:r>
    </w:p>
    <w:p w14:paraId="1B257AE6" w14:textId="1CFF0D18" w:rsidR="00BE5AA3" w:rsidRDefault="00BE5AA3" w:rsidP="00BE5AA3">
      <w:r>
        <w:t>Vlada se je seznanila z Jesensko napovedjo gospodarskih gibanj 2025, ki jo je pripravil Urad RS za makroekonomske analize in razvoj (UMAR).</w:t>
      </w:r>
    </w:p>
    <w:p w14:paraId="07E88B92" w14:textId="77777777" w:rsidR="00BE5AA3" w:rsidRDefault="00BE5AA3" w:rsidP="00BE5AA3"/>
    <w:p w14:paraId="7F3F147C" w14:textId="4666E1DB" w:rsidR="00BE5AA3" w:rsidRDefault="00BE5AA3" w:rsidP="00BE5AA3">
      <w:r>
        <w:t>Gospodarska rast se bo letos ob upadu aktivnosti v izvoznem sektorju upočasnila z lanskih 1,7</w:t>
      </w:r>
      <w:proofErr w:type="gramStart"/>
      <w:r>
        <w:t xml:space="preserve"> %</w:t>
      </w:r>
      <w:proofErr w:type="gramEnd"/>
      <w:r>
        <w:t xml:space="preserve"> na 0,8 %, kar je manj od Umarjevih pomladanskih pričakovanj (2,1 %). V prihodnjih dveh letih pričakujemo ponovno višjo gospodarsko rast (2,1</w:t>
      </w:r>
      <w:proofErr w:type="gramStart"/>
      <w:r>
        <w:t xml:space="preserve"> %</w:t>
      </w:r>
      <w:proofErr w:type="gramEnd"/>
      <w:r>
        <w:t xml:space="preserve"> leta 2026 in 2,2 % leta 2027). Inflacija bo letos (2,9 %, medletna konec leta) predvsem zaradi višjih cen hrane nekoliko višja kot lani</w:t>
      </w:r>
      <w:r w:rsidR="00271886">
        <w:t>.</w:t>
      </w:r>
      <w:r>
        <w:t xml:space="preserve"> V prihodnjih dveh letih se bo znižala proti 2,3</w:t>
      </w:r>
      <w:proofErr w:type="gramStart"/>
      <w:r>
        <w:t xml:space="preserve"> %</w:t>
      </w:r>
      <w:proofErr w:type="gramEnd"/>
      <w:r>
        <w:t xml:space="preserve">. </w:t>
      </w:r>
    </w:p>
    <w:p w14:paraId="3201DEF2" w14:textId="77777777" w:rsidR="00BE5AA3" w:rsidRDefault="00BE5AA3" w:rsidP="00BE5AA3"/>
    <w:p w14:paraId="0CD2B42C" w14:textId="77777777" w:rsidR="00BE5AA3" w:rsidRDefault="00BE5AA3" w:rsidP="00BE5AA3">
      <w:r>
        <w:t xml:space="preserve">Z uresničitvijo Jesenske napovedi so povezana znatna, večinoma negativna tveganja, predvsem iz mednarodnega okolja, med njimi morebitno zaostrovanje trgovinskih napetosti in povečanje negotovosti, poslabšanje zaupanja na finančnih trgih ter geopolitična tveganja. V domačem okolju so tveganja povezana predvsem z zmogljivostmi za izvedbo večjih </w:t>
      </w:r>
      <w:proofErr w:type="gramStart"/>
      <w:r>
        <w:t>investicijskih</w:t>
      </w:r>
      <w:proofErr w:type="gramEnd"/>
      <w:r>
        <w:t xml:space="preserve"> projektov in s povečevanjem stroškov dela, so pa tudi možnosti za višjo gospodarsko rast od predvidene.</w:t>
      </w:r>
    </w:p>
    <w:p w14:paraId="14B1661E" w14:textId="3A9EB327" w:rsidR="00BE5AA3" w:rsidRDefault="00BE5AA3" w:rsidP="00BE5AA3">
      <w:pPr>
        <w:pStyle w:val="Vir"/>
      </w:pPr>
      <w:r>
        <w:t>Urad RS za makroekonomske analize in razvoj</w:t>
      </w:r>
    </w:p>
    <w:p w14:paraId="19EE8B27" w14:textId="7CA4D0E6" w:rsidR="00681800" w:rsidRDefault="00681800" w:rsidP="00681800">
      <w:pPr>
        <w:pStyle w:val="Naslov2"/>
      </w:pPr>
      <w:r>
        <w:t>Novela zakona o sodelovanju v kazenskih zadevah z državami članicami EU</w:t>
      </w:r>
    </w:p>
    <w:p w14:paraId="61AFF39E" w14:textId="77777777" w:rsidR="00681800" w:rsidRDefault="00681800" w:rsidP="00681800">
      <w:r>
        <w:t>Vlada je na današnji seji določila besedilo predloga zakona o spremembah in dopolnitvah Zakona o sodelovanju v kazenskih zadevah z državami članicami Evropske unije in ga pošilja v obravnavo Državnemu zboru po skrajšanem postopku.</w:t>
      </w:r>
    </w:p>
    <w:p w14:paraId="3621DD86" w14:textId="77777777" w:rsidR="00681800" w:rsidRDefault="00681800" w:rsidP="00681800"/>
    <w:p w14:paraId="4C3C3173" w14:textId="77777777" w:rsidR="00681800" w:rsidRDefault="00681800" w:rsidP="00681800">
      <w:r>
        <w:t>Predlog novele odpravlja posamezne nepravilnosti in pomanjkljivosti pri prenosu nekaterih evropskih pravnih aktov in zagotavlja prenos naknadno sprejetih evropskih pravnih aktov glede sodelovanja v kazenskih zadevah med državami članicami EU, in sicer na teh področjih sodelovanja:</w:t>
      </w:r>
    </w:p>
    <w:p w14:paraId="3C41E577" w14:textId="77777777" w:rsidR="00681800" w:rsidRDefault="00681800" w:rsidP="00681800"/>
    <w:p w14:paraId="470CD428" w14:textId="2664E85D" w:rsidR="00681800" w:rsidRDefault="00681800" w:rsidP="00681800">
      <w:pPr>
        <w:pStyle w:val="Odstavekseznama"/>
        <w:numPr>
          <w:ilvl w:val="0"/>
          <w:numId w:val="12"/>
        </w:numPr>
      </w:pPr>
      <w:r>
        <w:t xml:space="preserve">evropski nalog za prijetje in predajo, </w:t>
      </w:r>
    </w:p>
    <w:p w14:paraId="5233D8C6" w14:textId="699D03B7" w:rsidR="00681800" w:rsidRDefault="00681800" w:rsidP="00681800">
      <w:pPr>
        <w:pStyle w:val="Odstavekseznama"/>
        <w:numPr>
          <w:ilvl w:val="0"/>
          <w:numId w:val="12"/>
        </w:numPr>
      </w:pPr>
      <w:r>
        <w:t xml:space="preserve">evropski dokazni nalog, </w:t>
      </w:r>
    </w:p>
    <w:p w14:paraId="2A100065" w14:textId="09CE8313" w:rsidR="00681800" w:rsidRDefault="00681800" w:rsidP="00681800">
      <w:pPr>
        <w:pStyle w:val="Odstavekseznama"/>
        <w:numPr>
          <w:ilvl w:val="0"/>
          <w:numId w:val="12"/>
        </w:numPr>
      </w:pPr>
      <w:r>
        <w:t xml:space="preserve">medsebojno priznavanje obsodb, s katerimi je izrečena zaporna kazen ali ukrep, ki vključuje odvzem prostosti, </w:t>
      </w:r>
    </w:p>
    <w:p w14:paraId="42EBDBB6" w14:textId="5BFC3778" w:rsidR="00681800" w:rsidRDefault="00681800" w:rsidP="00681800">
      <w:pPr>
        <w:pStyle w:val="Odstavekseznama"/>
        <w:numPr>
          <w:ilvl w:val="0"/>
          <w:numId w:val="12"/>
        </w:numPr>
      </w:pPr>
      <w:r>
        <w:t xml:space="preserve">medsebojno priznavanju pogojnih obsodb z varstvenim nadzorstvom, pogojnih odložitev izreka kazni, alternativnih sankcij in odločb o pogojnem odpustu z varstvenim nadzorstvom, </w:t>
      </w:r>
    </w:p>
    <w:p w14:paraId="6D58B7B8" w14:textId="1BB59496" w:rsidR="00681800" w:rsidRDefault="00681800" w:rsidP="00681800">
      <w:pPr>
        <w:pStyle w:val="Odstavekseznama"/>
        <w:numPr>
          <w:ilvl w:val="0"/>
          <w:numId w:val="12"/>
        </w:numPr>
      </w:pPr>
      <w:r>
        <w:t xml:space="preserve">medsebojno priznavanje odločb o odvzemu premoženja v kazenskih postopkih in o začasnem zavarovanju takega odvzema in </w:t>
      </w:r>
    </w:p>
    <w:p w14:paraId="7F8D0F8B" w14:textId="444D5985" w:rsidR="00681800" w:rsidRDefault="00681800" w:rsidP="00681800">
      <w:pPr>
        <w:pStyle w:val="Odstavekseznama"/>
        <w:numPr>
          <w:ilvl w:val="0"/>
          <w:numId w:val="12"/>
        </w:numPr>
      </w:pPr>
      <w:r>
        <w:t xml:space="preserve">izmenjava podatkov iz kazenskih evidenc. </w:t>
      </w:r>
    </w:p>
    <w:p w14:paraId="619A3185" w14:textId="77777777" w:rsidR="00681800" w:rsidRDefault="00681800" w:rsidP="00681800"/>
    <w:p w14:paraId="736A960D" w14:textId="77777777" w:rsidR="00681800" w:rsidRDefault="00681800" w:rsidP="00681800">
      <w:r>
        <w:t>Predlagane spremembe upoštevajo načela sodelovanja v kazenskih zadevah med članicami EU, predvsem pa načela varstva človekovih pravic in svoboščin, pravne države, legitimnosti in omejenosti represije, učinkovitosti, gospodarnosti ter zaupanja.</w:t>
      </w:r>
    </w:p>
    <w:p w14:paraId="3BB3A72F" w14:textId="5B0B6FA6" w:rsidR="009C59CF" w:rsidRDefault="00681800" w:rsidP="00681800">
      <w:pPr>
        <w:pStyle w:val="Vir"/>
      </w:pPr>
      <w:r>
        <w:lastRenderedPageBreak/>
        <w:t>Vir: Ministrstvo za pravosodje</w:t>
      </w:r>
    </w:p>
    <w:p w14:paraId="0C672C13" w14:textId="7C49A040" w:rsidR="009007DB" w:rsidRDefault="009007DB" w:rsidP="008341AB">
      <w:pPr>
        <w:pStyle w:val="Naslov2"/>
      </w:pPr>
      <w:r>
        <w:t xml:space="preserve">Predlog zakona o spremembah in dopolnitvah Zakona o odnosih Republike Slovenije s Slovenci zunaj njenih meja </w:t>
      </w:r>
    </w:p>
    <w:p w14:paraId="7D00B7A6" w14:textId="21886DDB" w:rsidR="009007DB" w:rsidRDefault="008341AB" w:rsidP="00025B72">
      <w:r w:rsidRPr="008341AB">
        <w:t xml:space="preserve">Vlada je na današnji seji sprejela predlog novele Zakona o odnosih Republike Slovenije s Slovenci zunaj njenih meja. Predlog </w:t>
      </w:r>
      <w:proofErr w:type="gramStart"/>
      <w:r w:rsidRPr="008341AB">
        <w:t>novele Zakona</w:t>
      </w:r>
      <w:proofErr w:type="gramEnd"/>
      <w:r w:rsidRPr="008341AB">
        <w:t xml:space="preserve"> o odnosih Republike Slovenije s Slovenci zunaj njenih meja na vzpostavlja in ureja ukrepe za spodbujanje gospodarske osnove Slovencev v zamejstvu. Določajo</w:t>
      </w:r>
      <w:proofErr w:type="gramStart"/>
      <w:r w:rsidRPr="008341AB">
        <w:t xml:space="preserve"> so</w:t>
      </w:r>
      <w:proofErr w:type="gramEnd"/>
      <w:r w:rsidRPr="008341AB">
        <w:t xml:space="preserve"> ukrepi za spodbujanje gospodarske osnove Slovencev v zamejstvu, ureja se postopek izvedbe javnega razpisa za izbiro upravičencev ter uvaja možnost neposredne dodelitve sredstev za projekte, ki posebej pomembno prispevajo k ohranjanju, krepitvi in razvoju slovenske narodne skupnosti v slovenskem zamejstvu. Novela na novo uvaja še možnost zagotavljanja prostorov za delovanje nevladnih organizacij, ki delujejo v javnem interesu na področju sodelovanja s Slovenci v zamejstvu in po svetu, in na področju regionalnega sodelovanja določa organ, pri katerem se zagotavljajo sredstva za izvajanje prevzetih obveznosti Republike Slovenije za razvojne programe in projekte, vključno s financiranjem skupnega sklada </w:t>
      </w:r>
      <w:proofErr w:type="spellStart"/>
      <w:r w:rsidRPr="008341AB">
        <w:t>Muraba</w:t>
      </w:r>
      <w:proofErr w:type="spellEnd"/>
      <w:r w:rsidRPr="008341AB">
        <w:t xml:space="preserve"> za leti 2025 in 2026.</w:t>
      </w:r>
    </w:p>
    <w:p w14:paraId="16876BE6" w14:textId="18805819" w:rsidR="008341AB" w:rsidRDefault="008341AB" w:rsidP="008341AB">
      <w:pPr>
        <w:pStyle w:val="Vir"/>
      </w:pPr>
      <w:r w:rsidRPr="008341AB">
        <w:t>Vir: Urad Vlade Republike Slovenije za Slovence v zamejstvu in po svetu</w:t>
      </w:r>
    </w:p>
    <w:p w14:paraId="4C48E3F6" w14:textId="7CA67641" w:rsidR="00634617" w:rsidRDefault="00634617" w:rsidP="00634617">
      <w:pPr>
        <w:pStyle w:val="Naslov2"/>
      </w:pPr>
      <w:bookmarkStart w:id="0" w:name="_Hlk208489419"/>
      <w:r>
        <w:t xml:space="preserve">Vlada znova določila besedilo </w:t>
      </w:r>
      <w:proofErr w:type="gramStart"/>
      <w:r>
        <w:t>predloga Zakona</w:t>
      </w:r>
      <w:proofErr w:type="gramEnd"/>
      <w:r>
        <w:t xml:space="preserve"> o digitalizaciji zdravstva</w:t>
      </w:r>
      <w:bookmarkEnd w:id="0"/>
    </w:p>
    <w:p w14:paraId="6F58F656" w14:textId="77777777" w:rsidR="00634617" w:rsidRDefault="00634617" w:rsidP="00634617">
      <w:r>
        <w:t xml:space="preserve">Vlada Republike Slovenije je na današnji seji določila besedilo </w:t>
      </w:r>
      <w:proofErr w:type="gramStart"/>
      <w:r>
        <w:t>predloga Zakona</w:t>
      </w:r>
      <w:proofErr w:type="gramEnd"/>
      <w:r>
        <w:t xml:space="preserve"> o digitalizaciji zdravstva (</w:t>
      </w:r>
      <w:proofErr w:type="spellStart"/>
      <w:r>
        <w:t>ZDigZ</w:t>
      </w:r>
      <w:proofErr w:type="spellEnd"/>
      <w:r>
        <w:t>) in ga poslala v Državni zbor Republike Slovenije po rednem postopku. S tem predlogom zakona nadomešča predlog zakona, ki ga je Državnemu zboru Republike Slovenije predložila 19. junija 2025.</w:t>
      </w:r>
    </w:p>
    <w:p w14:paraId="258B366A" w14:textId="77777777" w:rsidR="00634617" w:rsidRDefault="00634617" w:rsidP="00634617"/>
    <w:p w14:paraId="42EF3B4D" w14:textId="405C0727" w:rsidR="00634617" w:rsidRDefault="00634617" w:rsidP="00634617">
      <w:r>
        <w:t xml:space="preserve">Za ta korak se je vlada odločila, ker zadržanje Zakona o pomoči pri prostovoljnem končanju življenja blokira tudi sprejem predloga </w:t>
      </w:r>
      <w:proofErr w:type="spellStart"/>
      <w:r>
        <w:t>ZDigZ</w:t>
      </w:r>
      <w:proofErr w:type="spellEnd"/>
      <w:r>
        <w:t xml:space="preserve"> – oba namreč posegata v Zakon o </w:t>
      </w:r>
      <w:proofErr w:type="gramStart"/>
      <w:r>
        <w:t>pacientovih</w:t>
      </w:r>
      <w:proofErr w:type="gramEnd"/>
      <w:r>
        <w:t xml:space="preserve"> pravicah. Zato je nov predlog </w:t>
      </w:r>
      <w:proofErr w:type="spellStart"/>
      <w:r>
        <w:t>ZDigZ</w:t>
      </w:r>
      <w:proofErr w:type="spellEnd"/>
      <w:r>
        <w:t xml:space="preserve"> ustrezno prilagojen, da bo lahko stekel zakonodajni postopek – vsebinsko v bistvenem delu sicer ostaja enak kot prejšnji.</w:t>
      </w:r>
    </w:p>
    <w:p w14:paraId="427B8711" w14:textId="77777777" w:rsidR="00634617" w:rsidRDefault="00634617" w:rsidP="00634617"/>
    <w:p w14:paraId="6EC2CEC3" w14:textId="68B352C7" w:rsidR="00634617" w:rsidRDefault="00634617" w:rsidP="00634617">
      <w:r>
        <w:t xml:space="preserve">Cilj zakona je z digitalno izmenjavo podatkov in uporabo sodobne informacijske tehnologije izboljšati delovanje celotnega zdravstvenega sistema. Zdravstvene storitve bodo tako lahko potekale hitreje in učinkoviteje. Zakon uvaja številne novosti in rešitve, ki bodo zdravstvenim delavcem olajšale delo, </w:t>
      </w:r>
      <w:proofErr w:type="gramStart"/>
      <w:r>
        <w:t>pacientom</w:t>
      </w:r>
      <w:proofErr w:type="gramEnd"/>
      <w:r>
        <w:t xml:space="preserve"> poenostavile pot skozi sistem, celotnemu zdravstvu pa zagotovile bolj urejeno in pregledno upravljanje podatkov.</w:t>
      </w:r>
    </w:p>
    <w:p w14:paraId="5682E2DC" w14:textId="77777777" w:rsidR="00634617" w:rsidRDefault="00634617" w:rsidP="00634617"/>
    <w:p w14:paraId="42830E38" w14:textId="17F96ACC" w:rsidR="00634617" w:rsidRDefault="00634617" w:rsidP="00634617">
      <w:r>
        <w:t xml:space="preserve">Vsi izvajalci zdravstvene dejavnosti bodo na primer morali zdravstveno dokumentacijo posredovati v </w:t>
      </w:r>
      <w:proofErr w:type="gramStart"/>
      <w:r>
        <w:t>centralni</w:t>
      </w:r>
      <w:proofErr w:type="gramEnd"/>
      <w:r>
        <w:t xml:space="preserve"> zdravstveni elektronski zapis (</w:t>
      </w:r>
      <w:proofErr w:type="spellStart"/>
      <w:r>
        <w:t>CeZZ</w:t>
      </w:r>
      <w:proofErr w:type="spellEnd"/>
      <w:r>
        <w:t xml:space="preserve">), tako bodo vsi pomembni podatki o pacientu zbrani na enem mestu. </w:t>
      </w:r>
      <w:proofErr w:type="gramStart"/>
      <w:r>
        <w:t>Pacientom</w:t>
      </w:r>
      <w:proofErr w:type="gramEnd"/>
      <w:r>
        <w:t xml:space="preserve"> ne bo več treba tiskati ali fizično prenašati dokumentacije med različnimi izvajalci.</w:t>
      </w:r>
    </w:p>
    <w:p w14:paraId="72E58FD9" w14:textId="77777777" w:rsidR="00634617" w:rsidRDefault="00634617" w:rsidP="00634617"/>
    <w:p w14:paraId="38C54C17" w14:textId="7645E816" w:rsidR="00634617" w:rsidRDefault="00634617" w:rsidP="00634617">
      <w:r>
        <w:t xml:space="preserve">Vsi zdravstveni delavci in sodelavci, ki oskrbujejo </w:t>
      </w:r>
      <w:proofErr w:type="gramStart"/>
      <w:r>
        <w:t>pacienta</w:t>
      </w:r>
      <w:proofErr w:type="gramEnd"/>
      <w:r>
        <w:t xml:space="preserve">, bodo imeli, v skladu s svojimi pooblastili, dostop do njegovih zdravstvenih podatkov. To bo omogočilo boljšo </w:t>
      </w:r>
      <w:proofErr w:type="gramStart"/>
      <w:r>
        <w:t>timsko</w:t>
      </w:r>
      <w:proofErr w:type="gramEnd"/>
      <w:r>
        <w:t xml:space="preserve"> obravnavo in razbremenilo zdravnike, saj podatkov ne bo več treba posredovati znotraj tima. </w:t>
      </w:r>
      <w:proofErr w:type="gramStart"/>
      <w:r>
        <w:t>Pacient</w:t>
      </w:r>
      <w:proofErr w:type="gramEnd"/>
      <w:r>
        <w:t xml:space="preserve"> bo kljub temu ohranil pravico, da določenemu izvajalcu ali posamezniku dostop do dokumentacije prepove.</w:t>
      </w:r>
    </w:p>
    <w:p w14:paraId="19DBB46C" w14:textId="77777777" w:rsidR="00634617" w:rsidRDefault="00634617" w:rsidP="00634617"/>
    <w:p w14:paraId="0404EEB8" w14:textId="6BCC5B69" w:rsidR="00634617" w:rsidRDefault="00634617" w:rsidP="00634617">
      <w:r>
        <w:t>Vzpostavljeno bo javno podjetje, ki bo skrbelo za vzdrževanje enotnih in celovitih informacijskih rešitev ter poenostavilo upravljanje dostopov do zdravstvenih podatkov. Podjetje bo nastopalo kot pogodbeni obdelovalec, kar pomeni, da bo delovalo izključno po navodilih upravljavcev zbirk (npr. izvajalcev zdravstvene dejavnosti, NIJZ) in ne bo smelo samostojno odločati o obdelavi podatkov ali razvoju rešitev.</w:t>
      </w:r>
    </w:p>
    <w:p w14:paraId="0CC73815" w14:textId="77777777" w:rsidR="00634617" w:rsidRDefault="00634617" w:rsidP="00634617"/>
    <w:p w14:paraId="4C46AC96" w14:textId="1CA54EA8" w:rsidR="00634617" w:rsidRDefault="00634617" w:rsidP="00634617">
      <w:r>
        <w:t xml:space="preserve">Zbirke podatkov se bodo poenotile in racionalizirale – namesto več kot 80 zbirk jih bo po novem vzpostavljenih približno 30. To bo omogočilo boljšo povezljivost podatkov, zmanjšalo napake in prispevalo k boljši diagnostiki, obravnavi in načrtovanju sistemskih sprememb v zdravstvu. </w:t>
      </w:r>
    </w:p>
    <w:p w14:paraId="3EE215AF" w14:textId="4E57C29E" w:rsidR="00CE50C8" w:rsidRDefault="00634617" w:rsidP="00634617">
      <w:pPr>
        <w:pStyle w:val="Vir"/>
      </w:pPr>
      <w:r>
        <w:t>Vir: Ministrstvo za zdravje</w:t>
      </w:r>
    </w:p>
    <w:p w14:paraId="512E05EA" w14:textId="76E42FEA" w:rsidR="00CB091A" w:rsidRDefault="00CB091A" w:rsidP="00CB091A">
      <w:pPr>
        <w:pStyle w:val="Naslov2"/>
      </w:pPr>
      <w:r>
        <w:t>Vlada nadaljuje pripravo proračunov za 2026 in 2027</w:t>
      </w:r>
    </w:p>
    <w:p w14:paraId="6DA5CAC1" w14:textId="77777777" w:rsidR="00CB091A" w:rsidRDefault="00CB091A" w:rsidP="00CB091A">
      <w:r>
        <w:t>Vlada je nadaljevala razpravo in pripravo sprememb državnega proračuna za leto 2026 in proračuna za leto 2027. Dokončno ju bo potrdila konec septembra, saj ju mora v državni zbor posredovati do 1. oktobra. Vlada pri pripravi proračunov velik poudarek daje področju gospodarstva in konkurenčnosti, popoplavni obnovi, varnosti in obrambi, dostopnosti stanovanj ter izvajanju evropskih programov, hkrati pa sledi srednjeročnemu cilju vzdržnosti javnega dolga in ohranjanja primanjkljaja sektorja država pod mejo treh odstotkov bruto domačega proizvoda.</w:t>
      </w:r>
    </w:p>
    <w:p w14:paraId="65AF1187" w14:textId="0C604BC6" w:rsidR="00CB091A" w:rsidRPr="00CB091A" w:rsidRDefault="00CB091A" w:rsidP="00CB091A">
      <w:pPr>
        <w:pStyle w:val="Vir"/>
      </w:pPr>
      <w:r>
        <w:t>Vir: Ministrstvo za finance</w:t>
      </w:r>
    </w:p>
    <w:p w14:paraId="04C608E7" w14:textId="34E8991C" w:rsidR="00C05A83" w:rsidRDefault="00C05A83" w:rsidP="00C05A83">
      <w:pPr>
        <w:pStyle w:val="Naslov2"/>
      </w:pPr>
      <w:r>
        <w:t xml:space="preserve">Vlada o izvedbi strateškega projekta umeščanja industrijsko-poslovnih </w:t>
      </w:r>
      <w:proofErr w:type="gramStart"/>
      <w:r>
        <w:t>con</w:t>
      </w:r>
      <w:proofErr w:type="gramEnd"/>
      <w:r>
        <w:t xml:space="preserve"> nacionalnega in regionalnega pomena</w:t>
      </w:r>
    </w:p>
    <w:p w14:paraId="69DC8A36" w14:textId="77777777" w:rsidR="00C05A83" w:rsidRDefault="00C05A83" w:rsidP="00C05A83">
      <w:r>
        <w:t xml:space="preserve">Vlada se je seznanila z informacijo glede načrtovanih </w:t>
      </w:r>
      <w:proofErr w:type="gramStart"/>
      <w:r>
        <w:t>aktivnosti</w:t>
      </w:r>
      <w:proofErr w:type="gramEnd"/>
      <w:r>
        <w:t xml:space="preserve"> Ministrstva za gospodarstvo, turizem in šport, Ministrstva za kohezijo in regionalni razvoj ter Ministrstva za naravne vire in prostor pri izvedbi strateškega projekta umeščanja industrijsko-poslovnih con nacionalnega in regionalnega pomena preko izvedbe tematskega akcijskega programa (TAP) in regionalnih prostorskih načrtov. </w:t>
      </w:r>
    </w:p>
    <w:p w14:paraId="4CAF1DF2" w14:textId="77777777" w:rsidR="00C05A83" w:rsidRDefault="00C05A83" w:rsidP="00C05A83"/>
    <w:p w14:paraId="751CAF11" w14:textId="77777777" w:rsidR="00C05A83" w:rsidRDefault="00C05A83" w:rsidP="00C05A83">
      <w:r>
        <w:t xml:space="preserve">Slovenija ima zaradi svojega izjemnega geostrateškega položaja in dobre prometne povezanosti velik potencial, da se razvije v logistično in industrijsko središče Srednje in Vzhodne Evrope. </w:t>
      </w:r>
    </w:p>
    <w:p w14:paraId="68751D6E" w14:textId="77777777" w:rsidR="00C05A83" w:rsidRDefault="00C05A83" w:rsidP="00C05A83"/>
    <w:p w14:paraId="6FF6E158" w14:textId="77777777" w:rsidR="00C05A83" w:rsidRDefault="00C05A83" w:rsidP="00C05A83">
      <w:r>
        <w:t xml:space="preserve">S tem namenom bodo omenjena ministrstva začela </w:t>
      </w:r>
      <w:proofErr w:type="gramStart"/>
      <w:r>
        <w:t>s postopkom umeščanja industrijsko-poslovnih con nacionalnega in regionalnega pomena</w:t>
      </w:r>
      <w:proofErr w:type="gramEnd"/>
      <w:r>
        <w:t xml:space="preserve"> preko izvedbe tematskega akcijskega programa in regionalnih prostorskih načrtov. Cilj je na strateški ravni umestiti v vsako razvojno </w:t>
      </w:r>
      <w:proofErr w:type="gramStart"/>
      <w:r>
        <w:t>regijo</w:t>
      </w:r>
      <w:proofErr w:type="gramEnd"/>
      <w:r>
        <w:t xml:space="preserve"> vsaj eno cono regionalnega pomena in od tri do sedem industrijsko-poslovnih con nacionalnega pomena. </w:t>
      </w:r>
    </w:p>
    <w:p w14:paraId="6D2FEBBF" w14:textId="77777777" w:rsidR="00C05A83" w:rsidRDefault="00C05A83" w:rsidP="00C05A83"/>
    <w:p w14:paraId="6273E51D" w14:textId="34C050FE" w:rsidR="00C05A83" w:rsidRDefault="00C05A83" w:rsidP="00C05A83">
      <w:r>
        <w:t xml:space="preserve">Projekt zasleduje več ciljev: spodbuditi umeščanje ključnih industrijskih in logističnih dejavnosti v okviru širših mestnih območij, razviti </w:t>
      </w:r>
      <w:proofErr w:type="spellStart"/>
      <w:proofErr w:type="gramStart"/>
      <w:r>
        <w:t>upravljalske</w:t>
      </w:r>
      <w:proofErr w:type="spellEnd"/>
      <w:proofErr w:type="gramEnd"/>
      <w:r>
        <w:t xml:space="preserve"> in razvojne funkcije, privabiti in razviti nove investicije v gospodarske dejavnosti, ustvariti nova delovna mesta v različnih slovenskih regijah, prispevati k povečanju produktivnosti, digitalizacije, robotizacije in avtomatizacije dejavnosti, umeščenih v pametno mrežo industrijskih in logističnih dejavnosti.</w:t>
      </w:r>
    </w:p>
    <w:p w14:paraId="13296493" w14:textId="77777777" w:rsidR="00C05A83" w:rsidRDefault="00C05A83" w:rsidP="00C05A83"/>
    <w:p w14:paraId="3604297B" w14:textId="77777777" w:rsidR="00C05A83" w:rsidRDefault="00C05A83" w:rsidP="00C05A83">
      <w:r>
        <w:t xml:space="preserve">Pomemben poudarek bo na krožnem gospodarjenju in trajnostnem prostorskem načrtovanju. Industrijsko-poslovne </w:t>
      </w:r>
      <w:proofErr w:type="gramStart"/>
      <w:r>
        <w:t>cone</w:t>
      </w:r>
      <w:proofErr w:type="gramEnd"/>
      <w:r>
        <w:t xml:space="preserve"> bodo umeščene predvsem na degradirana območja, kar zmanjšuje pritisk na okolje. Predvidena je tudi industrijska simbioza, kjer bo odpadek enega podjetja služil kot vhodni vir za drugega, ter gradnja po načelih energetske učinkovitosti in trajnostnih materialov.</w:t>
      </w:r>
    </w:p>
    <w:p w14:paraId="58B81180" w14:textId="77777777" w:rsidR="00C05A83" w:rsidRDefault="00C05A83" w:rsidP="00C05A83"/>
    <w:p w14:paraId="28842FB9" w14:textId="77777777" w:rsidR="00C05A83" w:rsidRDefault="00C05A83" w:rsidP="00C05A83">
      <w:r>
        <w:t xml:space="preserve">Gre za pomembno strateško razvojno vprašanje, ki naslavlja razvojne izzive tako na nacionalni kot regionalni ravni. Dokončna izvedba tega projekta pa bo omogočila razpoložljivost dodatnih zazidljivih zemljišč za potrebe gospodarstva in obenem olajšala zahtevne postopke umeščanja v prostor. </w:t>
      </w:r>
    </w:p>
    <w:p w14:paraId="722785F9" w14:textId="77777777" w:rsidR="00C05A83" w:rsidRDefault="00C05A83" w:rsidP="00C05A83"/>
    <w:p w14:paraId="714BA361" w14:textId="77777777" w:rsidR="00C05A83" w:rsidRDefault="00C05A83" w:rsidP="00C05A83">
      <w:r>
        <w:t xml:space="preserve">Namen projekta je torej udejanjanje politike policentričnega razvoja in skladnejšega regionalnega razvoja na podlagi trdnega temelja evropske kohezijske politike. </w:t>
      </w:r>
    </w:p>
    <w:p w14:paraId="667C511D" w14:textId="730082DD" w:rsidR="00025B72" w:rsidRDefault="00C05A83" w:rsidP="00C05A83">
      <w:pPr>
        <w:pStyle w:val="Vir"/>
      </w:pPr>
      <w:r>
        <w:t>Vir: Ministrstvo za gospodarstvo, turizem in šport</w:t>
      </w:r>
    </w:p>
    <w:p w14:paraId="4B2E239F" w14:textId="132B789B" w:rsidR="00104534" w:rsidRDefault="00104534" w:rsidP="00104534">
      <w:pPr>
        <w:pStyle w:val="Naslov2"/>
      </w:pPr>
      <w:r>
        <w:lastRenderedPageBreak/>
        <w:t>Vlada o proračunskih prerazporeditvah</w:t>
      </w:r>
    </w:p>
    <w:p w14:paraId="1E2F4E5E" w14:textId="77777777" w:rsidR="00104534" w:rsidRDefault="00104534" w:rsidP="00104534">
      <w:r>
        <w:t xml:space="preserve">Vlada je danes potrdila prerazporeditve pravic porabe v letošnjem državnem proračunu. </w:t>
      </w:r>
    </w:p>
    <w:p w14:paraId="17DE3847" w14:textId="77777777" w:rsidR="00104534" w:rsidRDefault="00104534" w:rsidP="00104534"/>
    <w:p w14:paraId="4321C440" w14:textId="77777777" w:rsidR="00104534" w:rsidRDefault="00104534" w:rsidP="00104534">
      <w:r>
        <w:t>Med drugim bomo Ministrstvu za okolje, podnebje in energijo razporedili sredstva splošne proračunske rezervacije v višini približno 114 milijonov evrov, ki bodo namenjena izplačilu nadomestil Termoelektrarni Šoštanj za izvajanje gospodarske javne službe proizvodnje in dobave toplote v letu 2025.</w:t>
      </w:r>
    </w:p>
    <w:p w14:paraId="01729788" w14:textId="77777777" w:rsidR="00104534" w:rsidRDefault="00104534" w:rsidP="00104534"/>
    <w:p w14:paraId="242BEC70" w14:textId="77777777" w:rsidR="00104534" w:rsidRDefault="00104534" w:rsidP="00104534">
      <w:r>
        <w:t>Vrhovno sodišče Republike Slovenije bo prerazporedilo pravice porabe v okviru svojega finančnega načrta v višini 4,7 milijona evrov. Sredstva bodo namenjena za stroške sodnih postopkov in brezplačne pravne pomoči.</w:t>
      </w:r>
    </w:p>
    <w:p w14:paraId="441A48B9" w14:textId="77777777" w:rsidR="00104534" w:rsidRDefault="00104534" w:rsidP="00104534"/>
    <w:p w14:paraId="3F64C3DA" w14:textId="77777777" w:rsidR="00104534" w:rsidRDefault="00104534" w:rsidP="00104534">
      <w:r>
        <w:t xml:space="preserve">Ministrstvo za visoko šolstvo, znanost in inovacije bo v okviru svojega finančnega načrta prerazporedilo pravice porabe v višini približno štirih milijonov evrov za nacionalne projekte visokega šolstva. </w:t>
      </w:r>
    </w:p>
    <w:p w14:paraId="17BA4DE0" w14:textId="77777777" w:rsidR="00104534" w:rsidRDefault="00104534" w:rsidP="00104534"/>
    <w:p w14:paraId="614A4F62" w14:textId="77777777" w:rsidR="00104534" w:rsidRDefault="00104534" w:rsidP="00104534">
      <w:r>
        <w:t>Uradu vlade za komuniciranje bomo prerazporedili sredstva v višini približno 328.833 evrov za potrebe financiranja javne službe Slovenske tiskovne agencije.</w:t>
      </w:r>
    </w:p>
    <w:p w14:paraId="30ACC3D1" w14:textId="7AD4479A" w:rsidR="00025B72" w:rsidRDefault="00104534" w:rsidP="00104534">
      <w:pPr>
        <w:pStyle w:val="Vir"/>
      </w:pPr>
      <w:r>
        <w:t>Vir: Ministrstvo za finance</w:t>
      </w:r>
    </w:p>
    <w:p w14:paraId="1BC702E9" w14:textId="553D7584" w:rsidR="00F7708A" w:rsidRDefault="00F7708A" w:rsidP="00F7708A">
      <w:pPr>
        <w:pStyle w:val="Naslov2"/>
      </w:pPr>
      <w:r>
        <w:t>Vlada predlaga, da Ustavno sodišče zavrne pobude in zahteve za oceno ustavnosti izpodbijanih določb novele ZZDej</w:t>
      </w:r>
    </w:p>
    <w:p w14:paraId="6D288EC2" w14:textId="77777777" w:rsidR="00F7708A" w:rsidRDefault="00F7708A" w:rsidP="00F7708A">
      <w:r>
        <w:t>Vlada Republike Slovenije je sprejela mnenje na pobudo Strokovnega združenja zasebnih zdravnikov in zobozdravnikov Slovenije in drugih, na pobudo Romana Kralja, dr. med. – Zasebna ambulanta splošne medicine in drugih ter na zahtevo Sindikata Fides za začetek postopka za oceno ustavnosti posameznih členov novele Zakona o zdravstveni dejavnosti (ZZDej) in ga posredovala Državnemu zboru.</w:t>
      </w:r>
    </w:p>
    <w:p w14:paraId="47F99B31" w14:textId="77777777" w:rsidR="00F7708A" w:rsidRDefault="00F7708A" w:rsidP="00F7708A">
      <w:r>
        <w:t xml:space="preserve">                                                       </w:t>
      </w:r>
    </w:p>
    <w:p w14:paraId="4DC3843C" w14:textId="77777777" w:rsidR="00F7708A" w:rsidRDefault="00F7708A" w:rsidP="00F7708A">
      <w:r>
        <w:t xml:space="preserve">Vlada Republike Slovenije je po proučitvi prejetih pobud in zahteve za začetek postopka za oceno ustavnosti navedbe vlagateljev v celoti zavrnila in Ustavnemu sodišču predlagala, da zahteve za oceno ustavnosti vseh izpodbijanih določb ZZDej zavrže, ker vlagatelji ne izpolnjujejo procesne predpostavke oziroma ker pobude in zahteva niso dopustne (gre za hipotetične primere nastopa nepopravljivih posledic, prav tako niso izčrpana vsa pravna sredstva), oziroma zavrne, ker izpodbijane določbe niso v neskladju z Ustavo. </w:t>
      </w:r>
    </w:p>
    <w:p w14:paraId="60B4DF0A" w14:textId="77777777" w:rsidR="00F7708A" w:rsidRDefault="00F7708A" w:rsidP="00F7708A"/>
    <w:p w14:paraId="15DD7C65" w14:textId="77777777" w:rsidR="00F7708A" w:rsidRDefault="00F7708A" w:rsidP="00F7708A">
      <w:r>
        <w:t>Vlada poudarja, da vse izpodbijane določbe ZZDej prestanejo strogi test sorazmernosti, saj so omejitve drugih ustavnih pravic primerne, nujne in sorazmerne glede na zasledovani cilj, ki je legitimen in utemeljen tudi v javnem interesu. Meni, da ne gre za prepovedi svobode dela in svobodne gospodarske pobude ali nedopustno omejevanje zasebne lastnine, temveč za regulacijo načina opravljanja zdravstvene dejavnosti, ki je utemeljena z varstvom javnega zdravja in stabilnostjo mreže javne zdravstvene službe. Takšno regulacijo oziroma aktivno skrb države zahteva sama Ustava v zvezi z izvajanjem pravice do socialne varnosti in pravice do enakopravnega, dostopnega in učinkovitega javnega zdravstvenega varstva.</w:t>
      </w:r>
    </w:p>
    <w:p w14:paraId="14EF2355" w14:textId="6CF9E889" w:rsidR="00CE50C8" w:rsidRDefault="00F7708A" w:rsidP="00F7708A">
      <w:pPr>
        <w:pStyle w:val="Vir"/>
      </w:pPr>
      <w:r>
        <w:t>Vir: Ministrstvo za zdravje</w:t>
      </w:r>
    </w:p>
    <w:p w14:paraId="160614C2" w14:textId="0960B710" w:rsidR="002C1CE2" w:rsidRDefault="002C1CE2" w:rsidP="002C1CE2">
      <w:pPr>
        <w:pStyle w:val="Naslov2"/>
      </w:pPr>
      <w:r>
        <w:t>P</w:t>
      </w:r>
      <w:r w:rsidRPr="002C1CE2">
        <w:t>obud</w:t>
      </w:r>
      <w:r>
        <w:t>a</w:t>
      </w:r>
      <w:r w:rsidRPr="002C1CE2">
        <w:t xml:space="preserve"> za institucionalno preoblikovanje načina izvajanja gospodarskih javnih služb na področju voda in vodne infrastrukture</w:t>
      </w:r>
    </w:p>
    <w:p w14:paraId="49DCA2A8" w14:textId="325CA416" w:rsidR="0052703F" w:rsidRDefault="0052703F" w:rsidP="0052703F">
      <w:r>
        <w:lastRenderedPageBreak/>
        <w:t>Vlada je sprejela pobudo za institucionalno preoblikovanje načina izvajanja gospodarskih javnih služb na področju voda in vodne infrastrukture.</w:t>
      </w:r>
    </w:p>
    <w:p w14:paraId="3058E3DE" w14:textId="77777777" w:rsidR="0052703F" w:rsidRDefault="0052703F" w:rsidP="0052703F"/>
    <w:p w14:paraId="46034A97" w14:textId="77777777" w:rsidR="0052703F" w:rsidRDefault="0052703F" w:rsidP="0052703F">
      <w:r>
        <w:t xml:space="preserve">Vlada je ugotovila, da obstoječa institucionalna ureditev na področju urejanja voda ni več ustrezna za učinkovito izvajanje nalog, povezanih s popoplavno sanacijo, </w:t>
      </w:r>
      <w:proofErr w:type="gramStart"/>
      <w:r>
        <w:t>investicijami</w:t>
      </w:r>
      <w:proofErr w:type="gramEnd"/>
      <w:r>
        <w:t xml:space="preserve"> in rednim delovanjem gospodarskih javnih služb.</w:t>
      </w:r>
    </w:p>
    <w:p w14:paraId="07516012" w14:textId="77777777" w:rsidR="0052703F" w:rsidRDefault="0052703F" w:rsidP="0052703F"/>
    <w:p w14:paraId="57DF4484" w14:textId="77777777" w:rsidR="0052703F" w:rsidRDefault="0052703F" w:rsidP="0052703F">
      <w:r>
        <w:t xml:space="preserve">Vlada zato naroča ministrstvu, pristojnemu za vode, da pripravi podrobnejši načrt institucionalnega preoblikovanja in posreduje pobudo za dopolnitev Letnega načrta upravljanja naložb za leto 2025 Slovenskemu državnemu holdingu, d. d., na način, da se izdela LNU izkaznica za družbo </w:t>
      </w:r>
      <w:proofErr w:type="gramStart"/>
      <w:r>
        <w:t>Slovenske</w:t>
      </w:r>
      <w:proofErr w:type="gramEnd"/>
      <w:r>
        <w:t xml:space="preserve"> vode, d. o. o., v kateri se predvidi izvedba pripravljalnih aktivnosti za ustanovitev nove družbe (izdelava poslovnega načrta).</w:t>
      </w:r>
    </w:p>
    <w:p w14:paraId="2B545BB7" w14:textId="77777777" w:rsidR="0052703F" w:rsidRDefault="0052703F" w:rsidP="0052703F"/>
    <w:p w14:paraId="5E4F3433" w14:textId="77777777" w:rsidR="0052703F" w:rsidRDefault="0052703F" w:rsidP="0052703F">
      <w:r>
        <w:t xml:space="preserve">Vlada je naložila Ministrstvu za naravne vire in prostor, da do </w:t>
      </w:r>
      <w:proofErr w:type="gramStart"/>
      <w:r>
        <w:t>30. 12. 2025</w:t>
      </w:r>
      <w:proofErr w:type="gramEnd"/>
      <w:r>
        <w:t xml:space="preserve"> predloži vladi v obravnavo predlog Uredbe o načinu izvajanja obveznih državnih gospodarskih javnih služb na področju urejanja voda.</w:t>
      </w:r>
    </w:p>
    <w:p w14:paraId="1F9275A0" w14:textId="77777777" w:rsidR="0052703F" w:rsidRDefault="0052703F" w:rsidP="0052703F"/>
    <w:p w14:paraId="50B74095" w14:textId="77777777" w:rsidR="0052703F" w:rsidRDefault="0052703F" w:rsidP="0052703F">
      <w:r>
        <w:t xml:space="preserve">Vlada je naložila Ministrstvu za javno upravo, da do </w:t>
      </w:r>
      <w:proofErr w:type="gramStart"/>
      <w:r>
        <w:t>30. 12. 2025</w:t>
      </w:r>
      <w:proofErr w:type="gramEnd"/>
      <w:r>
        <w:t xml:space="preserve"> predloži vladi v obravnavo predlog Uredbe o spremembah in dopolnitvah Uredbe o organih v sestavi ministrstev.</w:t>
      </w:r>
    </w:p>
    <w:p w14:paraId="21357C95" w14:textId="77777777" w:rsidR="0052703F" w:rsidRDefault="0052703F" w:rsidP="0052703F"/>
    <w:p w14:paraId="1BF91B8D" w14:textId="03F732A1" w:rsidR="0052703F" w:rsidRDefault="0052703F" w:rsidP="0052703F">
      <w:r>
        <w:t>Predlog je pomemben korak k celovitemu, stabilnemu in učinkovitejšemu urejanju voda v najširšem smislu. Obsežna popoplavna sanacija po katastrofalnih poplavah avgusta 2023, sočasno izvajanje rednih nalog gospodarske javne službe, izvajanje investicij in odpravljanje 30 letnih zamud na sistemskem, operativnem in izvedbenem delu so namreč pokazale na problematiko delovanja institucij, ki jih prinaša močno povečan obseg vlaganja sredstev v urejanje vodotokov</w:t>
      </w:r>
      <w:proofErr w:type="gramStart"/>
      <w:r>
        <w:t xml:space="preserve"> in</w:t>
      </w:r>
      <w:proofErr w:type="gramEnd"/>
      <w:r>
        <w:t xml:space="preserve"> je v okviru obstoječe institucionalne ureditve ni več možno učinkovito reševati. K temu je treba dodati še nedorečeni in sistemsko neurejeni področji urejanja hudourniškega zaledja in sanacije plazov, ki v sedanji institucionalni okvir nista vključeni in ju je treba </w:t>
      </w:r>
      <w:proofErr w:type="gramStart"/>
      <w:r>
        <w:t>pričeti</w:t>
      </w:r>
      <w:proofErr w:type="gramEnd"/>
      <w:r>
        <w:t xml:space="preserve"> pospešeno urejati.</w:t>
      </w:r>
    </w:p>
    <w:p w14:paraId="489E92E6" w14:textId="63D644AB" w:rsidR="002C1CE2" w:rsidRDefault="002C1CE2" w:rsidP="002C1CE2">
      <w:pPr>
        <w:pStyle w:val="Vir"/>
      </w:pPr>
      <w:r w:rsidRPr="002C1CE2">
        <w:t>Vir: Ministrstvo za naravne vire in prostor</w:t>
      </w:r>
    </w:p>
    <w:p w14:paraId="05705AF1" w14:textId="45E746FB" w:rsidR="005C5CA1" w:rsidRDefault="005C5CA1" w:rsidP="005C5CA1">
      <w:pPr>
        <w:pStyle w:val="Naslov2"/>
      </w:pPr>
      <w:r>
        <w:t>M</w:t>
      </w:r>
      <w:r w:rsidRPr="005C5CA1">
        <w:t>nenj</w:t>
      </w:r>
      <w:r>
        <w:t>e vlade</w:t>
      </w:r>
      <w:r w:rsidRPr="005C5CA1">
        <w:t xml:space="preserve"> o </w:t>
      </w:r>
      <w:r>
        <w:t>p</w:t>
      </w:r>
      <w:r w:rsidRPr="005C5CA1">
        <w:t xml:space="preserve">redlogu priporočila </w:t>
      </w:r>
      <w:r>
        <w:t>V</w:t>
      </w:r>
      <w:r w:rsidRPr="005C5CA1">
        <w:t xml:space="preserve">ladi Republike Slovenije dve leti po katastrofalnih poplavah in zemeljskih plazovih, ki so Slovenijo </w:t>
      </w:r>
      <w:proofErr w:type="gramStart"/>
      <w:r w:rsidRPr="005C5CA1">
        <w:t>zajele</w:t>
      </w:r>
      <w:proofErr w:type="gramEnd"/>
      <w:r w:rsidRPr="005C5CA1">
        <w:t xml:space="preserve"> 4. avgusta 2023</w:t>
      </w:r>
    </w:p>
    <w:p w14:paraId="425D7BE9" w14:textId="77777777" w:rsidR="005C5CA1" w:rsidRDefault="005C5CA1" w:rsidP="005C5CA1">
      <w:r>
        <w:t xml:space="preserve">Vlada je sprejela mnenje o Predlogu priporočila Vladi Republike Slovenije dve leti po katastrofalnih poplavah in zemeljskih plazovih, ki so Slovenijo zajele 4. avgusta 2023, ki ga je Državnemu zboru predložila skupine poslank in </w:t>
      </w:r>
      <w:proofErr w:type="gramStart"/>
      <w:r>
        <w:t>poslancev</w:t>
      </w:r>
      <w:proofErr w:type="gramEnd"/>
      <w:r>
        <w:t xml:space="preserve"> (prvopodpisana Jelka Godec)</w:t>
      </w:r>
    </w:p>
    <w:p w14:paraId="17676181" w14:textId="77777777" w:rsidR="005C5CA1" w:rsidRDefault="005C5CA1" w:rsidP="005C5CA1"/>
    <w:p w14:paraId="49D17F79" w14:textId="77777777" w:rsidR="005C5CA1" w:rsidRDefault="005C5CA1" w:rsidP="005C5CA1">
      <w:r>
        <w:t xml:space="preserve">Vlada in Ministrstvo za naravne vire in prostor dve leti po uničujočih poplavah in plazovih avgusta 2023 z odločnostjo nadaljujeta obnovo prizadetih območij skladno s petletnim sanacijskim načrtom. Cilj je jasen: povrniti varnost, stabilnost in upanje v življenja ljudi ter skupnosti, ki so bile prizadete. S skupnimi prizadevanji občin, države in posameznikov smo dosegli pomemben napredek. </w:t>
      </w:r>
    </w:p>
    <w:p w14:paraId="05142C70" w14:textId="77777777" w:rsidR="005C5CA1" w:rsidRDefault="005C5CA1" w:rsidP="005C5CA1"/>
    <w:p w14:paraId="71F9723E" w14:textId="14157214" w:rsidR="005C5CA1" w:rsidRDefault="005C5CA1" w:rsidP="005C5CA1">
      <w:r>
        <w:t xml:space="preserve">Rezultati so vidni na več področjih: občinska infrastruktura se pospešeno, sanacija vodne infrastrukture poteka skladno s Sanacijskim programom na sedmih porečjih, prebivalci in </w:t>
      </w:r>
      <w:proofErr w:type="gramStart"/>
      <w:r>
        <w:t>podjetja</w:t>
      </w:r>
      <w:proofErr w:type="gramEnd"/>
      <w:r>
        <w:t xml:space="preserve"> pa so pravočasno prejeli neposredno finančno pomoč, ves čas obnove pa jim je na voljo svetovanje in tehnična podporo. Pomembno je, da se zmanjšujejo administrativne ovire skladno z veljavno zakonodajo, kar ljudem omogoča hitrejše okrevanje. Posebej velja poudariti tudi prizadevanja za obnovo na način, ki ne zagotavlja le ponovne vzpostavitve prejšnjega stanja, temveč gradi na odpornosti proti prihodnjim izzivom podnebnih sprememb.</w:t>
      </w:r>
    </w:p>
    <w:p w14:paraId="09A09F26" w14:textId="77777777" w:rsidR="005C5CA1" w:rsidRDefault="005C5CA1" w:rsidP="005C5CA1"/>
    <w:p w14:paraId="72063A8F" w14:textId="77777777" w:rsidR="005C5CA1" w:rsidRDefault="005C5CA1" w:rsidP="005C5CA1">
      <w:r>
        <w:t xml:space="preserve">Številni postopki še trajajo in bo celoten program odprave posledic zaključen skladno s Sanacijskim programom v prihodnjih letih, skladno z zmožnostjo virov. Z združenimi močmi ter ob stalni finančni in </w:t>
      </w:r>
      <w:r>
        <w:lastRenderedPageBreak/>
        <w:t>strokovni podpori lahko pričakujemo, da bo sanacija prinesla dolgoročne rezultate – varnejše okolje, bolj odporne skupnosti in okrepljeno zaupanje ljudi, da država stoji ob strani, ko jo najbolj potrebujejo.</w:t>
      </w:r>
    </w:p>
    <w:p w14:paraId="74018445" w14:textId="77777777" w:rsidR="005C5CA1" w:rsidRDefault="005C5CA1" w:rsidP="005C5CA1"/>
    <w:p w14:paraId="793C42E0" w14:textId="77777777" w:rsidR="005C5CA1" w:rsidRDefault="005C5CA1" w:rsidP="005C5CA1">
      <w:r>
        <w:t xml:space="preserve">Na podlagi dejstev in na podlagi zakonskih možnosti Vlada vsa predlagana priporočila zavrača. </w:t>
      </w:r>
    </w:p>
    <w:p w14:paraId="04BD169B" w14:textId="17DE764D" w:rsidR="005C5CA1" w:rsidRDefault="005C5CA1" w:rsidP="005C5CA1">
      <w:pPr>
        <w:pStyle w:val="Vir"/>
      </w:pPr>
      <w:r>
        <w:t>Vir: Ministrstvo za naravne vire in prostor</w:t>
      </w:r>
    </w:p>
    <w:p w14:paraId="57E8F5BC" w14:textId="14BCD7FB" w:rsidR="002C7396" w:rsidRDefault="002C7396" w:rsidP="002C7396">
      <w:pPr>
        <w:pStyle w:val="Naslov2"/>
      </w:pPr>
      <w:r>
        <w:t>Vlada je sprejela Poslovni načrt družbe Holding Kobilarna Lipica, d. o. o. za leto 2025</w:t>
      </w:r>
    </w:p>
    <w:p w14:paraId="5DA69B63" w14:textId="42D68097" w:rsidR="002C7396" w:rsidRDefault="002C7396" w:rsidP="002C7396">
      <w:r>
        <w:t xml:space="preserve">Vlada Republike Slovenije je sprejela Poslovni načrt družbe Kobilarna Lipica, d. o. o., za leto 2025, ki ga je nadzorni svet družbe obravnaval in </w:t>
      </w:r>
      <w:proofErr w:type="gramStart"/>
      <w:r>
        <w:t>potrdil</w:t>
      </w:r>
      <w:proofErr w:type="gramEnd"/>
      <w:r>
        <w:t xml:space="preserve"> decembra 2024 ter maja 2025.</w:t>
      </w:r>
    </w:p>
    <w:p w14:paraId="5BA3FE5A" w14:textId="77777777" w:rsidR="002C7396" w:rsidRDefault="002C7396" w:rsidP="002C7396"/>
    <w:p w14:paraId="3D61B749" w14:textId="2320A757" w:rsidR="002C7396" w:rsidRDefault="002C7396" w:rsidP="002C7396">
      <w:r>
        <w:t>Skladno z novim Zakonom o Kobilarni Lipica (ZKL-2), ki je začel veljati 13. julija 2024, sta bili dosedanji družbi Kobilarna Lipica, d. o. o. in Holding Kobilarna Lipica, d. o. o., konec istega leta združeni v eno pravno osebo. Nova družba posluje pod imenom Kobilarna Lipica, d. o. o., njen Akt o ustanovitvi pa je bil potrjen na vladi 3. julija 2025. Kljub združitvi poslovanje ostaja razdeljeno na dva dela – skrb in gospodarjenje s kulturnimi ter naravnimi vrednotami ter njihovo trženje.</w:t>
      </w:r>
    </w:p>
    <w:p w14:paraId="68C13745" w14:textId="77777777" w:rsidR="002C7396" w:rsidRDefault="002C7396" w:rsidP="002C7396"/>
    <w:p w14:paraId="57724468" w14:textId="77777777" w:rsidR="002C7396" w:rsidRDefault="002C7396" w:rsidP="002C7396">
      <w:r>
        <w:t>Priprava poslovnega načrta za leto 2025 je bila zaradi nove zakonske ureditve zahtevnejša, zato je bil načrt najprej potrjen v osnovni obliki decembra 2024, nato pa še dopolnjen maja 2025. Načrt predvideva prihodke v višini 10.845.939 evrov ter odhodke v višini 10.817.700 evrov, s čimer bo družba ustvarila 28.239 evrov poslovnega izida oziroma po plačilu davkov 22.026 evrov čistega dobička. V primerjavi s preteklim letom je načrtovan 8-odstotni dvig prihodkov iz tržne dejavnosti, predvsem zaradi boljše zasedenosti hotela</w:t>
      </w:r>
      <w:proofErr w:type="gramStart"/>
      <w:r>
        <w:t xml:space="preserve"> Maestoso</w:t>
      </w:r>
      <w:proofErr w:type="gramEnd"/>
      <w:r>
        <w:t xml:space="preserve"> ter višje realizacije v gostinstvu, športnem centru in trgovini.</w:t>
      </w:r>
    </w:p>
    <w:p w14:paraId="55B72AAA" w14:textId="77777777" w:rsidR="002C7396" w:rsidRDefault="002C7396" w:rsidP="002C7396"/>
    <w:p w14:paraId="6EEC9046" w14:textId="77777777" w:rsidR="002C7396" w:rsidRDefault="002C7396" w:rsidP="002C7396">
      <w:r>
        <w:t>Kobilarna Lipica, ki se ponaša z več kot 440-letno tradicijo reje lipicanca in velja za enega najpomembnejših kulturnozgodovinskih spomenikov Slovenije, s poslovnim načrtom za leto 2025 utrjuje svojo vlogo skrbnika kulturne in naravne dediščine ter hkrati razvija nove priložnosti na področju turizma in trženja svojih storitev.</w:t>
      </w:r>
    </w:p>
    <w:p w14:paraId="7D0E7E8B" w14:textId="1CA798D8" w:rsidR="009C59CF" w:rsidRDefault="002C7396" w:rsidP="002C7396">
      <w:pPr>
        <w:pStyle w:val="Vir"/>
      </w:pPr>
      <w:r>
        <w:t>Vir: Ministrstvo za gospodarstvo, turizem in šport</w:t>
      </w:r>
    </w:p>
    <w:p w14:paraId="4DA51611" w14:textId="66380F03" w:rsidR="00943462" w:rsidRDefault="00943462" w:rsidP="00943462">
      <w:pPr>
        <w:pStyle w:val="Naslov2"/>
      </w:pPr>
      <w:r>
        <w:t>Razrešitev generalnega direktorja Direktorata za industrijo, podjetništvo in internacionalizacijo</w:t>
      </w:r>
    </w:p>
    <w:p w14:paraId="796F4D17" w14:textId="77777777" w:rsidR="00943462" w:rsidRDefault="00943462" w:rsidP="00943462">
      <w:r>
        <w:t xml:space="preserve">Vlada je izdala odločbo o razrešitvi Jerneja Salecla s položaja generalnega </w:t>
      </w:r>
      <w:proofErr w:type="gramStart"/>
      <w:r>
        <w:t xml:space="preserve">direktorja  </w:t>
      </w:r>
      <w:proofErr w:type="gramEnd"/>
      <w:r>
        <w:t xml:space="preserve">Direktorata za industrijo, podjetništvo in internacionalizacijo v Ministrstvu za gospodarstvo, turizem in šport z dnem 30. september 2025. </w:t>
      </w:r>
    </w:p>
    <w:p w14:paraId="3DED5BD3" w14:textId="77777777" w:rsidR="00943462" w:rsidRDefault="00943462" w:rsidP="00943462"/>
    <w:p w14:paraId="55E879DA" w14:textId="77777777" w:rsidR="00943462" w:rsidRDefault="00943462" w:rsidP="00943462">
      <w:r>
        <w:t>Jernej Salecl je bil z odločbo z dne 1. marca 2021 imenovan na položaj generalnega direktorja Direktorata za industrijo, podjetništvo in internacionalizacijo v Ministrstvu za gospodarstvo, turizem in šport za dobo petih let, in sicer od 1. marca 2021 do 28. februarja 2026. Ker je dne 18. avgusta 2025 podal predlog za prekinitev pogodbe o zaposlitvi in s tem odstopno izjavo za razrešitev s položaja generalnega direktorja, ga je vlada na predlog ministra za gospodarstvo, turizem in šport z dnem 30. septembra 2025 razrešila s položaja generalnega direktorja Direktorata za industrijo, podjetništvo in internacionalizacijo.</w:t>
      </w:r>
    </w:p>
    <w:p w14:paraId="60F49AE9" w14:textId="1C61ACB5" w:rsidR="009C59CF" w:rsidRDefault="00943462" w:rsidP="00943462">
      <w:pPr>
        <w:pStyle w:val="Vir"/>
      </w:pPr>
      <w:r>
        <w:t>Vir: Ministrstvo za gospodarstvo, turizem in šport</w:t>
      </w:r>
    </w:p>
    <w:p w14:paraId="0F329958" w14:textId="1D092572" w:rsidR="009A2982" w:rsidRDefault="009A2982" w:rsidP="009A2982">
      <w:pPr>
        <w:pStyle w:val="Naslov2"/>
      </w:pPr>
      <w:r>
        <w:t>Vlada imenovala vršilca dolžnosti generalnega direktorja Direktorata za industrijo, podjetništvo in internacionalizacijo</w:t>
      </w:r>
    </w:p>
    <w:p w14:paraId="23318CC1" w14:textId="77777777" w:rsidR="009A2982" w:rsidRDefault="009A2982" w:rsidP="009A2982">
      <w:r>
        <w:lastRenderedPageBreak/>
        <w:t xml:space="preserve">Vlada je imenovala mag. </w:t>
      </w:r>
      <w:proofErr w:type="gramStart"/>
      <w:r>
        <w:t>Mateja</w:t>
      </w:r>
      <w:proofErr w:type="gramEnd"/>
      <w:r>
        <w:t xml:space="preserve"> Skočirja za vršilca dolžnosti generalnega direktorja Direktorata za industrijo, podjetništvo in internacionalizacijo na Ministrstvu za gospodarstvo, turizem in šport, in sicer do imenovanja novega generalnega direktorja Direktorata za industrijo, podjetništvo in internacionalizacijo, vendar največ za šest mesecev, to je najdlje do 31. marca 2026.</w:t>
      </w:r>
    </w:p>
    <w:p w14:paraId="3EF17C0A" w14:textId="131ECD8C" w:rsidR="009A2982" w:rsidRDefault="009A2982" w:rsidP="009A2982">
      <w:r>
        <w:t xml:space="preserve">Vlada je na predlog ministra za gospodarstvo, turizem in šport s 1. oktobrom 2025 imenovala mag. </w:t>
      </w:r>
      <w:proofErr w:type="gramStart"/>
      <w:r>
        <w:t>Mateja</w:t>
      </w:r>
      <w:proofErr w:type="gramEnd"/>
      <w:r>
        <w:t xml:space="preserve"> Skočirja za vršilca dolžnosti generalnega direktorja Direktorata za industrijo, podjetništvo in internacionalizacijo na Ministrstvu za gospodarstvo, turizem in šport.</w:t>
      </w:r>
    </w:p>
    <w:p w14:paraId="513060C0" w14:textId="77777777" w:rsidR="009A2982" w:rsidRDefault="009A2982" w:rsidP="009A2982"/>
    <w:p w14:paraId="47FC8CC7" w14:textId="77777777" w:rsidR="009A2982" w:rsidRDefault="009A2982" w:rsidP="009A2982">
      <w:r>
        <w:t xml:space="preserve">Mag. Matej Skočir je magistrski študij zaključil na Ekonomski fakulteti Univerze v Ljubljani, smer mednarodna ekonomija. Od leta 2013 je znotraj državne uprave služboval na različnih vodstvenih delovnih mestih, kjer je pokrival področja internacionalizacije in tujih </w:t>
      </w:r>
      <w:proofErr w:type="gramStart"/>
      <w:r>
        <w:t>investicij</w:t>
      </w:r>
      <w:proofErr w:type="gramEnd"/>
      <w:r>
        <w:t xml:space="preserve">. Od marca 2021 do oktobra 2022 je na Ministrstvu za naravne vire in prostor opravljal </w:t>
      </w:r>
      <w:proofErr w:type="gramStart"/>
      <w:r>
        <w:t>funkcijo</w:t>
      </w:r>
      <w:proofErr w:type="gramEnd"/>
      <w:r>
        <w:t xml:space="preserve"> državnega sekretarja. V okviru svojega dela je sodeloval pri pripravi strateških dokumentov, vodenju programov spodbujanja podjetništva ter projektov, povezanih z evropskimi sredstvi.</w:t>
      </w:r>
    </w:p>
    <w:p w14:paraId="3EB17EC4" w14:textId="77777777" w:rsidR="009A2982" w:rsidRDefault="009A2982" w:rsidP="009A2982">
      <w:r>
        <w:t xml:space="preserve">Od oktobra 2022 dalje pa je opravljal </w:t>
      </w:r>
      <w:proofErr w:type="gramStart"/>
      <w:r>
        <w:t>funkcijo</w:t>
      </w:r>
      <w:proofErr w:type="gramEnd"/>
      <w:r>
        <w:t xml:space="preserve"> namestnika generalnega direktorja Direktorata za industrijo, podjetništvo in internacionalizacijo na Ministrstvu za gospodarstvo, turizem in šport. </w:t>
      </w:r>
    </w:p>
    <w:p w14:paraId="3A590231" w14:textId="77777777" w:rsidR="009A2982" w:rsidRDefault="009A2982" w:rsidP="009A2982"/>
    <w:p w14:paraId="03B5D53E" w14:textId="6BD57BCF" w:rsidR="009A2982" w:rsidRDefault="009A2982" w:rsidP="009A2982">
      <w:r>
        <w:t>Zakon o javnih uslužbencih določa, da generalne sekretarje in generalne direktorje na ministrstvih, direktorje organov v sestavi ministrstev in direktorje vladnih služb imenuje vlada na predlog ministra oziroma funkcionarja, ki mu je direktor vladne službe odgovoren. Prav tako zakon določa, da lahko v času od sprožitve natečajnega postopka do imenovanja novega uradnika na položaj brez javnega natečaja največ šest mesecev naloge na tem položaju opravlja vršilec dolžnosti.</w:t>
      </w:r>
    </w:p>
    <w:p w14:paraId="45C0F755" w14:textId="77777777" w:rsidR="009A2982" w:rsidRDefault="009A2982" w:rsidP="009A2982">
      <w:pPr>
        <w:pStyle w:val="Vir"/>
      </w:pPr>
      <w:r>
        <w:t>Vir: Ministrstvo za gospodarstvo, turizem in šport</w:t>
      </w:r>
    </w:p>
    <w:p w14:paraId="50663DB4" w14:textId="4EC733A7" w:rsidR="009C59CF" w:rsidRDefault="009C59CF" w:rsidP="0040756F">
      <w:pPr>
        <w:pStyle w:val="Naslov2"/>
      </w:pPr>
      <w:r>
        <w:t xml:space="preserve">Predlog spremembe </w:t>
      </w:r>
      <w:r w:rsidR="0040756F">
        <w:t>s</w:t>
      </w:r>
      <w:r>
        <w:t>klepa o imenovanju članov Medresorske delovne skupine za urejanje radiofrekvenčnega spektra z Italijansko republiko</w:t>
      </w:r>
      <w:r w:rsidR="009D4860">
        <w:t xml:space="preserve">  </w:t>
      </w:r>
    </w:p>
    <w:p w14:paraId="5C261799" w14:textId="77777777" w:rsidR="0040756F" w:rsidRDefault="0040756F" w:rsidP="0040756F">
      <w:r>
        <w:t>Vlada Republike Slovenije je na podlagi četrtega odstavka 21. člena Zakona o Vladi Republike Slovenije in 6. člena Poslovnika Vlade Republike Slovenije sprejela Sklep o spremembi Sklepa o imenovanju članov Medresorske delovne skupine za urejanje radiofrekvenčnega spektra z Italijansko republiko.</w:t>
      </w:r>
    </w:p>
    <w:p w14:paraId="3C6431A2" w14:textId="77777777" w:rsidR="0040756F" w:rsidRDefault="0040756F" w:rsidP="0040756F"/>
    <w:p w14:paraId="6AD0E0A7" w14:textId="77777777" w:rsidR="0040756F" w:rsidRDefault="0040756F" w:rsidP="0040756F">
      <w:r>
        <w:t xml:space="preserve">Z novim sklepom se zaradi kadrovskih sprememb v </w:t>
      </w:r>
      <w:proofErr w:type="gramStart"/>
      <w:r>
        <w:t>resornih</w:t>
      </w:r>
      <w:proofErr w:type="gramEnd"/>
      <w:r>
        <w:t xml:space="preserve"> ministrstvih prenavlja sestava medresorske delovne skupine, ki jo po novem sestavljajo predstavniki Ministrstva za digitalno preobrazbo, Agencije za komunikacijska omrežja in storitve RS, Državnega odvetništva RS, Ministrstva za kulturo ter Ministrstva za zunanje in evropske zadeve.</w:t>
      </w:r>
    </w:p>
    <w:p w14:paraId="6A474779" w14:textId="77777777" w:rsidR="0040756F" w:rsidRDefault="0040756F" w:rsidP="0040756F"/>
    <w:p w14:paraId="03FD1918" w14:textId="4B8DE0DF" w:rsidR="0040756F" w:rsidRDefault="0040756F" w:rsidP="0040756F">
      <w:r>
        <w:t>Posodobljena sestava delovne skupine bo omogočila nadaljnje učinkovito usklajevanje postopkov in ukrepov z uporabo razpoložljivih pravnih sredstev pri urejanju radiofrekvenčnega spektra z Italijansko republiko.</w:t>
      </w:r>
    </w:p>
    <w:p w14:paraId="5F1AF543" w14:textId="77A65E49" w:rsidR="0040756F" w:rsidRDefault="0040756F" w:rsidP="0040756F">
      <w:pPr>
        <w:pStyle w:val="Vir"/>
      </w:pPr>
      <w:r w:rsidRPr="0040756F">
        <w:t>Vir: Ministrstvo za digitalno preobrazbo</w:t>
      </w:r>
    </w:p>
    <w:p w14:paraId="71B4539B" w14:textId="0898E181" w:rsidR="009C59CF" w:rsidRDefault="00695F35" w:rsidP="00695F35">
      <w:pPr>
        <w:pStyle w:val="Naslov2"/>
      </w:pPr>
      <w:r>
        <w:t>S</w:t>
      </w:r>
      <w:r w:rsidR="009C59CF">
        <w:t xml:space="preserve">premembe </w:t>
      </w:r>
      <w:r>
        <w:t>s</w:t>
      </w:r>
      <w:r w:rsidR="009C59CF">
        <w:t xml:space="preserve">klepa o ustanovitvi Delovne skupine vlade za pripravo Načrta ukrepov Vlade Republike Slovenije o izvrševanju predpisov na področju uresničevanja pravic italijanske in madžarske narodne skupnosti v Republiki Sloveniji </w:t>
      </w:r>
    </w:p>
    <w:p w14:paraId="4ED58BF8" w14:textId="77777777" w:rsidR="00695F35" w:rsidRDefault="00695F35" w:rsidP="00695F35">
      <w:r>
        <w:t>V Delovni skupini vlade za pripravo Načrta ukrepov Vlade Republike Slovenije o izvrševanju predpisov na področju uresničevanja pravic italijanske in madžarske narodne skupnosti v Republiki Sloveniji in za spremljanje njegovega izvajanja se z mesta:</w:t>
      </w:r>
    </w:p>
    <w:p w14:paraId="1D12E46B" w14:textId="77777777" w:rsidR="00695F35" w:rsidRDefault="00695F35" w:rsidP="00695F35">
      <w:pPr>
        <w:pStyle w:val="Odstavekseznama"/>
        <w:numPr>
          <w:ilvl w:val="0"/>
          <w:numId w:val="11"/>
        </w:numPr>
      </w:pPr>
      <w:r>
        <w:t>članice razreši Ana Komac, in namesto nje imenuje Danica Polak Gruden, Urad Vlade Republike Slovenije</w:t>
      </w:r>
      <w:proofErr w:type="gramStart"/>
      <w:r>
        <w:t xml:space="preserve"> za</w:t>
      </w:r>
      <w:proofErr w:type="gramEnd"/>
      <w:r>
        <w:t xml:space="preserve"> narodnosti,</w:t>
      </w:r>
    </w:p>
    <w:p w14:paraId="2B7B77F9" w14:textId="0E2E30CD" w:rsidR="00695F35" w:rsidRDefault="00695F35" w:rsidP="00695F35">
      <w:pPr>
        <w:pStyle w:val="Odstavekseznama"/>
        <w:numPr>
          <w:ilvl w:val="0"/>
          <w:numId w:val="11"/>
        </w:numPr>
      </w:pPr>
      <w:r>
        <w:lastRenderedPageBreak/>
        <w:t xml:space="preserve">članice razreši Tatjana Mizori Zupan, Ministrstvo za digitalno preobrazbo. </w:t>
      </w:r>
    </w:p>
    <w:p w14:paraId="3AB647C6" w14:textId="77777777" w:rsidR="00695F35" w:rsidRDefault="00695F35" w:rsidP="00695F35"/>
    <w:p w14:paraId="6F28389F" w14:textId="77777777" w:rsidR="00695F35" w:rsidRDefault="00695F35" w:rsidP="00695F35">
      <w:r>
        <w:t>Sprememba članstva je izvedena na podlagi predloga Ministrstva za digitalno preobrazbo in zaradi zamenjave vodstva Urada Vlade Republike Slovenije za narodnosti.</w:t>
      </w:r>
    </w:p>
    <w:p w14:paraId="70CD2206" w14:textId="6138CE0B" w:rsidR="00695F35" w:rsidRDefault="00695F35" w:rsidP="00695F35">
      <w:pPr>
        <w:pStyle w:val="Vir"/>
      </w:pPr>
      <w:r w:rsidRPr="00695F35">
        <w:t>Vir: Urad za narodnosti</w:t>
      </w:r>
    </w:p>
    <w:p w14:paraId="7B450718" w14:textId="426F9143" w:rsidR="00840A28" w:rsidRDefault="00840A28" w:rsidP="00840A28">
      <w:pPr>
        <w:pStyle w:val="Naslov2"/>
      </w:pPr>
      <w:r>
        <w:t>Spremembe Skupnega kadrovskega načrta organov državne uprave za leti 2025 in 2026, trajni prenos kvot med organi državne uprave in določitev minimalnih kvot za vrhunske športnike in trenerje</w:t>
      </w:r>
    </w:p>
    <w:p w14:paraId="5F13A741" w14:textId="77777777" w:rsidR="00840A28" w:rsidRDefault="00840A28" w:rsidP="00840A28">
      <w:r>
        <w:t xml:space="preserve">Vlada je sprejela sklep, da se v Skupnem kadrovskem načrtu (SKN) organov državne uprave za leti 2025 in 2026 določi minimalna kvota za zaposlitev vrhunskih športnikov in trenerjev, in sicer se poveča število dovoljenih zaposlitev na 21 pri Ministrstvu za finance (Finančni upravi), 59 pri Ministrstvu za notranje zadeve (Policiji) in 103 pri Ministrstvu za obrambo (Slovenski vojski). </w:t>
      </w:r>
    </w:p>
    <w:p w14:paraId="100461B3" w14:textId="77777777" w:rsidR="00840A28" w:rsidRDefault="00840A28" w:rsidP="00840A28"/>
    <w:p w14:paraId="1324D7E3" w14:textId="77777777" w:rsidR="00840A28" w:rsidRDefault="00840A28" w:rsidP="00840A28">
      <w:r>
        <w:t>Poleg tega se SKN spremeni tako, da se v okviru dovoljenih zaposlitev po ena kvota iz Ministrstva za kmetijstvo, gozdarstvo in prehrano ter iz Ministrstva za infrastrukturo prenese na Ministrstvo za naravne vire in prostor.</w:t>
      </w:r>
    </w:p>
    <w:p w14:paraId="077ADA5D" w14:textId="77777777" w:rsidR="00840A28" w:rsidRDefault="00840A28" w:rsidP="00840A28"/>
    <w:p w14:paraId="0F17CC6C" w14:textId="77777777" w:rsidR="00840A28" w:rsidRDefault="00840A28" w:rsidP="00840A28">
      <w:r>
        <w:t>Sredstva za prenose kvot in sredstva za minimalne kvote za zaposlitev vrhunskih športnikov in trenerjev zagotovijo omenjeni proračunski uporabniki v okviru sredstev za stroške dela v svojih finančnih načrtih ali z medsebojno prerazporeditvijo sredstev za stroške dela v svojih finančnih načrtih. Skupno število dovoljenih zaposlitev v SKN ostaja nespremenjeno, saj se kvote prerazporejajo oziroma zapolnjujejo znotraj sprejetega SKN za leti 2025 in 2026.</w:t>
      </w:r>
    </w:p>
    <w:p w14:paraId="2DF856F3" w14:textId="1F0A0C46" w:rsidR="009C59CF" w:rsidRDefault="00840A28" w:rsidP="00840A28">
      <w:pPr>
        <w:pStyle w:val="Vir"/>
      </w:pPr>
      <w:r>
        <w:t>Vir: Ministrstvo za javno upravo</w:t>
      </w:r>
    </w:p>
    <w:p w14:paraId="7B1B568E" w14:textId="1E90BCF5" w:rsidR="008341AB" w:rsidRPr="009A4D04" w:rsidRDefault="008341AB" w:rsidP="008341AB">
      <w:pPr>
        <w:pStyle w:val="podpisi"/>
        <w:spacing w:line="312" w:lineRule="auto"/>
        <w:jc w:val="both"/>
        <w:rPr>
          <w:b/>
          <w:bCs/>
          <w:szCs w:val="20"/>
          <w:lang w:val="sl-SI"/>
        </w:rPr>
      </w:pPr>
      <w:r>
        <w:rPr>
          <w:b/>
          <w:bCs/>
          <w:szCs w:val="20"/>
          <w:lang w:val="sl-SI"/>
        </w:rPr>
        <w:t>I</w:t>
      </w:r>
      <w:r w:rsidRPr="009A4D04">
        <w:rPr>
          <w:b/>
          <w:bCs/>
          <w:szCs w:val="20"/>
          <w:lang w:val="sl-SI"/>
        </w:rPr>
        <w:t>menovanje generalnega komisarja ter namestnice Republike Slovenije za Expo 2025 Osaka</w:t>
      </w:r>
    </w:p>
    <w:p w14:paraId="62D482A4" w14:textId="77777777" w:rsidR="008341AB" w:rsidRPr="009A4D04" w:rsidRDefault="008341AB" w:rsidP="008341AB">
      <w:pPr>
        <w:pStyle w:val="podpisi"/>
        <w:spacing w:line="312" w:lineRule="auto"/>
        <w:jc w:val="both"/>
        <w:rPr>
          <w:szCs w:val="20"/>
          <w:lang w:val="sl-SI"/>
        </w:rPr>
      </w:pPr>
    </w:p>
    <w:p w14:paraId="0DA4AD91" w14:textId="77777777" w:rsidR="008341AB" w:rsidRPr="009A4D04" w:rsidRDefault="008341AB" w:rsidP="008341AB">
      <w:pPr>
        <w:pStyle w:val="podpisi"/>
        <w:spacing w:line="312" w:lineRule="auto"/>
        <w:jc w:val="both"/>
        <w:rPr>
          <w:szCs w:val="20"/>
          <w:lang w:val="sl-SI"/>
        </w:rPr>
      </w:pPr>
      <w:r w:rsidRPr="009A4D04">
        <w:rPr>
          <w:szCs w:val="20"/>
          <w:lang w:val="sl-SI"/>
        </w:rPr>
        <w:t xml:space="preserve">Vlada je sprejela sklep, s katerim je Sašo Leban razrešila z mesta generalne komisarke ter imenovala Jurija Riflja za generalnega komisarja in </w:t>
      </w:r>
      <w:proofErr w:type="gramStart"/>
      <w:r w:rsidRPr="009A4D04">
        <w:rPr>
          <w:szCs w:val="20"/>
          <w:lang w:val="sl-SI"/>
        </w:rPr>
        <w:t>Petro</w:t>
      </w:r>
      <w:proofErr w:type="gramEnd"/>
      <w:r w:rsidRPr="009A4D04">
        <w:rPr>
          <w:szCs w:val="20"/>
          <w:lang w:val="sl-SI"/>
        </w:rPr>
        <w:t xml:space="preserve"> Tolja za namestnico generalnega komisarja Republike Slovenije za mednarodno razstavo »EXPO 2025 Osaka«.</w:t>
      </w:r>
    </w:p>
    <w:p w14:paraId="01A33AF1" w14:textId="77777777" w:rsidR="008341AB" w:rsidRPr="009A4D04" w:rsidRDefault="008341AB" w:rsidP="008341AB">
      <w:pPr>
        <w:pStyle w:val="podpisi"/>
        <w:spacing w:line="312" w:lineRule="auto"/>
        <w:jc w:val="both"/>
        <w:rPr>
          <w:szCs w:val="20"/>
          <w:lang w:val="sl-SI"/>
        </w:rPr>
      </w:pPr>
    </w:p>
    <w:p w14:paraId="6E18E9EB" w14:textId="77777777" w:rsidR="008341AB" w:rsidRDefault="008341AB" w:rsidP="008341AB">
      <w:pPr>
        <w:pStyle w:val="podpisi"/>
        <w:spacing w:line="312" w:lineRule="auto"/>
        <w:jc w:val="both"/>
        <w:rPr>
          <w:szCs w:val="20"/>
          <w:lang w:val="sl-SI"/>
        </w:rPr>
      </w:pPr>
      <w:r w:rsidRPr="009A4D04">
        <w:rPr>
          <w:szCs w:val="20"/>
          <w:lang w:val="sl-SI"/>
        </w:rPr>
        <w:t xml:space="preserve">Ministrstvo za gospodarstvo, turizem in šport je vladi predlagalo imenovanje Jurija Riflja, veleposlanika Republike Slovenije na Japonskem, za novega generalnega komisarja za mednarodno razstavo »EXPO 2025 Osaka«. Rifelj ima dolgoletne diplomatske izkušnje, osredotočene na krepitev bilateralnih odnosov med Slovenijo in Japonsko ter širitev sodelovanja na različnih področjih. V svoji karieri je sodeloval pri številnih družbenih in humanitarnih projektih ter </w:t>
      </w:r>
      <w:proofErr w:type="gramStart"/>
      <w:r w:rsidRPr="009A4D04">
        <w:rPr>
          <w:szCs w:val="20"/>
          <w:lang w:val="sl-SI"/>
        </w:rPr>
        <w:t>izpostavljal</w:t>
      </w:r>
      <w:proofErr w:type="gramEnd"/>
      <w:r w:rsidRPr="009A4D04">
        <w:rPr>
          <w:szCs w:val="20"/>
          <w:lang w:val="sl-SI"/>
        </w:rPr>
        <w:t xml:space="preserve"> pomen vključevanja in podpore ranljivim skupinam v družbi.</w:t>
      </w:r>
    </w:p>
    <w:p w14:paraId="4CD2C951" w14:textId="77777777" w:rsidR="008341AB" w:rsidRPr="009A4D04" w:rsidRDefault="008341AB" w:rsidP="008341AB">
      <w:pPr>
        <w:pStyle w:val="podpisi"/>
        <w:spacing w:line="312" w:lineRule="auto"/>
        <w:jc w:val="both"/>
        <w:rPr>
          <w:szCs w:val="20"/>
          <w:lang w:val="sl-SI"/>
        </w:rPr>
      </w:pPr>
    </w:p>
    <w:p w14:paraId="4D8211D9" w14:textId="77777777" w:rsidR="008341AB" w:rsidRDefault="008341AB" w:rsidP="008341AB">
      <w:pPr>
        <w:pStyle w:val="podpisi"/>
        <w:spacing w:line="312" w:lineRule="auto"/>
        <w:jc w:val="both"/>
        <w:rPr>
          <w:szCs w:val="20"/>
          <w:lang w:val="sl-SI"/>
        </w:rPr>
      </w:pPr>
      <w:r w:rsidRPr="009A4D04">
        <w:rPr>
          <w:szCs w:val="20"/>
          <w:lang w:val="sl-SI"/>
        </w:rPr>
        <w:t xml:space="preserve">Za namestnico generalnega komisarja je vladi predlagana Petra Tolja, dosedanja namestnica direktorja in vodja protokola, logistike ter dogodkov na slovenskem paviljonu. Njena naloga bo nadomeščanje generalnega komisarja v času odsotnosti ter skrb za nemoten potek projekta, koordinacijo dogodkov in izvajanje nalog, povezanih z organizacijo, logistiko in promocijo slovenske predstavitve na razstavi. Petra Tolja že zdaj učinkovito podpira slovensko predstavitev, ki se na Expu predstavlja kot zelena in digitalna država s poudarkom na trajnostnih rešitvah, pametnih mestih, krožnem gospodarstvu in tehnoloških inovacijah, pri čemer </w:t>
      </w:r>
      <w:proofErr w:type="gramStart"/>
      <w:r w:rsidRPr="009A4D04">
        <w:rPr>
          <w:szCs w:val="20"/>
          <w:lang w:val="sl-SI"/>
        </w:rPr>
        <w:t>koristi</w:t>
      </w:r>
      <w:proofErr w:type="gramEnd"/>
      <w:r w:rsidRPr="009A4D04">
        <w:rPr>
          <w:szCs w:val="20"/>
          <w:lang w:val="sl-SI"/>
        </w:rPr>
        <w:t xml:space="preserve"> svoje bogate izkušnje s področja turizma, logistike in protokola.</w:t>
      </w:r>
    </w:p>
    <w:p w14:paraId="11F3A17A" w14:textId="77777777" w:rsidR="008341AB" w:rsidRPr="009A4D04" w:rsidRDefault="008341AB" w:rsidP="008341AB">
      <w:pPr>
        <w:pStyle w:val="podpisi"/>
        <w:spacing w:line="312" w:lineRule="auto"/>
        <w:jc w:val="both"/>
        <w:rPr>
          <w:szCs w:val="20"/>
          <w:lang w:val="sl-SI"/>
        </w:rPr>
      </w:pPr>
    </w:p>
    <w:p w14:paraId="4A869186" w14:textId="77777777" w:rsidR="008341AB" w:rsidRPr="009A4D04" w:rsidRDefault="008341AB" w:rsidP="008341AB">
      <w:pPr>
        <w:pStyle w:val="podpisi"/>
        <w:spacing w:line="312" w:lineRule="auto"/>
        <w:jc w:val="both"/>
        <w:rPr>
          <w:szCs w:val="20"/>
          <w:lang w:val="sl-SI"/>
        </w:rPr>
      </w:pPr>
      <w:r w:rsidRPr="009A4D04">
        <w:rPr>
          <w:szCs w:val="20"/>
          <w:lang w:val="sl-SI"/>
        </w:rPr>
        <w:lastRenderedPageBreak/>
        <w:t>S predlaganimi kadrovskimi spremembami vlada zagotavlja strokovno, učinkovito in nemoteno pripravo ter izvedbo slovenske predstavitve na Expo 2025 Osaka, s poudarkom na trajnostnem razvoju, inovacijah in mednarodni prepoznavnosti Slovenije.</w:t>
      </w:r>
    </w:p>
    <w:p w14:paraId="639080F6" w14:textId="77777777" w:rsidR="008341AB" w:rsidRDefault="008341AB" w:rsidP="008341AB">
      <w:pPr>
        <w:pStyle w:val="Vir"/>
      </w:pPr>
      <w:r w:rsidRPr="001739A2">
        <w:t>Vir: Ministrstvo za gospodarstvo, turizem in šport</w:t>
      </w:r>
    </w:p>
    <w:p w14:paraId="39B05A80" w14:textId="77777777" w:rsidR="008341AB" w:rsidRDefault="008341AB" w:rsidP="008341AB">
      <w:pPr>
        <w:pStyle w:val="podpisi"/>
        <w:spacing w:line="312" w:lineRule="auto"/>
        <w:jc w:val="both"/>
        <w:rPr>
          <w:rFonts w:cs="Arial"/>
          <w:szCs w:val="20"/>
          <w:lang w:val="sl-SI"/>
        </w:rPr>
      </w:pPr>
    </w:p>
    <w:p w14:paraId="3D8CA104" w14:textId="77777777" w:rsidR="008341AB" w:rsidRDefault="008341AB" w:rsidP="008341AB">
      <w:pPr>
        <w:pStyle w:val="podpisi"/>
        <w:spacing w:line="312" w:lineRule="auto"/>
        <w:jc w:val="both"/>
        <w:rPr>
          <w:rFonts w:cs="Arial"/>
          <w:szCs w:val="20"/>
          <w:lang w:val="sl-SI"/>
        </w:rPr>
      </w:pPr>
    </w:p>
    <w:p w14:paraId="5709D8FD" w14:textId="77777777" w:rsidR="008341AB" w:rsidRPr="000877C5" w:rsidRDefault="008341AB" w:rsidP="008341AB">
      <w:pPr>
        <w:spacing w:line="240" w:lineRule="auto"/>
        <w:jc w:val="both"/>
        <w:rPr>
          <w:iCs/>
          <w:szCs w:val="20"/>
        </w:rPr>
      </w:pPr>
    </w:p>
    <w:p w14:paraId="2FD64724" w14:textId="77777777" w:rsidR="008341AB" w:rsidRPr="000877C5" w:rsidRDefault="008341AB" w:rsidP="008341AB">
      <w:pPr>
        <w:spacing w:line="240" w:lineRule="auto"/>
        <w:jc w:val="both"/>
        <w:rPr>
          <w:rFonts w:cs="Arial"/>
          <w:szCs w:val="20"/>
        </w:rPr>
      </w:pPr>
    </w:p>
    <w:p w14:paraId="4A73F2C4" w14:textId="77777777" w:rsidR="008341AB" w:rsidRPr="001739A2" w:rsidRDefault="008341AB" w:rsidP="008341AB">
      <w:pPr>
        <w:pStyle w:val="podpisi"/>
        <w:spacing w:line="312" w:lineRule="auto"/>
        <w:jc w:val="both"/>
        <w:rPr>
          <w:rFonts w:cs="Arial"/>
          <w:color w:val="A6A6A6" w:themeColor="background1" w:themeShade="A6"/>
          <w:szCs w:val="20"/>
          <w:lang w:val="sl-SI"/>
        </w:rPr>
      </w:pPr>
    </w:p>
    <w:p w14:paraId="693A42A3" w14:textId="77777777" w:rsidR="008341AB" w:rsidRPr="008341AB" w:rsidRDefault="008341AB" w:rsidP="008341AB"/>
    <w:p w14:paraId="26DDB4E5" w14:textId="77777777" w:rsidR="009C59CF" w:rsidRDefault="009C59CF" w:rsidP="009C59CF"/>
    <w:p w14:paraId="22717F13" w14:textId="77777777" w:rsidR="009C59CF" w:rsidRDefault="009C59CF" w:rsidP="009C59CF"/>
    <w:p w14:paraId="53AE2932" w14:textId="77777777" w:rsidR="009C59CF" w:rsidRDefault="009C59CF" w:rsidP="009C59CF"/>
    <w:p w14:paraId="563C18C2" w14:textId="77777777" w:rsidR="009C59CF" w:rsidRPr="009C59CF" w:rsidRDefault="009C59CF" w:rsidP="009C59CF"/>
    <w:p w14:paraId="69DDD4B5" w14:textId="77777777" w:rsidR="006F29FA" w:rsidRDefault="006F29FA" w:rsidP="006F29FA"/>
    <w:p w14:paraId="7E505CB3" w14:textId="77777777" w:rsidR="006F29FA" w:rsidRPr="006F29FA" w:rsidRDefault="006F29FA" w:rsidP="006F29FA"/>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144809"/>
    <w:multiLevelType w:val="hybridMultilevel"/>
    <w:tmpl w:val="9EDA97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D5961"/>
    <w:multiLevelType w:val="hybridMultilevel"/>
    <w:tmpl w:val="E1528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483325"/>
    <w:multiLevelType w:val="hybridMultilevel"/>
    <w:tmpl w:val="6C068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E71982"/>
    <w:multiLevelType w:val="hybridMultilevel"/>
    <w:tmpl w:val="88BE4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312897"/>
    <w:multiLevelType w:val="hybridMultilevel"/>
    <w:tmpl w:val="D0306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2"/>
  </w:num>
  <w:num w:numId="2" w16cid:durableId="984821814">
    <w:abstractNumId w:val="8"/>
  </w:num>
  <w:num w:numId="3" w16cid:durableId="150218247">
    <w:abstractNumId w:val="0"/>
  </w:num>
  <w:num w:numId="4" w16cid:durableId="1026903286">
    <w:abstractNumId w:val="9"/>
  </w:num>
  <w:num w:numId="5" w16cid:durableId="231817878">
    <w:abstractNumId w:val="4"/>
  </w:num>
  <w:num w:numId="6" w16cid:durableId="2110814889">
    <w:abstractNumId w:val="13"/>
  </w:num>
  <w:num w:numId="7" w16cid:durableId="695153758">
    <w:abstractNumId w:val="5"/>
  </w:num>
  <w:num w:numId="8" w16cid:durableId="853298866">
    <w:abstractNumId w:val="7"/>
  </w:num>
  <w:num w:numId="9" w16cid:durableId="1789348953">
    <w:abstractNumId w:val="3"/>
  </w:num>
  <w:num w:numId="10" w16cid:durableId="2125030985">
    <w:abstractNumId w:val="10"/>
  </w:num>
  <w:num w:numId="11" w16cid:durableId="734275472">
    <w:abstractNumId w:val="1"/>
  </w:num>
  <w:num w:numId="12" w16cid:durableId="1127091927">
    <w:abstractNumId w:val="2"/>
  </w:num>
  <w:num w:numId="13" w16cid:durableId="1909609790">
    <w:abstractNumId w:val="11"/>
  </w:num>
  <w:num w:numId="14" w16cid:durableId="252788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5BCD"/>
    <w:rsid w:val="00025B72"/>
    <w:rsid w:val="000318E4"/>
    <w:rsid w:val="00050A56"/>
    <w:rsid w:val="00076DF7"/>
    <w:rsid w:val="00085D04"/>
    <w:rsid w:val="00087069"/>
    <w:rsid w:val="00087A14"/>
    <w:rsid w:val="00094EF7"/>
    <w:rsid w:val="00097B85"/>
    <w:rsid w:val="000B2135"/>
    <w:rsid w:val="000D5520"/>
    <w:rsid w:val="000E0657"/>
    <w:rsid w:val="00104534"/>
    <w:rsid w:val="00110B8F"/>
    <w:rsid w:val="0013016C"/>
    <w:rsid w:val="001602C9"/>
    <w:rsid w:val="0016530C"/>
    <w:rsid w:val="001673A5"/>
    <w:rsid w:val="00173343"/>
    <w:rsid w:val="00194211"/>
    <w:rsid w:val="001B01DD"/>
    <w:rsid w:val="001B42F9"/>
    <w:rsid w:val="001C3560"/>
    <w:rsid w:val="001C4660"/>
    <w:rsid w:val="001F51BC"/>
    <w:rsid w:val="001F7F63"/>
    <w:rsid w:val="00203F5F"/>
    <w:rsid w:val="00215140"/>
    <w:rsid w:val="00220CDD"/>
    <w:rsid w:val="00231021"/>
    <w:rsid w:val="002501CE"/>
    <w:rsid w:val="00271886"/>
    <w:rsid w:val="002C1CE2"/>
    <w:rsid w:val="002C36A6"/>
    <w:rsid w:val="002C7396"/>
    <w:rsid w:val="002D5B5D"/>
    <w:rsid w:val="002F3BE7"/>
    <w:rsid w:val="0032428F"/>
    <w:rsid w:val="00346E22"/>
    <w:rsid w:val="00351E1E"/>
    <w:rsid w:val="00357DC0"/>
    <w:rsid w:val="00361255"/>
    <w:rsid w:val="00381018"/>
    <w:rsid w:val="003847C8"/>
    <w:rsid w:val="003877EB"/>
    <w:rsid w:val="00390DF7"/>
    <w:rsid w:val="0039662C"/>
    <w:rsid w:val="003D64D8"/>
    <w:rsid w:val="003E17B6"/>
    <w:rsid w:val="003E6170"/>
    <w:rsid w:val="003F4CC5"/>
    <w:rsid w:val="0040756F"/>
    <w:rsid w:val="00415527"/>
    <w:rsid w:val="00415A2B"/>
    <w:rsid w:val="00432937"/>
    <w:rsid w:val="004403EC"/>
    <w:rsid w:val="00447B57"/>
    <w:rsid w:val="00455B63"/>
    <w:rsid w:val="00460370"/>
    <w:rsid w:val="00472762"/>
    <w:rsid w:val="0049442F"/>
    <w:rsid w:val="004A7CAD"/>
    <w:rsid w:val="004B4753"/>
    <w:rsid w:val="004B7346"/>
    <w:rsid w:val="00514121"/>
    <w:rsid w:val="00522637"/>
    <w:rsid w:val="0052703F"/>
    <w:rsid w:val="00527867"/>
    <w:rsid w:val="00527AA5"/>
    <w:rsid w:val="005314D7"/>
    <w:rsid w:val="005515BD"/>
    <w:rsid w:val="00564D99"/>
    <w:rsid w:val="00577EEE"/>
    <w:rsid w:val="0059143B"/>
    <w:rsid w:val="005A570D"/>
    <w:rsid w:val="005B5886"/>
    <w:rsid w:val="005C1523"/>
    <w:rsid w:val="005C5CA1"/>
    <w:rsid w:val="005D46A9"/>
    <w:rsid w:val="005E1ABB"/>
    <w:rsid w:val="00614FFD"/>
    <w:rsid w:val="006274BB"/>
    <w:rsid w:val="00633524"/>
    <w:rsid w:val="00634617"/>
    <w:rsid w:val="00634EFA"/>
    <w:rsid w:val="00635D43"/>
    <w:rsid w:val="0066249C"/>
    <w:rsid w:val="0067375D"/>
    <w:rsid w:val="00681800"/>
    <w:rsid w:val="00695F35"/>
    <w:rsid w:val="006A7333"/>
    <w:rsid w:val="006C1B31"/>
    <w:rsid w:val="006F29FA"/>
    <w:rsid w:val="0070324C"/>
    <w:rsid w:val="007120FD"/>
    <w:rsid w:val="007130E1"/>
    <w:rsid w:val="00715C52"/>
    <w:rsid w:val="00717E59"/>
    <w:rsid w:val="0073796B"/>
    <w:rsid w:val="00750D01"/>
    <w:rsid w:val="007643A0"/>
    <w:rsid w:val="007669A3"/>
    <w:rsid w:val="00781345"/>
    <w:rsid w:val="00784E57"/>
    <w:rsid w:val="007A6460"/>
    <w:rsid w:val="007B0ADD"/>
    <w:rsid w:val="007B62C9"/>
    <w:rsid w:val="007C21FB"/>
    <w:rsid w:val="007E198F"/>
    <w:rsid w:val="007F5D6B"/>
    <w:rsid w:val="007F6EF7"/>
    <w:rsid w:val="00821161"/>
    <w:rsid w:val="00821ECC"/>
    <w:rsid w:val="008244C0"/>
    <w:rsid w:val="008336E7"/>
    <w:rsid w:val="008341AB"/>
    <w:rsid w:val="00836E94"/>
    <w:rsid w:val="00840A28"/>
    <w:rsid w:val="00847AD3"/>
    <w:rsid w:val="0086083B"/>
    <w:rsid w:val="008624E8"/>
    <w:rsid w:val="008852E3"/>
    <w:rsid w:val="008B6738"/>
    <w:rsid w:val="008B7AF2"/>
    <w:rsid w:val="008C4231"/>
    <w:rsid w:val="008D49BD"/>
    <w:rsid w:val="008F289D"/>
    <w:rsid w:val="009007DB"/>
    <w:rsid w:val="00905C96"/>
    <w:rsid w:val="009174DA"/>
    <w:rsid w:val="00933061"/>
    <w:rsid w:val="00933087"/>
    <w:rsid w:val="00943462"/>
    <w:rsid w:val="009447D9"/>
    <w:rsid w:val="00945B27"/>
    <w:rsid w:val="00953370"/>
    <w:rsid w:val="009540E4"/>
    <w:rsid w:val="009649E4"/>
    <w:rsid w:val="00974186"/>
    <w:rsid w:val="00983241"/>
    <w:rsid w:val="009900DE"/>
    <w:rsid w:val="009940AA"/>
    <w:rsid w:val="009A2982"/>
    <w:rsid w:val="009A41AA"/>
    <w:rsid w:val="009C2C98"/>
    <w:rsid w:val="009C2D77"/>
    <w:rsid w:val="009C562E"/>
    <w:rsid w:val="009C59CF"/>
    <w:rsid w:val="009D10D1"/>
    <w:rsid w:val="009D4860"/>
    <w:rsid w:val="00A06971"/>
    <w:rsid w:val="00A12DC9"/>
    <w:rsid w:val="00A30052"/>
    <w:rsid w:val="00A34FC4"/>
    <w:rsid w:val="00A445DF"/>
    <w:rsid w:val="00A5415F"/>
    <w:rsid w:val="00A60A37"/>
    <w:rsid w:val="00A60FBF"/>
    <w:rsid w:val="00A67305"/>
    <w:rsid w:val="00A7412B"/>
    <w:rsid w:val="00AA459B"/>
    <w:rsid w:val="00AB1DC2"/>
    <w:rsid w:val="00AB743D"/>
    <w:rsid w:val="00AD1AFD"/>
    <w:rsid w:val="00AE6CD6"/>
    <w:rsid w:val="00AF5FC8"/>
    <w:rsid w:val="00B022E5"/>
    <w:rsid w:val="00B10791"/>
    <w:rsid w:val="00B20FF7"/>
    <w:rsid w:val="00B333E1"/>
    <w:rsid w:val="00B47F61"/>
    <w:rsid w:val="00B60F58"/>
    <w:rsid w:val="00B70F5B"/>
    <w:rsid w:val="00B753A8"/>
    <w:rsid w:val="00B84862"/>
    <w:rsid w:val="00BA743D"/>
    <w:rsid w:val="00BB1111"/>
    <w:rsid w:val="00BB2AF4"/>
    <w:rsid w:val="00BB73C0"/>
    <w:rsid w:val="00BE5AA3"/>
    <w:rsid w:val="00BE5C43"/>
    <w:rsid w:val="00C05A83"/>
    <w:rsid w:val="00C25343"/>
    <w:rsid w:val="00C3152B"/>
    <w:rsid w:val="00C354D9"/>
    <w:rsid w:val="00C365A8"/>
    <w:rsid w:val="00C458C2"/>
    <w:rsid w:val="00C47B56"/>
    <w:rsid w:val="00C666AC"/>
    <w:rsid w:val="00C81F28"/>
    <w:rsid w:val="00C97F7B"/>
    <w:rsid w:val="00CA5624"/>
    <w:rsid w:val="00CB091A"/>
    <w:rsid w:val="00CC3123"/>
    <w:rsid w:val="00CC37B3"/>
    <w:rsid w:val="00CE50C8"/>
    <w:rsid w:val="00D10EB4"/>
    <w:rsid w:val="00D14EEC"/>
    <w:rsid w:val="00D22282"/>
    <w:rsid w:val="00D52149"/>
    <w:rsid w:val="00D60A92"/>
    <w:rsid w:val="00D650E2"/>
    <w:rsid w:val="00D7373E"/>
    <w:rsid w:val="00D9208E"/>
    <w:rsid w:val="00D95BC6"/>
    <w:rsid w:val="00D966FF"/>
    <w:rsid w:val="00DA3B4D"/>
    <w:rsid w:val="00DA5C0D"/>
    <w:rsid w:val="00DE199D"/>
    <w:rsid w:val="00DE1B54"/>
    <w:rsid w:val="00DE27BA"/>
    <w:rsid w:val="00E02AB3"/>
    <w:rsid w:val="00E05EEE"/>
    <w:rsid w:val="00E14AAE"/>
    <w:rsid w:val="00E2036F"/>
    <w:rsid w:val="00E3207D"/>
    <w:rsid w:val="00E3507E"/>
    <w:rsid w:val="00E7132A"/>
    <w:rsid w:val="00E752D5"/>
    <w:rsid w:val="00E83E60"/>
    <w:rsid w:val="00E86C78"/>
    <w:rsid w:val="00E948BD"/>
    <w:rsid w:val="00E95F6C"/>
    <w:rsid w:val="00EC012E"/>
    <w:rsid w:val="00EE35F8"/>
    <w:rsid w:val="00EF1263"/>
    <w:rsid w:val="00F01966"/>
    <w:rsid w:val="00F20884"/>
    <w:rsid w:val="00F21123"/>
    <w:rsid w:val="00F21419"/>
    <w:rsid w:val="00F21BAD"/>
    <w:rsid w:val="00F23144"/>
    <w:rsid w:val="00F462C7"/>
    <w:rsid w:val="00F7708A"/>
    <w:rsid w:val="00F93A56"/>
    <w:rsid w:val="00FA792D"/>
    <w:rsid w:val="00FC2D38"/>
    <w:rsid w:val="00FD6F18"/>
    <w:rsid w:val="00FE5604"/>
    <w:rsid w:val="00FF4D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BE5AA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customStyle="1" w:styleId="Naslov3Znak">
    <w:name w:val="Naslov 3 Znak"/>
    <w:basedOn w:val="Privzetapisavaodstavka"/>
    <w:link w:val="Naslov3"/>
    <w:uiPriority w:val="9"/>
    <w:rsid w:val="00BE5AA3"/>
    <w:rPr>
      <w:rFonts w:asciiTheme="majorHAnsi" w:eastAsiaTheme="majorEastAsia" w:hAnsiTheme="majorHAnsi" w:cstheme="majorBidi"/>
      <w:color w:val="1F3763" w:themeColor="accent1" w:themeShade="7F"/>
      <w:sz w:val="24"/>
      <w:szCs w:val="24"/>
    </w:rPr>
  </w:style>
  <w:style w:type="paragraph" w:customStyle="1" w:styleId="podpisi">
    <w:name w:val="podpisi"/>
    <w:basedOn w:val="Navaden"/>
    <w:qFormat/>
    <w:rsid w:val="008341AB"/>
    <w:pPr>
      <w:tabs>
        <w:tab w:val="left" w:pos="3402"/>
      </w:tabs>
      <w:suppressAutoHyphens/>
      <w:autoSpaceDN w:val="0"/>
      <w:textAlignment w:val="baseline"/>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3.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6833</Words>
  <Characters>38950</Characters>
  <Application>Microsoft Office Word</Application>
  <DocSecurity>0</DocSecurity>
  <Lines>324</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2025-09-09T12:58:00Z</dcterms:created>
  <dcterms:modified xsi:type="dcterms:W3CDTF">2025-09-11T13:35:00Z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