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1B00A973" w:rsidR="0073796B" w:rsidRPr="0039662C" w:rsidRDefault="00D10EB4" w:rsidP="0039662C">
      <w:pPr>
        <w:pStyle w:val="Naslov1"/>
      </w:pPr>
      <w:r>
        <w:t>1</w:t>
      </w:r>
      <w:r w:rsidR="00087A14">
        <w:t>6</w:t>
      </w:r>
      <w:r w:rsidR="006F29FA">
        <w:t>6</w:t>
      </w:r>
      <w:r w:rsidR="0073796B" w:rsidRPr="0039662C">
        <w:t>. redna seja Vlade Republike Slovenije</w:t>
      </w:r>
    </w:p>
    <w:p w14:paraId="27F30B92" w14:textId="7E66A76C" w:rsidR="0073796B" w:rsidRDefault="006F29FA" w:rsidP="008B7AF2">
      <w:pPr>
        <w:pStyle w:val="DatumSZJ"/>
      </w:pPr>
      <w:r>
        <w:t>4</w:t>
      </w:r>
      <w:r w:rsidR="00D10EB4">
        <w:t>.</w:t>
      </w:r>
      <w:r w:rsidR="0073796B" w:rsidRPr="008B7AF2">
        <w:t xml:space="preserve"> </w:t>
      </w:r>
      <w:r>
        <w:t>september</w:t>
      </w:r>
      <w:r w:rsidR="00DA3B4D">
        <w:t xml:space="preserve"> </w:t>
      </w:r>
      <w:r w:rsidR="0073796B" w:rsidRPr="008B7AF2">
        <w:t>202</w:t>
      </w:r>
      <w:r w:rsidR="00F21123">
        <w:t>5</w:t>
      </w:r>
    </w:p>
    <w:p w14:paraId="5EDE8458" w14:textId="30AE273D" w:rsidR="00DC2E55" w:rsidRDefault="00104256" w:rsidP="00C405D6">
      <w:pPr>
        <w:pStyle w:val="Naslov2"/>
      </w:pPr>
      <w:r>
        <w:t>Vlada sprejela novelo U</w:t>
      </w:r>
      <w:r w:rsidR="00DC2E55">
        <w:t>redbe o varnostnem preverjanju in izdaji dovoljenj za dostop do tajnih podatkov</w:t>
      </w:r>
    </w:p>
    <w:p w14:paraId="0C54143A" w14:textId="77777777" w:rsidR="00104256" w:rsidRPr="00104256" w:rsidRDefault="00104256" w:rsidP="00104256">
      <w:r w:rsidRPr="00104256">
        <w:t xml:space="preserve">Odločitev za spremembe in dopolnitve Uredbe o varnostnem preverjanju in izdaji dovoljenj za dostop do tajnih podatkov je bila sprejeta zaradi določenih izvedbenih vprašanj, ki so se pojavila v praksi. Kot prvo se je pokazala potreba po izvajanju osnovnega in dodatnega usposabljanja s področja tajnih podatkov tudi s strani javnih uslužbencev Urada za varovanje tajnih podatkov in ne le preko spletne učilnice slednjega. Nadalje so potrebne določene spremembe v obrazcih, ki so priloga in sestavni del Uredba o varnostnem preverjanju in izdaji dovoljenj za dostop do tajnih podatkov, in sicer zaradi prehoda na elektronsko vročanje v skladu z Zakonom o debirokratizaciji, na podlagi katerega ni več potrebe po varnem elektronskem predalu. </w:t>
      </w:r>
    </w:p>
    <w:p w14:paraId="4BF1345D" w14:textId="4481B179" w:rsidR="00104256" w:rsidRDefault="00104256" w:rsidP="00104256">
      <w:pPr>
        <w:pStyle w:val="Vir"/>
      </w:pPr>
      <w:r w:rsidRPr="00104256">
        <w:t>Vir: Urad vlade za varovanje tajnih podatkov</w:t>
      </w:r>
    </w:p>
    <w:p w14:paraId="60C24CF6" w14:textId="11CF9E94" w:rsidR="00915757" w:rsidRDefault="00915757" w:rsidP="00915757">
      <w:pPr>
        <w:pStyle w:val="Naslov2"/>
      </w:pPr>
      <w:r>
        <w:t xml:space="preserve">Vlada izdala odlok o finančni pomoči zaradi pozebe leta 2024 </w:t>
      </w:r>
    </w:p>
    <w:p w14:paraId="7EB82A3D" w14:textId="77777777" w:rsidR="00915757" w:rsidRDefault="00915757" w:rsidP="00915757">
      <w:r>
        <w:t>Vlada je izdala Odlok o finančni pomoči za nadomestilo izpada dohodka v kmetijski proizvodnji zaradi pozebe leta 2024. Sredstva v višini 2,9 milijona evrov se v letu 2025 zagotovijo iz Evropskega kmetijskega jamstvenega sklada.</w:t>
      </w:r>
    </w:p>
    <w:p w14:paraId="7A3959B2" w14:textId="77777777" w:rsidR="00915757" w:rsidRDefault="00915757" w:rsidP="00915757"/>
    <w:p w14:paraId="05330578" w14:textId="0ACBDE08" w:rsidR="00915757" w:rsidRDefault="00915757" w:rsidP="00915757">
      <w:r>
        <w:t>Finančna pomoč se dodeli na podlagi podatkov iz ocene neposredne škode na trajnih nasadih zaradi posledic pozebe med 17. in 22. aprilom 2024, ki jo je vlada potrdila 20. februarja 2025. Finančna pomoč se dodeli za kmetijske pridelke, katerih proizvodnja je bila zaradi pozebe zmanjšana za najmanj 30 odstotkov običajne letne kmetijske proizvodnje.</w:t>
      </w:r>
    </w:p>
    <w:p w14:paraId="14BE563B" w14:textId="11656D31" w:rsidR="00DC2E55" w:rsidRDefault="00915757" w:rsidP="00915757">
      <w:pPr>
        <w:pStyle w:val="Vir"/>
      </w:pPr>
      <w:r>
        <w:t>Vir: Ministrstvo za kmetijstvo, gozdarstvo in prehrano</w:t>
      </w:r>
    </w:p>
    <w:p w14:paraId="382149C7" w14:textId="5A0D30FC" w:rsidR="00D32465" w:rsidRDefault="00D32465" w:rsidP="00D32465">
      <w:pPr>
        <w:pStyle w:val="Naslov2"/>
      </w:pPr>
      <w:r>
        <w:t xml:space="preserve">Vlada je izdala soglasje k pobudi Občine Šoštanj za načrtovanje v območju državnega prostorskega načrta za prenosni plinovod </w:t>
      </w:r>
    </w:p>
    <w:p w14:paraId="681C79CF" w14:textId="77777777" w:rsidR="00D32465" w:rsidRDefault="00D32465" w:rsidP="00D32465">
      <w:r>
        <w:t>Vlada Republike Slovenije je na današnji seji dala soglasje Občini Šoštanj, da začne s pripravo postopka lokacijske preveritve za zemljišče v bližini Termoelektrarne Šoštanj.</w:t>
      </w:r>
    </w:p>
    <w:p w14:paraId="2779F60F" w14:textId="77777777" w:rsidR="00D32465" w:rsidRDefault="00D32465" w:rsidP="00D32465"/>
    <w:p w14:paraId="0CE15A98" w14:textId="77777777" w:rsidR="00D32465" w:rsidRDefault="00D32465" w:rsidP="00D32465">
      <w:r>
        <w:t xml:space="preserve">Gre za območje državnega lokacijskega načrta za prenosni plinovod od Šentruperta do Termoelektrarne Šoštanj. Lokacijska preveritev bo omogočila, da se na zemljišču s </w:t>
      </w:r>
      <w:proofErr w:type="spellStart"/>
      <w:r>
        <w:t>parc</w:t>
      </w:r>
      <w:proofErr w:type="spellEnd"/>
      <w:r>
        <w:t>. št. 960/1 v katastrski občini Lokovica preverijo možnosti za drugačno rabo prostora oziroma prilagoditev obstoječim načrtom.</w:t>
      </w:r>
    </w:p>
    <w:p w14:paraId="3C5D3516" w14:textId="77777777" w:rsidR="00D32465" w:rsidRDefault="00D32465" w:rsidP="00D32465"/>
    <w:p w14:paraId="5ECA6BDA" w14:textId="471D2BE2" w:rsidR="00D32465" w:rsidRDefault="00D32465" w:rsidP="00D32465">
      <w:r>
        <w:t>Vlada na podlagi tretjega odstavka 89. člena ZUreP-3 ugotavlja, da so predlagane prostorske ureditve lokalnega pomena skladne z državnimi, zato so izpolnjeni pogoji za izdajo soglasja k pobudi.</w:t>
      </w:r>
    </w:p>
    <w:p w14:paraId="1FB8C9F0" w14:textId="16986264" w:rsidR="00DC2E55" w:rsidRDefault="00D32465" w:rsidP="00B2683F">
      <w:pPr>
        <w:pStyle w:val="Vir"/>
      </w:pPr>
      <w:r>
        <w:t>Vir: Ministrstvo za naravne vire in prostor</w:t>
      </w:r>
    </w:p>
    <w:p w14:paraId="747EE9A6" w14:textId="010ADFFA" w:rsidR="00C13004" w:rsidRDefault="00C13004" w:rsidP="00B2683F">
      <w:pPr>
        <w:pStyle w:val="Naslov2"/>
      </w:pPr>
      <w:r>
        <w:t>Odgovor vlade na priporočila Komisije za preprečevanje korupcije glede zmanjšanja stroškov službenih potovanj v tujino</w:t>
      </w:r>
    </w:p>
    <w:p w14:paraId="14460696" w14:textId="2924B2F9" w:rsidR="00C13004" w:rsidRDefault="00C13004" w:rsidP="00C13004">
      <w:r>
        <w:lastRenderedPageBreak/>
        <w:t>Vlada Republike Slovenije se je seznanila s priporočili Komisije za preprečevanje korupcije za zmanjšanje stroškov službenih potovanj v tujino ter sprejela odgovor na priporočila komisije.</w:t>
      </w:r>
    </w:p>
    <w:p w14:paraId="5D775825" w14:textId="77777777" w:rsidR="00C13004" w:rsidRDefault="00C13004" w:rsidP="00C13004"/>
    <w:p w14:paraId="467D715C" w14:textId="73BD0FDD" w:rsidR="00C13004" w:rsidRDefault="00C13004" w:rsidP="00C13004">
      <w:r>
        <w:t xml:space="preserve">Vlada v odgovoru pojasnjuje, da je na redni seji 3. julija 2025 sprejela ukrepe z namenom večje transparentnosti, boljšega ekonomskega učinka in optimizacije stroškov ravnanja z javnimi sredstvi. Vlada je organom javne uprave v zvezi z načrtovanjem in izvedbo službenih poti v tujino dala več priporočil. Med drugim glede številčnosti in sestave delegacij, nakupa letalskih kart, uporabe VIP storitev na letališčih, glede nastanitev, uporabe taksijev in javnega prevoza. Upoštevanje omenjenih priporočil je vlada predlagala tudi drugim državnim organom in lokalnim skupnostim. </w:t>
      </w:r>
    </w:p>
    <w:p w14:paraId="5572C22B" w14:textId="77777777" w:rsidR="00C13004" w:rsidRDefault="00C13004" w:rsidP="00C13004"/>
    <w:p w14:paraId="2E8FCD1B" w14:textId="1E2C82CC" w:rsidR="00C13004" w:rsidRDefault="00C13004" w:rsidP="00C13004">
      <w:r>
        <w:t>V odgovoru komisiji vlada še pojasnjuje, da bo v zvezi s povračilom stroškov za službena potovanja v tujino Ministrstvo za javno upravo pripravilo predlog uredbe, v kateri bodo urejene posamezne vsebine omenjenih priporočil.</w:t>
      </w:r>
    </w:p>
    <w:p w14:paraId="48F7B332" w14:textId="5DBC4459" w:rsidR="00DC2E55" w:rsidRDefault="00C13004" w:rsidP="00C13004">
      <w:pPr>
        <w:pStyle w:val="Vir"/>
      </w:pPr>
      <w:r>
        <w:t>Vir: Ministrstvo za javno upravo</w:t>
      </w:r>
    </w:p>
    <w:p w14:paraId="2EA75F75" w14:textId="63303B84" w:rsidR="002A6D07" w:rsidRDefault="002A6D07" w:rsidP="002A6D07">
      <w:pPr>
        <w:pStyle w:val="Naslov2"/>
      </w:pPr>
      <w:r>
        <w:t>Vlada se je seznanila s poročilom o delu ARIS za leto 2024</w:t>
      </w:r>
    </w:p>
    <w:p w14:paraId="0995A5A8" w14:textId="77777777" w:rsidR="002A6D07" w:rsidRDefault="002A6D07" w:rsidP="002A6D07">
      <w:r>
        <w:t>Vlada Republike Slovenije se je seznanila s Poročilom Ministrstva za visoko šolstvo, znanost in inovacije o opravljenem nadzoru nad zakonitostjo, učinkovitostjo in uspešnostjo dela Javne agencije za znanstvenoraziskovalno in inovacijsko dejavnost Republike Slovenije (ARIS) za leto 2024 ter nad delom direktorja ARIS.</w:t>
      </w:r>
    </w:p>
    <w:p w14:paraId="4D00C90A" w14:textId="77777777" w:rsidR="002A6D07" w:rsidRDefault="002A6D07" w:rsidP="002A6D07"/>
    <w:p w14:paraId="322D6883" w14:textId="77777777" w:rsidR="002A6D07" w:rsidRDefault="002A6D07" w:rsidP="002A6D07">
      <w:r>
        <w:t>ARIS je uresničil zastavljene cilje, kot so bili opredeljeni v programu dela za leto 2024. S tem je zagotovil stabilno in učinkovito izvajanje raziskovalne dejavnosti, kar pomembno prispeva k nemotenemu razvoju raziskovalnega in inovacijskega prostora v Sloveniji. Delovanje v letu 2024 priča o visoki ravni operativne zrelosti in institucionalne stabilnosti. Skupni rezultati kažejo na učinkovito, strokovno in strateško vodeno institucijo, ki uresničuje svojo vlogo osrednjega izvajalca nacionalne znanstvene in inovacijske politike z jasno usmeritvijo k dolgoročnemu razvoju slovenskega znanstvenoraziskovalnega in inovacijskega prostora.</w:t>
      </w:r>
    </w:p>
    <w:p w14:paraId="2D8821F9" w14:textId="4C557C3A" w:rsidR="00DC2E55" w:rsidRDefault="002A6D07" w:rsidP="002A6D07">
      <w:pPr>
        <w:pStyle w:val="Vir"/>
      </w:pPr>
      <w:r>
        <w:t>Vir: Ministrstvo za visoko šolstvo, znanost in inovacije</w:t>
      </w:r>
    </w:p>
    <w:p w14:paraId="0A996977" w14:textId="2B681421" w:rsidR="00342F91" w:rsidRDefault="00342F91" w:rsidP="00342F91">
      <w:pPr>
        <w:pStyle w:val="Naslov2"/>
      </w:pPr>
      <w:r>
        <w:t>Uvrstitev novega projekta »Kompetenčni center ČIP.SI« v veljavni Načrt razvojnih programov 2025-2028</w:t>
      </w:r>
    </w:p>
    <w:p w14:paraId="6AA6DC11" w14:textId="77777777" w:rsidR="00342F91" w:rsidRDefault="00342F91" w:rsidP="00342F91">
      <w:r>
        <w:t>Vlada Republike Slovenije je v Načrt razvojnih programov 2025–2028 uvrstila projekt Kompetenčni center ČIP.SI, ki bo imel ključno vlogo v evropski pobudi Čipi za Evropo.</w:t>
      </w:r>
    </w:p>
    <w:p w14:paraId="3720BDAA" w14:textId="77777777" w:rsidR="00342F91" w:rsidRDefault="00342F91" w:rsidP="00342F91"/>
    <w:p w14:paraId="1E557ADA" w14:textId="77777777" w:rsidR="00342F91" w:rsidRDefault="00342F91" w:rsidP="00342F91">
      <w:r>
        <w:t>Kompetenčni center za polprevodnike in čipe bo omogočal dostop do tehničnega strokovnega znanja in eksperimentalnih zmogljivosti na področju polprevodnikov ter podjetjem, zlasti malim in srednje velikim, pomagal krepiti kompetence na področju načrtovanja in razvoja čipov. S tem bo prispeval k dvigu inovacijskega potenciala slovenskega gospodarstva in krepitvi evropske avtonomije na tem strateškem področju.</w:t>
      </w:r>
    </w:p>
    <w:p w14:paraId="1C66505F" w14:textId="77777777" w:rsidR="00342F91" w:rsidRDefault="00342F91" w:rsidP="00342F91"/>
    <w:p w14:paraId="0356A675" w14:textId="7E18E717" w:rsidR="00DC2E55" w:rsidRDefault="00342F91" w:rsidP="00342F91">
      <w:r>
        <w:t>Projekt bo pomembno prispeval k ohranjanju ključne vloge Evropske unije na področju raziskav, razvoja, inovacij in načrtovanja čipov. Poleg tega bo center poudarek namenjal tudi povezovanju raziskav z industrijo ter podpori pri razvoju proizvodnih zmogljivosti.</w:t>
      </w:r>
    </w:p>
    <w:p w14:paraId="55A378C7" w14:textId="0EC78DBD" w:rsidR="00342F91" w:rsidRDefault="00342F91" w:rsidP="00342F91">
      <w:pPr>
        <w:pStyle w:val="Vir"/>
      </w:pPr>
      <w:r w:rsidRPr="00342F91">
        <w:t>Vir: Ministrstvo za digitalno preobrazbo</w:t>
      </w:r>
    </w:p>
    <w:p w14:paraId="72102763" w14:textId="5073AE6B" w:rsidR="00612094" w:rsidRDefault="00612094" w:rsidP="00612094">
      <w:pPr>
        <w:pStyle w:val="Naslov2"/>
      </w:pPr>
      <w:r>
        <w:t>Nov projekt za boljše podnebne podatke in sodelovanje v Podonavju</w:t>
      </w:r>
    </w:p>
    <w:p w14:paraId="2ADDBB67" w14:textId="77777777" w:rsidR="00612094" w:rsidRDefault="00612094" w:rsidP="00612094">
      <w:r>
        <w:lastRenderedPageBreak/>
        <w:t>Vlada je v načrt razvojnih programov 2025–2028 uvrstila nov projekt »Podnebni podatki – krepitev sodelovanja v Podonavju (</w:t>
      </w:r>
      <w:proofErr w:type="spellStart"/>
      <w:r>
        <w:t>Danube</w:t>
      </w:r>
      <w:proofErr w:type="spellEnd"/>
      <w:r>
        <w:t xml:space="preserve"> ADAPT)«.</w:t>
      </w:r>
    </w:p>
    <w:p w14:paraId="176B1831" w14:textId="77777777" w:rsidR="00612094" w:rsidRDefault="00612094" w:rsidP="00612094"/>
    <w:p w14:paraId="028BC501" w14:textId="77777777" w:rsidR="00612094" w:rsidRDefault="00612094" w:rsidP="00612094">
      <w:r>
        <w:t>Projekcije kažejo, da bo Podonavje zaradi podnebnih sprememb močno izpostavljeno tveganjem, ki pogosto presegajo državne meje. Trenutni odzivi na prilagajanje so razdrobljeni, države pa se soočajo z neenotnimi podatki in pomanjkanjem skupnih metodologij.</w:t>
      </w:r>
    </w:p>
    <w:p w14:paraId="4711697D" w14:textId="77777777" w:rsidR="00612094" w:rsidRDefault="00612094" w:rsidP="00612094"/>
    <w:p w14:paraId="0208CE1D" w14:textId="77777777" w:rsidR="00612094" w:rsidRDefault="00612094" w:rsidP="00612094">
      <w:r>
        <w:t>Projekt zato prinaša vzpostavitev skupne podnebne podatkovne zbirke, razvoj enotne metodologije za ocenjevanje ranljivosti po modelu IPCC ter podporo povezovanju strategij in ozaveščanju v celotni regiji. Cilj je znanstveno utemeljeno oblikovanje politik prilagajanja ter okrepitev zmogljivosti za spopadanje s podnebnimi tveganji v Podonavju.</w:t>
      </w:r>
    </w:p>
    <w:p w14:paraId="26D7CFA8" w14:textId="77777777" w:rsidR="00612094" w:rsidRDefault="00612094" w:rsidP="00612094"/>
    <w:p w14:paraId="40461E73" w14:textId="77777777" w:rsidR="00612094" w:rsidRDefault="00612094" w:rsidP="00612094">
      <w:r>
        <w:t>Triletni projekt se financira iz programa transnacionalnega sodelovanja Interreg Podonavje 2021–2027 v skupni vrednosti 2,64 milijona evrov. Evropska unija krije 80 % sredstev, 20 % pa partnerji z lastno udeležbo. Slovenski partner je Agencija RS za okolje, katere proračun znaša 170.926 evrov. Projekt se je začel izvajati 1. aprila 2025 in bo trajal do 31. marca 2028.</w:t>
      </w:r>
    </w:p>
    <w:p w14:paraId="6258616F" w14:textId="5D0AF805" w:rsidR="00DC2E55" w:rsidRDefault="00612094" w:rsidP="00612094">
      <w:pPr>
        <w:pStyle w:val="Vir"/>
      </w:pPr>
      <w:r>
        <w:t>Vir: Ministrstvo za okolje, podnebje in energijo</w:t>
      </w:r>
    </w:p>
    <w:p w14:paraId="2CBC2037" w14:textId="561D1706" w:rsidR="00DC2E55" w:rsidRDefault="001F029F" w:rsidP="001F029F">
      <w:pPr>
        <w:pStyle w:val="Naslov2"/>
      </w:pPr>
      <w:r>
        <w:t>Uv</w:t>
      </w:r>
      <w:r w:rsidR="00DC2E55">
        <w:t>rstit</w:t>
      </w:r>
      <w:r>
        <w:t>ev</w:t>
      </w:r>
      <w:r w:rsidR="00DC2E55">
        <w:t xml:space="preserve"> novega projekta Prenova gradu Turn in prostorov DSO Preddvor v veljavni Načrt razvojnih programov 2025–2028</w:t>
      </w:r>
    </w:p>
    <w:p w14:paraId="72677511" w14:textId="524D061A" w:rsidR="00DC2E55" w:rsidRDefault="001F029F" w:rsidP="00DC2E55">
      <w:r w:rsidRPr="001F029F">
        <w:t>Vlada je v veljavni Načrt razvojnih programov za obdobje 2025 – 2028 uvrstila projekt prenove gradu Turn in prostorov Doma starejših občanov Preddvor. Ocenjena vrednost investicije znaša 7.211.396,75 evra. Investicija se bo izvajala v letih 2025, 2026 in 2027. Z izvedbo investicije se bodo zagotovili primerni, tehnično ustrezni pogoji za izboljšanje kakovosti življenja stanovalcev ter pogojev dela za zaposlene. Hkrati se bodo izpolnile tudi zahteve Pravilnika o minimalnih tehničnih zahtevah za izvajalce socialnovarstvenih storitev. Z izvedeno sanacijo se bo preprečilo nadaljnje propadanje nekaterih delov stavb, izboljšala se bo učinkovitost rabe energije ter zagotovila požarna in potresna varnost objekta.</w:t>
      </w:r>
    </w:p>
    <w:p w14:paraId="25C3D184" w14:textId="2DBEE309" w:rsidR="001F029F" w:rsidRDefault="001F029F" w:rsidP="001F029F">
      <w:pPr>
        <w:pStyle w:val="Vir"/>
      </w:pPr>
      <w:r w:rsidRPr="001F029F">
        <w:t>Vir: Ministrstvo za solidarno prihodnost</w:t>
      </w:r>
    </w:p>
    <w:p w14:paraId="4B121C06" w14:textId="2FC53218" w:rsidR="00A52394" w:rsidRDefault="00A52394" w:rsidP="00A52394">
      <w:pPr>
        <w:pStyle w:val="Naslov2"/>
      </w:pPr>
      <w:r>
        <w:t>Vlada v veljavni Načrt razvojnih programov za obdobje 2025-2028 ponovno uvrstila projekta »Komunalna infrastruktura Studor« in »Elaborat in obnova lokalne ceste Podjelje-Goreljek«</w:t>
      </w:r>
    </w:p>
    <w:p w14:paraId="6BEBD71F" w14:textId="77777777" w:rsidR="00A52394" w:rsidRDefault="00A52394" w:rsidP="00A52394">
      <w:r>
        <w:t xml:space="preserve">Projekt »Komunalna infrastruktura Studor« se zaradi podaljšanja izvedbe v leto 2026 in spremembe izhodiščne vrednosti projekta in »Elaborat in obnova lokalne ceste Podjelje-Goreljek« se zaradi podaljšanja izvedbe v leto 2028 in spremembe izhodiščne vrednosti projekta ponovno uvrščata v veljavni Načrt razvojnih programov. Oba projekta se izvajata v občini Bohinj, v okviru Triglavskega narodnega parka. </w:t>
      </w:r>
    </w:p>
    <w:p w14:paraId="4A81B1C4" w14:textId="522BA422" w:rsidR="00A52394" w:rsidRDefault="00A52394" w:rsidP="00A52394">
      <w:pPr>
        <w:pStyle w:val="Vir"/>
      </w:pPr>
      <w:r>
        <w:t>Vir: Ministrstvo za naravne vire in prostor</w:t>
      </w:r>
    </w:p>
    <w:p w14:paraId="4E7EDE99" w14:textId="767F9D38" w:rsidR="00855F26" w:rsidRDefault="00855F26" w:rsidP="00855F26">
      <w:pPr>
        <w:pStyle w:val="Naslov2"/>
      </w:pPr>
      <w:r>
        <w:t>Predlog stališča o uporabi koncepta varna tretja država in seznamu varnih izvornih držav</w:t>
      </w:r>
    </w:p>
    <w:p w14:paraId="3287CCA9" w14:textId="77777777" w:rsidR="00855F26" w:rsidRDefault="00855F26" w:rsidP="00855F26">
      <w:r>
        <w:t>Vlada Republike Slovenije je sprejela predlog stališča Republike Slovenije k zadevi Predlog uredbe Evropskega parlamenta in Sveta o spremembi Uredbe (EU) 2024/1348 glede uporabe koncepta »varna tretja država«.</w:t>
      </w:r>
    </w:p>
    <w:p w14:paraId="1EC3389A" w14:textId="77777777" w:rsidR="00855F26" w:rsidRDefault="00855F26" w:rsidP="00855F26"/>
    <w:p w14:paraId="425F312E" w14:textId="77777777" w:rsidR="00855F26" w:rsidRDefault="00855F26" w:rsidP="00855F26">
      <w:r>
        <w:t xml:space="preserve">Republika Slovenija podpira predlog uredbe glede uporabe koncepta »varna tretja država«, saj bodo predlagana pravila državam članicam olajšala uporabo koncepta varne tretje države. Predlagane spremembe bodo bistveno pospešile azilne postopke in zmanjšale pritisk na azilne sisteme, hkrati pa </w:t>
      </w:r>
      <w:r>
        <w:lastRenderedPageBreak/>
        <w:t>bodo ohranile pravna jamstva za prosilce in zagotovile spoštovanje temeljnih pravic v skladu z obveznostmi EU po mednarodnem in evropskem pravu. Poleg tega bo koncept državam članicam omogočal, da prošnjo za mednarodno zaščito štejejo za nedopustno, kadar bi prosilci lahko prejeli učinkovito zaščito v tretji državi, ki se zanje šteje za varno. Podpiramo skupni seznam varnih tretjih držav na ravni EU, saj bo to zagotovilo večjo usklajenost pri uporabi koncepta varne tretje države med državami članicami in enotnejšo uporabo pravil v praksi. Seznam bo posledično pomembno prispeval k učinkovitejšemu izvajanju koncepta.</w:t>
      </w:r>
    </w:p>
    <w:p w14:paraId="58EE8541" w14:textId="77777777" w:rsidR="00855F26" w:rsidRDefault="00855F26" w:rsidP="00855F26"/>
    <w:p w14:paraId="517AFCC2" w14:textId="77777777" w:rsidR="00855F26" w:rsidRDefault="00855F26" w:rsidP="00855F26">
      <w:r>
        <w:t>Vlada Republike Slovenije je sprejela predlog stališča Republike Slovenije k zadevi Predlog uredbe Evropskega parlamenta in Sveta o spremembi Uredbe (EU) 2024/1348 glede vzpostavitve seznama varnih izvornih držav na ravni Unije.</w:t>
      </w:r>
    </w:p>
    <w:p w14:paraId="763F78C3" w14:textId="77777777" w:rsidR="00855F26" w:rsidRDefault="00855F26" w:rsidP="00855F26"/>
    <w:p w14:paraId="7C08CC51" w14:textId="77777777" w:rsidR="00855F26" w:rsidRDefault="00855F26" w:rsidP="00855F26">
      <w:r>
        <w:t>Republika Slovenija podpira predlog glede vzpostavitve seznama varnih izvornih držav na ravni EU, pri čemer bodo prošnje za mednarodno zaščito državljanov teh držav obravnavane po pospešenem postopku ali postopku na meji. Podpiramo uvedbo enotnega seznama varnih izvornih držav na ravni EU, saj bo to prispevalo k večji enotnosti in učinkovitosti postopkov ter zmanjšalo razlike v obravnavi prošenj med državami članicami. Izpostavljamo, da se tudi v primeru, ko je država uvrščena na seznam varnih izvornih držav, prošnje za mednarodno zaščito, podane s strani državljanov te države, obravnavajo individualno in da se mednarodna zaščita podeli tudi v takih primerih, če so za to izpolnjeni pogoji.</w:t>
      </w:r>
    </w:p>
    <w:p w14:paraId="0ECAB294" w14:textId="78934CD0" w:rsidR="00DC2E55" w:rsidRDefault="00855F26" w:rsidP="00855F26">
      <w:pPr>
        <w:pStyle w:val="Vir"/>
      </w:pPr>
      <w:r>
        <w:t>Vir: Ministrstvo za notranje zadeve</w:t>
      </w:r>
    </w:p>
    <w:p w14:paraId="6E5050E9" w14:textId="5D27BB10" w:rsidR="00A621E0" w:rsidRDefault="00A621E0" w:rsidP="00A621E0">
      <w:pPr>
        <w:pStyle w:val="Naslov2"/>
      </w:pPr>
      <w:r>
        <w:t>Vlada sprejela predlog stališča Slovenije o evropski uredbi glede menjalnega razmerja evra za Bolgarijo</w:t>
      </w:r>
    </w:p>
    <w:p w14:paraId="2CB013C6" w14:textId="77777777" w:rsidR="00A621E0" w:rsidRDefault="00A621E0" w:rsidP="00A621E0">
      <w:r>
        <w:t>Republika Slovenija se je seznanila z ugotovitvami Evropske centralne banke in Evropske komisije, da Bolgarija izpolnjuje pogoje za prevzem evra. Vlada posledično podpira predlog sprememb evropske uredbe glede menjalnega razmerja evra za Bolgarijo. Vlada pošlje predlog stališča Republike Slovenije v odločanje Državnemu zboru Republike Slovenije.</w:t>
      </w:r>
    </w:p>
    <w:p w14:paraId="79F36EA4" w14:textId="77777777" w:rsidR="00A621E0" w:rsidRDefault="00A621E0" w:rsidP="00A621E0"/>
    <w:p w14:paraId="0AE87002" w14:textId="77777777" w:rsidR="00A621E0" w:rsidRDefault="00A621E0" w:rsidP="00A621E0">
      <w:r>
        <w:t>Pravna podlaga tega predloga sprememb evropske uredbe je člen Pogodbe o delovanju Evropske Unije, v skladu s katerim Svet EU sprejme menjalno razmerje, po katerem evro nadomesti valuto države članice, ki uvede evro. Svet odloča s soglasjem držav članic, katerih valuta je evro, in zadevne države članice (v tem primeru je to Bolgarija), in sicer na predlog Komisije ter po posvetovanju z ECB.</w:t>
      </w:r>
    </w:p>
    <w:p w14:paraId="650D2E04" w14:textId="19BDF864" w:rsidR="00DC2E55" w:rsidRDefault="00A621E0" w:rsidP="00A621E0">
      <w:pPr>
        <w:pStyle w:val="Vir"/>
      </w:pPr>
      <w:r>
        <w:t>Vir: Ministrstvo za finance</w:t>
      </w:r>
    </w:p>
    <w:p w14:paraId="73D5CB30" w14:textId="5FBAB117" w:rsidR="00F26D7F" w:rsidRDefault="00F26D7F" w:rsidP="00F26D7F">
      <w:pPr>
        <w:pStyle w:val="Naslov2"/>
      </w:pPr>
      <w:r>
        <w:t>Ribolovne možnosti za plovila Unije v ribolovnem območju Demokratične republike Sao Tome in Principe</w:t>
      </w:r>
    </w:p>
    <w:p w14:paraId="2C6BD8B5" w14:textId="77777777" w:rsidR="00F26D7F" w:rsidRDefault="00F26D7F" w:rsidP="00F26D7F">
      <w:r>
        <w:t>Republika Slovenija podpira Predlog uredbe Sveta o dodelitvi ribolovnih možnosti v skladu s Protokolom o izvajanju (2025–2029) Sporazuma o partnerstvu v ribiškem sektorju med Demokratično republiko Sao Tome in Principe in Evropsko skupnostjo. Predlog akta slovenskega ribištva ne zadeva neposredno, saj slovenski morski gospodarski ribiči izvajajo ribolov izključno v severnem Jadranu.</w:t>
      </w:r>
    </w:p>
    <w:p w14:paraId="4065654E" w14:textId="77777777" w:rsidR="00F26D7F" w:rsidRDefault="00F26D7F" w:rsidP="00F26D7F"/>
    <w:p w14:paraId="0CEC3B1A" w14:textId="77777777" w:rsidR="00F26D7F" w:rsidRDefault="00F26D7F" w:rsidP="00F26D7F">
      <w:r>
        <w:t>Plovilom Evropske unije bodo tako zagotovljene ribolovne možnosti v ribolovnem območju Demokratično republiko Sao Tome in Principe v skladu z najboljšim razpoložljivim znanstvenim mnenjem ter priporočili Mednarodne komisije za ohranitev tunov v Atlantiku (ICCAT) in ocenami smotrnosti sklenitve novega protokola. Obe oceni so izvedli zunanji strokovnjaki.</w:t>
      </w:r>
    </w:p>
    <w:p w14:paraId="5DA41F26" w14:textId="77777777" w:rsidR="00F26D7F" w:rsidRDefault="00F26D7F" w:rsidP="00F26D7F"/>
    <w:p w14:paraId="7C4BD250" w14:textId="77777777" w:rsidR="00F26D7F" w:rsidRDefault="00F26D7F" w:rsidP="00F26D7F">
      <w:r>
        <w:t>Novi protokol določa ribolovne možnosti za naslednje kategorije:</w:t>
      </w:r>
    </w:p>
    <w:p w14:paraId="03D03B48" w14:textId="6DD1D12F" w:rsidR="00F26D7F" w:rsidRDefault="00F26D7F" w:rsidP="00F26D7F">
      <w:pPr>
        <w:pStyle w:val="Odstavekseznama"/>
        <w:numPr>
          <w:ilvl w:val="0"/>
          <w:numId w:val="10"/>
        </w:numPr>
      </w:pPr>
      <w:r>
        <w:t>26 plovil za ribolov tuna s potegalko,</w:t>
      </w:r>
    </w:p>
    <w:p w14:paraId="667EE224" w14:textId="5303EDBA" w:rsidR="00F26D7F" w:rsidRDefault="00F26D7F" w:rsidP="00F26D7F">
      <w:pPr>
        <w:pStyle w:val="Odstavekseznama"/>
        <w:numPr>
          <w:ilvl w:val="0"/>
          <w:numId w:val="10"/>
        </w:numPr>
      </w:pPr>
      <w:r>
        <w:lastRenderedPageBreak/>
        <w:t>devet plovil s površinskim parangalom,</w:t>
      </w:r>
    </w:p>
    <w:p w14:paraId="2CB666A1" w14:textId="0A7C472E" w:rsidR="00F26D7F" w:rsidRDefault="00F26D7F" w:rsidP="00F26D7F">
      <w:pPr>
        <w:pStyle w:val="Odstavekseznama"/>
        <w:numPr>
          <w:ilvl w:val="0"/>
          <w:numId w:val="10"/>
        </w:numPr>
      </w:pPr>
      <w:r>
        <w:t xml:space="preserve">pomožna plovila v skladu z ustreznimi resolucijami ICCAT in omejitvami iz zakonodaje Sao </w:t>
      </w:r>
      <w:proofErr w:type="spellStart"/>
      <w:r>
        <w:t>Tomeja</w:t>
      </w:r>
      <w:proofErr w:type="spellEnd"/>
      <w:r>
        <w:t xml:space="preserve"> in Principa.</w:t>
      </w:r>
    </w:p>
    <w:p w14:paraId="7CF93A70" w14:textId="77777777" w:rsidR="00F26D7F" w:rsidRDefault="00F26D7F" w:rsidP="00F26D7F">
      <w:pPr>
        <w:pStyle w:val="Vir"/>
      </w:pPr>
      <w:r>
        <w:t>Vir: Ministrstvo za kmetijstvo, gozdarstvo in prehrano</w:t>
      </w:r>
    </w:p>
    <w:p w14:paraId="287DED44" w14:textId="6D2197DE" w:rsidR="008F0C0C" w:rsidRDefault="008F0C0C" w:rsidP="008F0C0C">
      <w:pPr>
        <w:pStyle w:val="Naslov2"/>
      </w:pPr>
      <w:r>
        <w:t xml:space="preserve">Partnerstvo v ribiškem sektorju med Demokratično republiko Sao Tome in Principe in Evropsko unijo </w:t>
      </w:r>
    </w:p>
    <w:p w14:paraId="70CC4015" w14:textId="77777777" w:rsidR="008F0C0C" w:rsidRDefault="008F0C0C" w:rsidP="008F0C0C">
      <w:r>
        <w:t>Vlada je sprejela sklep, da Republika Slovenija podpira Predlog sklepa Sveta o podpisu, v imenu Evropske unije, in začasni uporabi Protokola o izvajanju Sporazuma o partnerstvu v ribiškem sektorju med Demokratično republiko Sao Tome in Principe in Evropsko skupnostjo (2025–2029), pri čemer izpostavlja pomen doslednega zasledovanja in krepitve načela trajnosti oziroma trajnostnega upravljanja z naravnimi viri. Predlog ne zadeva slovenskega ribištva, saj slovenski morski gospodarski ribiči izvajajo ribolov le v severnem Jadranu.</w:t>
      </w:r>
    </w:p>
    <w:p w14:paraId="66C36588" w14:textId="77777777" w:rsidR="008F0C0C" w:rsidRDefault="008F0C0C" w:rsidP="008F0C0C"/>
    <w:p w14:paraId="711B0592" w14:textId="53A60B36" w:rsidR="008F0C0C" w:rsidRDefault="008F0C0C" w:rsidP="008F0C0C">
      <w:r>
        <w:t>Republika Slovenija pozdravlja določilo, da bosta pogodbenici izvajali protokol v skladu z določilom Sporazuma s Samoe glede bistvenih elementov v zvezi s človekovimi pravicami, demokratičnimi načeli in pravno državo ter temeljnih elementov v zvezi z dobrim upravljanjem, kot tudi določilom novega protokola, da se lahko uporaba prekine na pobudo ene od pogodbenic, med drugim v primeru, če ena od pogodbenic ugotovi kršitev bistvenih in temeljnih elementov človekovih pravic.</w:t>
      </w:r>
    </w:p>
    <w:p w14:paraId="34B192D9" w14:textId="77777777" w:rsidR="008F0C0C" w:rsidRDefault="008F0C0C" w:rsidP="008F0C0C"/>
    <w:p w14:paraId="1B5B5C63" w14:textId="77777777" w:rsidR="008F0C0C" w:rsidRDefault="008F0C0C" w:rsidP="008F0C0C">
      <w:r>
        <w:t>Republika Slovenija se zaveda, da je višina finančnega prispevka EU rezultat pogajalskega procesa, pri čemer pozdravlja pristop, da se del finančnega prispevka EU nameni za razvoj sektorja v tretji državi, in opozarja, da mora biti finančno nadomestilo za dostop do ribolovnega območja tretje države ustrezno.</w:t>
      </w:r>
    </w:p>
    <w:p w14:paraId="24D65633" w14:textId="77777777" w:rsidR="008F0C0C" w:rsidRDefault="008F0C0C" w:rsidP="008F0C0C">
      <w:pPr>
        <w:pStyle w:val="Vir"/>
      </w:pPr>
      <w:r w:rsidRPr="008F0C0C">
        <w:t>Vir: Ministrstvo za kmetijstvo, gozdarstvo in prehrano</w:t>
      </w:r>
    </w:p>
    <w:p w14:paraId="048CF15A" w14:textId="02347BD3" w:rsidR="00782B3C" w:rsidRDefault="00782B3C" w:rsidP="00782B3C">
      <w:pPr>
        <w:pStyle w:val="Naslov2"/>
      </w:pPr>
      <w:r>
        <w:t>Uredba o ratifikaciji Sporazuma med Upravo RS za jedrsko varnost in Jedrsko regulatorno komisijo ZDA o izmenjavi tehničnih informacij in sodelovanju na področju jedrske varnosti</w:t>
      </w:r>
    </w:p>
    <w:p w14:paraId="4724A8F5" w14:textId="77777777" w:rsidR="00782B3C" w:rsidRDefault="00782B3C" w:rsidP="00782B3C">
      <w:r>
        <w:t xml:space="preserve">Vlada Republike Slovenije je izdala Uredbo o ratifikaciji Sporazuma med Upravo Republike Slovenije za jedrsko varnost in Jedrsko regulatorno komisijo Združenih držav Amerike o izmenjavi tehničnih informacij in sodelovanju na področju jedrske varnosti, podpisanega v Ljubljani 10. junija 2025 in </w:t>
      </w:r>
      <w:proofErr w:type="spellStart"/>
      <w:r>
        <w:t>Rockvillu</w:t>
      </w:r>
      <w:proofErr w:type="spellEnd"/>
      <w:r>
        <w:t xml:space="preserve"> 16. junija 2025, in jo objavi v Uradnem listu Republike Slovenije.</w:t>
      </w:r>
    </w:p>
    <w:p w14:paraId="52B118AC" w14:textId="77777777" w:rsidR="00782B3C" w:rsidRDefault="00782B3C" w:rsidP="00782B3C"/>
    <w:p w14:paraId="64729638" w14:textId="57F7A63B" w:rsidR="00782B3C" w:rsidRDefault="00782B3C" w:rsidP="00782B3C">
      <w:r>
        <w:t>Bistvene sestavine sporazuma se nanašajo na izmenjavo tehničnih informacij s področja jedrske varnosti, varovanja jedrskih objektov in radioaktivnih snovi, vpliva jedrskih objektov in radioaktivnih snovi na okolje ter programov raziskav na področju jedrske varnosti. Sporazum predvideva tudi sodelovanje pri raziskavah na področju jedrske varnosti, ki so v domeni obeh pogodbenic, postavlja okvir za izmenjavo izkušenj in usposabljanje strokovnjakov obeh pogodbenic ter za sodelovanje ob morebitnih izrednih dogodkih. Dodatek k sporazumu se nanaša na pravice intelektualne lastnine.</w:t>
      </w:r>
    </w:p>
    <w:p w14:paraId="0911178E" w14:textId="1AF9CCAB" w:rsidR="00DC2E55" w:rsidRDefault="00782B3C" w:rsidP="00782B3C">
      <w:pPr>
        <w:pStyle w:val="Vir"/>
      </w:pPr>
      <w:r>
        <w:t>Vir: Ministrstvo za zunanje in evropske zadeve</w:t>
      </w:r>
    </w:p>
    <w:p w14:paraId="6609E140" w14:textId="57493938" w:rsidR="00DC2E55" w:rsidRDefault="00DC2E55" w:rsidP="004635F1">
      <w:pPr>
        <w:pStyle w:val="Naslov2"/>
      </w:pPr>
      <w:r>
        <w:t>Informacij</w:t>
      </w:r>
      <w:r w:rsidR="004635F1">
        <w:t>a o p</w:t>
      </w:r>
      <w:r>
        <w:t>odpisu Memoranduma o soglasju med Geodetsko upravo Republike Slovenije in Geodetsko upravo Indije o sodelovanju na področju geodezije, kartografije in infrastrukture prostorskih podatkov</w:t>
      </w:r>
    </w:p>
    <w:p w14:paraId="035C13D0" w14:textId="77777777" w:rsidR="004635F1" w:rsidRDefault="004635F1" w:rsidP="004635F1">
      <w:r>
        <w:t xml:space="preserve">Vlada Republike Slovenije se je seznanila z Informacijo o nameravanem podpisu Memoranduma o soglasju med Geodetsko upravo Republike Slovenije in Geodetsko upravo Indije o sodelovanju na </w:t>
      </w:r>
      <w:r>
        <w:lastRenderedPageBreak/>
        <w:t>področju geodezije, kartografije in infrastrukture prostorskih podatkov, vključno z vprašanji digitalizacije.</w:t>
      </w:r>
    </w:p>
    <w:p w14:paraId="4924EB63" w14:textId="77777777" w:rsidR="004635F1" w:rsidRDefault="004635F1" w:rsidP="004635F1"/>
    <w:p w14:paraId="28671FE4" w14:textId="77777777" w:rsidR="004635F1" w:rsidRDefault="004635F1" w:rsidP="004635F1">
      <w:r>
        <w:t>Cilj Memoranduma o sodelovanju med Geodetsko upravo Republike Slovenije in Geodetsko upravo Indije na področju geodezije, kartografije in prostorskih podatkov, vključno z digitalizacijo je krepitev partnerskega odnosa ter izmenjava izkušenj in znanja na geoprostorskih področjih obeh držav.</w:t>
      </w:r>
    </w:p>
    <w:p w14:paraId="173F2906" w14:textId="77777777" w:rsidR="004635F1" w:rsidRDefault="004635F1" w:rsidP="004635F1"/>
    <w:p w14:paraId="6D1591AF" w14:textId="77777777" w:rsidR="004635F1" w:rsidRDefault="004635F1" w:rsidP="004635F1">
      <w:r>
        <w:t>Sodelovanje na podlagi memoranduma bo potekalo predvsem v naslednjih oblikah:</w:t>
      </w:r>
    </w:p>
    <w:p w14:paraId="6F82E3DA" w14:textId="24E38E61" w:rsidR="004635F1" w:rsidRDefault="004635F1" w:rsidP="004635F1">
      <w:pPr>
        <w:pStyle w:val="Odstavekseznama"/>
        <w:numPr>
          <w:ilvl w:val="0"/>
          <w:numId w:val="11"/>
        </w:numPr>
      </w:pPr>
      <w:r>
        <w:t>medsebojni obiski strokovnjakov,</w:t>
      </w:r>
    </w:p>
    <w:p w14:paraId="0B6C1703" w14:textId="2457D20E" w:rsidR="004635F1" w:rsidRDefault="004635F1" w:rsidP="004635F1">
      <w:pPr>
        <w:pStyle w:val="Odstavekseznama"/>
        <w:numPr>
          <w:ilvl w:val="0"/>
          <w:numId w:val="11"/>
        </w:numPr>
      </w:pPr>
      <w:r>
        <w:t>izmenjava informacij in dokumentacije o skupnih interesih,</w:t>
      </w:r>
    </w:p>
    <w:p w14:paraId="4CBB8875" w14:textId="2472FDF8" w:rsidR="004635F1" w:rsidRDefault="004635F1" w:rsidP="004635F1">
      <w:pPr>
        <w:pStyle w:val="Odstavekseznama"/>
        <w:numPr>
          <w:ilvl w:val="0"/>
          <w:numId w:val="11"/>
        </w:numPr>
      </w:pPr>
      <w:r>
        <w:t>organizacija sestankov, seminarjev, konferenc, delavnic in usposabljanj, tako osebno kot na daljavo,</w:t>
      </w:r>
    </w:p>
    <w:p w14:paraId="516EDD73" w14:textId="6D4804F9" w:rsidR="004635F1" w:rsidRDefault="004635F1" w:rsidP="004635F1">
      <w:pPr>
        <w:pStyle w:val="Odstavekseznama"/>
        <w:numPr>
          <w:ilvl w:val="0"/>
          <w:numId w:val="11"/>
        </w:numPr>
      </w:pPr>
      <w:r>
        <w:t>izvedba izobraževanj in usposabljanj za zaposlene pri obeh upravah ter druge zainteresirane institucije,</w:t>
      </w:r>
    </w:p>
    <w:p w14:paraId="253262AA" w14:textId="1F8311DB" w:rsidR="004635F1" w:rsidRDefault="004635F1" w:rsidP="004635F1">
      <w:pPr>
        <w:pStyle w:val="Odstavekseznama"/>
        <w:numPr>
          <w:ilvl w:val="0"/>
          <w:numId w:val="11"/>
        </w:numPr>
      </w:pPr>
      <w:r>
        <w:t>druge oblike sodelovanja, o katerih se bosta podpisnici dogovorili v okviru svojih pristojnosti.</w:t>
      </w:r>
    </w:p>
    <w:p w14:paraId="18FFDE17" w14:textId="77777777" w:rsidR="004635F1" w:rsidRDefault="004635F1" w:rsidP="004635F1"/>
    <w:p w14:paraId="2AF7D307" w14:textId="77777777" w:rsidR="004635F1" w:rsidRDefault="004635F1" w:rsidP="004635F1">
      <w:r>
        <w:t>Memorandum se sklene za določen čas petih let od podpisa, z možnostjo podaljšanja.</w:t>
      </w:r>
    </w:p>
    <w:p w14:paraId="37D19955" w14:textId="77777777" w:rsidR="004635F1" w:rsidRDefault="004635F1" w:rsidP="004635F1">
      <w:pPr>
        <w:pStyle w:val="Vir"/>
      </w:pPr>
      <w:r>
        <w:t>Vir: Ministrstvo za naravne vire in prostor</w:t>
      </w:r>
    </w:p>
    <w:p w14:paraId="1342C756" w14:textId="7ECA747A" w:rsidR="00DC2E55" w:rsidRDefault="00DC2E55" w:rsidP="00D216B9">
      <w:pPr>
        <w:pStyle w:val="Naslov2"/>
      </w:pPr>
      <w:r>
        <w:t xml:space="preserve">Informacija o podpisu Memoranduma o sodelovanju </w:t>
      </w:r>
      <w:r w:rsidR="00D216B9">
        <w:t xml:space="preserve">s </w:t>
      </w:r>
      <w:r>
        <w:t>Poljsk</w:t>
      </w:r>
      <w:r w:rsidR="00D216B9">
        <w:t>o</w:t>
      </w:r>
    </w:p>
    <w:p w14:paraId="39F59BEF" w14:textId="69ADBADD" w:rsidR="003E1F2C" w:rsidRDefault="003E1F2C" w:rsidP="003E1F2C">
      <w:r>
        <w:t>Vlada je sprejela sklep o seznanitvi vlade z informacijo o podpisu Memoranduma o sodelovanju med Uradom Vlade Republike Slovenije za informacijsko varnost in Ministrstvom za digitalne zadeve Republike Poljske.</w:t>
      </w:r>
    </w:p>
    <w:p w14:paraId="1E6BF266" w14:textId="77777777" w:rsidR="003E1F2C" w:rsidRDefault="003E1F2C" w:rsidP="003E1F2C"/>
    <w:p w14:paraId="2E3EECFA" w14:textId="77777777" w:rsidR="003E1F2C" w:rsidRDefault="003E1F2C" w:rsidP="003E1F2C">
      <w:r>
        <w:t>Memorandum o sodelovanju med Republiko Slovenijo in Republiko Poljsko na področju kibernetske varnosti predstavlja pomemben korak k vzpostavitvi trdnega okvira za dolgoročno sodelovanje in izmenjavo strokovnega znanja v boju proti kibernetskim grožnjam. Namenjen je usklajevanju ukrepov, izmenjavi informacij in najboljših praks ter skupnim raziskovalnim in izobraževalnim dejavnostim, v katere so vključeni tako javni sektor kot raziskovalne institucije.</w:t>
      </w:r>
    </w:p>
    <w:p w14:paraId="3F15F5F5" w14:textId="77777777" w:rsidR="003E1F2C" w:rsidRDefault="003E1F2C" w:rsidP="003E1F2C"/>
    <w:p w14:paraId="1D1802DF" w14:textId="48898840" w:rsidR="003E1F2C" w:rsidRDefault="003E1F2C" w:rsidP="003E1F2C">
      <w:r>
        <w:t>Sodelovanje vključuje izmenjavo podatkov o kibernetskih incidentih, skupne preventivne ukrepe, vaje in usposabljanja ter razvoj skupnih programov na področju IKT. Pomemben poudarek je tudi na mednarodnem sodelovanju v okviru multilateralnih organizacij ter spodbujanju inovacij in gospodarskega povezovanja na področju kibernetske varnosti in naprednih tehnologij.</w:t>
      </w:r>
    </w:p>
    <w:p w14:paraId="518125F3" w14:textId="204E6C2A" w:rsidR="003E1F2C" w:rsidRDefault="003E1F2C" w:rsidP="003E1F2C">
      <w:pPr>
        <w:pStyle w:val="Vir"/>
      </w:pPr>
      <w:r w:rsidRPr="003E1F2C">
        <w:t>Vir: Urad za informacijsko varnost</w:t>
      </w:r>
    </w:p>
    <w:p w14:paraId="574B4E93" w14:textId="482D0CCE" w:rsidR="00782B3C" w:rsidRDefault="00782B3C" w:rsidP="00782B3C">
      <w:pPr>
        <w:pStyle w:val="Naslov2"/>
      </w:pPr>
      <w:r>
        <w:t>Sklep o potrditvi Memoranduma o soglasju med Ministrstvom za gospodarstvo, turizem in šport RS in Alžirsko vesoljsko agencijo (ASAL) Ljudske demokratične republike Alžirije o sodelovanju na področju vesoljskih dejavnosti v miroljubne namene</w:t>
      </w:r>
    </w:p>
    <w:p w14:paraId="79B2CD9F" w14:textId="77777777" w:rsidR="00782B3C" w:rsidRDefault="00782B3C" w:rsidP="00782B3C">
      <w:r>
        <w:t>Vlada Republike Slovenije je potrdila Memorandum o soglasju med Ministrstvom za gospodarstvo, turizem in šport Republike Slovenije in Alžirsko vesoljsko agencijo (ASAL) Ljudske demokratične republike Alžirije o sodelovanju na področju vesoljskih dejavnosti v miroljubne namene, podpisan v Ljubljani 13. maja 2025.</w:t>
      </w:r>
    </w:p>
    <w:p w14:paraId="5B874E76" w14:textId="77777777" w:rsidR="00782B3C" w:rsidRDefault="00782B3C" w:rsidP="00782B3C"/>
    <w:p w14:paraId="70D9EEE3" w14:textId="77777777" w:rsidR="00782B3C" w:rsidRDefault="00782B3C" w:rsidP="00782B3C">
      <w:r>
        <w:t xml:space="preserve">Namen memoranduma, ki je bil pripravljen na pobudo alžirske strani, je formalizirati zavezo za krepitev sodelovanja na področju vesoljskih znanosti, tehnologij in aplikacij v miroljubne namene. Sodelovanje bo zajemalo področja daljinskega zaznavanja, vesoljskih aplikacij in tehnologij, telekomunikacij in navigacije, vesoljske znanosti ter usposabljanja in izmenjave strokovnega znanja, </w:t>
      </w:r>
      <w:r>
        <w:lastRenderedPageBreak/>
        <w:t>kar bo prispevalo k prijateljskemu odnosu med državama ter k doseganju skupnih znanstvenih, gospodarskih in okoljskih ciljev.</w:t>
      </w:r>
    </w:p>
    <w:p w14:paraId="245EE989" w14:textId="07C46286" w:rsidR="00DC2E55" w:rsidRDefault="00782B3C" w:rsidP="00782B3C">
      <w:pPr>
        <w:pStyle w:val="Vir"/>
      </w:pPr>
      <w:r>
        <w:t>Vir: Ministrstvo za zunanje in evropske zadeve</w:t>
      </w:r>
    </w:p>
    <w:p w14:paraId="52E3E16E" w14:textId="5931BBA4" w:rsidR="00EA6F3A" w:rsidRDefault="00EA6F3A" w:rsidP="00EA6F3A">
      <w:pPr>
        <w:pStyle w:val="Naslov2"/>
      </w:pPr>
      <w:r>
        <w:t>Sklep o potrditvi memoranduma o soglasju med ministrstvi za obrambo o globalnem satelitskem navigacijskem sistemu NAVSTAR V</w:t>
      </w:r>
    </w:p>
    <w:p w14:paraId="0317D604" w14:textId="77777777" w:rsidR="00EA6F3A" w:rsidRDefault="00EA6F3A" w:rsidP="00EA6F3A">
      <w:r>
        <w:t>Vlada Republike Slovenije je potrdila memorandum o soglasju med ministrstvi za obrambo o globalnem satelitskem navigacijskem sistemu NAVSTAR V, sklenjen 2. decembra 2024.</w:t>
      </w:r>
    </w:p>
    <w:p w14:paraId="447A095B" w14:textId="77777777" w:rsidR="00EA6F3A" w:rsidRDefault="00EA6F3A" w:rsidP="00EA6F3A"/>
    <w:p w14:paraId="18C5C0DB" w14:textId="77777777" w:rsidR="00EA6F3A" w:rsidRDefault="00EA6F3A" w:rsidP="00EA6F3A">
      <w:r>
        <w:t>Memorandum NAVSTAR V določa postopke za dostop posamezne članice zveze Nato do navigacijskih podatkov PPS v lasti Združenih držav Amerike in nadomešča memorandum NAVSTAR IV, ki mu je veljavnost potekla konec leta 2024.</w:t>
      </w:r>
    </w:p>
    <w:p w14:paraId="528405E1" w14:textId="77777777" w:rsidR="00EA6F3A" w:rsidRDefault="00EA6F3A" w:rsidP="00EA6F3A"/>
    <w:p w14:paraId="75843F0A" w14:textId="060D97C5" w:rsidR="00EA6F3A" w:rsidRDefault="00EA6F3A" w:rsidP="00EA6F3A">
      <w:r>
        <w:t>Ob podpisu memoranduma NAVSTAR V je Republika Slovenija podala izjavo, da bo tajne podatke izmenjevala samo v okviru zavezništva oziroma z državami, s katerimi ima sklenjene dvostranske sporazume o izmenjavi in varovanju tajnih podatkov. Prav tako je Slovenija ob podpisu podala izjavo, da bo nadzorovane podatke brez stopnje tajnosti varovala v skladu z zakonodajo, ki ureja dostop do informacij javnega značaja.</w:t>
      </w:r>
    </w:p>
    <w:p w14:paraId="602EF79F" w14:textId="7A5C4ED5" w:rsidR="00DC2E55" w:rsidRDefault="00EA6F3A" w:rsidP="00EA6F3A">
      <w:pPr>
        <w:pStyle w:val="Vir"/>
      </w:pPr>
      <w:r>
        <w:t>Vir: Ministrstvo za zunanje in evropske zadeve</w:t>
      </w:r>
    </w:p>
    <w:p w14:paraId="5500734F" w14:textId="1694462D" w:rsidR="0082540F" w:rsidRDefault="0082540F" w:rsidP="0082540F">
      <w:pPr>
        <w:pStyle w:val="Naslov2"/>
      </w:pPr>
      <w:r>
        <w:t>Potrditev Okvirnega tehničnega dogovora med Ministrstvom za obrambo RS in ostalimi udeleženci vaje o izvajanju in zagotavljanju podpore države gostiteljice med ponavljajočo se vajo »ZVEZDA TRIGLAVA«</w:t>
      </w:r>
    </w:p>
    <w:p w14:paraId="7E29E767" w14:textId="77777777" w:rsidR="0082540F" w:rsidRDefault="0082540F" w:rsidP="0082540F">
      <w:r>
        <w:t xml:space="preserve">Vlada Republike Slovenije je potrdila Okvirni tehnični dogovor med ministrstvi za obrambo Slovenije, Češke republike, Zvezne republike Nemčije, Madžarske, </w:t>
      </w:r>
      <w:proofErr w:type="spellStart"/>
      <w:r>
        <w:t>Italijr</w:t>
      </w:r>
      <w:proofErr w:type="spellEnd"/>
      <w:r>
        <w:t>, Poljske, Španije, Severne Makedonije in Združenega kraljestva Velike Britanije in Severne Irske o izvajanju in zagotavljanju podpore države gostiteljice med ponavljajočo se vajo »ZVEZDA TRIGLAVA«, sklenjen 9. septembra 2024.</w:t>
      </w:r>
    </w:p>
    <w:p w14:paraId="289F55D4" w14:textId="77777777" w:rsidR="0082540F" w:rsidRDefault="0082540F" w:rsidP="0082540F"/>
    <w:p w14:paraId="03AC5FCA" w14:textId="77777777" w:rsidR="0082540F" w:rsidRDefault="0082540F" w:rsidP="0082540F">
      <w:r>
        <w:t xml:space="preserve">Vaja ZVEZDA TRIGLAVA je mednarodna vojaška vaja, ki na ozemlju Republike Slovenije poteka že vrsto let in je namenjena krepitvi zavezništva, kolektivnemu usposabljanju oddelkov in vodov gostujočih enot, ob podpori pripadnikov Slovenske vojske, sodelovanju z lokalnim okoljem in delovanju na terenih izven vadišč Slovenske vojske. </w:t>
      </w:r>
    </w:p>
    <w:p w14:paraId="06E37D96" w14:textId="77777777" w:rsidR="0082540F" w:rsidRDefault="0082540F" w:rsidP="0082540F"/>
    <w:p w14:paraId="6055959E" w14:textId="77777777" w:rsidR="0082540F" w:rsidRDefault="0082540F" w:rsidP="0082540F">
      <w:r>
        <w:t xml:space="preserve">Namen okvirnega tehničnega dogovora je celovito opredeliti pogoje in način zagotavljanja podpore države gostiteljice državam udeleženkam ter medsebojne obveznosti in se nanaša na zaščito sil, varovanje okolja, status pripadnikov, reševanje odškodninskih zahtevkov, varovanje podatkov, zdravstveno in zobozdravstveno oskrbo, prehod meje in podobno za ponavljajočo se vajo ZVEZDA TRIGLAVA. Predvideno je, da se vsakoletna vaja izvede v skladu s tem okvirnim tehničnim dogovorom in se praviloma poseben dogovor za posamezno vajo ne sklepa. Podrobnosti vaje se vsako leto določijo v EXOPLAN. </w:t>
      </w:r>
    </w:p>
    <w:p w14:paraId="653CD826" w14:textId="68D54ACB" w:rsidR="00DC2E55" w:rsidRDefault="0082540F" w:rsidP="0082540F">
      <w:pPr>
        <w:pStyle w:val="Vir"/>
      </w:pPr>
      <w:r>
        <w:t>Vir: Ministrstvo za zunanje in evropske zadeve</w:t>
      </w:r>
    </w:p>
    <w:p w14:paraId="070E5F4C" w14:textId="29836FDE" w:rsidR="00463E70" w:rsidRDefault="00463E70" w:rsidP="00463E70">
      <w:pPr>
        <w:pStyle w:val="Naslov2"/>
      </w:pPr>
      <w:r>
        <w:t>Vlada se je seznanila z informacijo o podpisu tehničnega sporazuma glede delovanja regionalnega poveljstva komponente za specialno delovanje</w:t>
      </w:r>
    </w:p>
    <w:p w14:paraId="0D165622" w14:textId="77777777" w:rsidR="00463E70" w:rsidRDefault="00463E70" w:rsidP="00463E70">
      <w:r>
        <w:t xml:space="preserve">Pobuda o nameri večnacionalnega sodelovanja za vzpostavitev regionalnega poveljstva komponente za specialno delovanje gradi na že vzpostavljenem odličnem regionalnem sodelovanju ter vse večjem zavedanju o pomenu združevanja zmogljivosti manjših držav in njihovi skupni uporabi. </w:t>
      </w:r>
    </w:p>
    <w:p w14:paraId="2CF3179E" w14:textId="77777777" w:rsidR="00463E70" w:rsidRDefault="00463E70" w:rsidP="00463E70"/>
    <w:p w14:paraId="04DDC3E5" w14:textId="77777777" w:rsidR="00463E70" w:rsidRDefault="00463E70" w:rsidP="00463E70">
      <w:r>
        <w:t>Namen poveljstva je služiti predvsem kot večnacionalna zmogljivost sil za specialno delovanje za regionalne interese. V tem okviru je bil v preteklosti sklenjen Memorandum o soglasju med Ministrstvom za obrambo Republike Avstrije, Ministrstvom za obrambo Republike Hrvaške, Ministrstvom za obrambo Madžarske, Ministrstvom za obrambo Slovaške republike in Ministrstvom za obrambo Republike Slovenije o ustanovitvi regionalnega poveljstva komponente za specialno delovanje, podpisan 25. oktobra 2019 v Bruslju in 15. decembra 2020 v Postojni, ki predstavlja ustrezen okvir za vzpostavitev poveljstva, znotraj katerega je Madžarska nosilna država, Republika Avstrija, Republika Hrvaška, Slovaška republika in Republika Slovenija pa so udeleženke.</w:t>
      </w:r>
    </w:p>
    <w:p w14:paraId="4AB0E435" w14:textId="77777777" w:rsidR="00463E70" w:rsidRDefault="00463E70" w:rsidP="00463E70"/>
    <w:p w14:paraId="7F2FB20C" w14:textId="77777777" w:rsidR="00463E70" w:rsidRDefault="00463E70" w:rsidP="00463E70">
      <w:r>
        <w:t xml:space="preserve">Namen tehničnega sporazuma med ministrstvi za obrambo o delovanju regionalnega poveljstva komponente za specialno dovoljenje je opredeliti odnose, odgovornosti in zahteve pri oblikovanju, vzdrževanju in delovanju zmogljivosti poveljstva. </w:t>
      </w:r>
    </w:p>
    <w:p w14:paraId="63CE6CAB" w14:textId="77777777" w:rsidR="00463E70" w:rsidRDefault="00463E70" w:rsidP="00463E70"/>
    <w:p w14:paraId="012BD522" w14:textId="77777777" w:rsidR="00463E70" w:rsidRDefault="00463E70" w:rsidP="00463E70">
      <w:r>
        <w:t>Tehnični sporazum določa obveznosti države gostiteljice, udeležencev pošiljateljev ter sestavo in pristojnosti upravnega odbora. Ureja tudi sodelovanje prispevajočih partnerjev, ki niso podpisniki memoranduma ali tehničnega sporazuma, bodo pa na podlagi note o pristopu k tehničnemu sporazumu ali ločenega sporazuma sodelovali pri aktivnostih, ki jih tehnični sporazum pokriva.</w:t>
      </w:r>
    </w:p>
    <w:p w14:paraId="099C3A3E" w14:textId="77777777" w:rsidR="00463E70" w:rsidRDefault="00463E70" w:rsidP="00463E70"/>
    <w:p w14:paraId="49731B8A" w14:textId="77777777" w:rsidR="00463E70" w:rsidRDefault="00463E70" w:rsidP="00463E70">
      <w:r>
        <w:t>Sklenitev tehničnega sporazuma za Republiko Slovenijo ne prinaša neposrednih finančnih posledic, te bodo nastale ob izvedbi vaj ali ob aktivaciji poveljstva.</w:t>
      </w:r>
    </w:p>
    <w:p w14:paraId="590F460B" w14:textId="5FF45941" w:rsidR="00DC2E55" w:rsidRDefault="00463E70" w:rsidP="00463E70">
      <w:pPr>
        <w:pStyle w:val="Vir"/>
      </w:pPr>
      <w:r>
        <w:t>Vir: Ministrstvo za obrambo</w:t>
      </w:r>
    </w:p>
    <w:p w14:paraId="05A06947" w14:textId="460D1A90" w:rsidR="00DC2E55" w:rsidRDefault="00DC2E55" w:rsidP="00EA718F">
      <w:pPr>
        <w:pStyle w:val="Naslov2"/>
      </w:pPr>
      <w:r>
        <w:t>Informacija o podpisu Tehničnega sporazuma o zagotavljanju podpore države gostiteljice na vaji sil za specialno delovanje Black Swan 2025</w:t>
      </w:r>
    </w:p>
    <w:p w14:paraId="7FB4874B" w14:textId="2199E07B" w:rsidR="00EA718F" w:rsidRDefault="00EA718F" w:rsidP="00EA718F">
      <w:r>
        <w:t>Vlada se je seznanila z informacijo o podpisu tehničnega sporazuma med ministrstvoma za obrambo Madžarske in Slovenije glede zagotavljanja podpore države gostiteljice na vaji sil za specialno delovanje Black Swan 2025.</w:t>
      </w:r>
    </w:p>
    <w:p w14:paraId="4BB74201" w14:textId="77777777" w:rsidR="00EA718F" w:rsidRDefault="00EA718F" w:rsidP="00EA718F"/>
    <w:p w14:paraId="506C00A5" w14:textId="77777777" w:rsidR="00EA718F" w:rsidRDefault="00EA718F" w:rsidP="00EA718F">
      <w:r>
        <w:t xml:space="preserve">Od 15. septembra do 30. oktobra 2025 bo na Madžarskem potekala mednarodna vojaška vaja Black Swan 2025, ki je kot del širše vaje </w:t>
      </w:r>
      <w:proofErr w:type="spellStart"/>
      <w:r>
        <w:t>Steadfast</w:t>
      </w:r>
      <w:proofErr w:type="spellEnd"/>
      <w:r>
        <w:t xml:space="preserve"> duel 2025 večstranska vaja bojevanja v celotnem spektru sil za specialno delovanje. </w:t>
      </w:r>
    </w:p>
    <w:p w14:paraId="5A61A370" w14:textId="77777777" w:rsidR="00EA718F" w:rsidRDefault="00EA718F" w:rsidP="00EA718F"/>
    <w:p w14:paraId="6EC7F64C" w14:textId="77777777" w:rsidR="00EA718F" w:rsidRDefault="00EA718F" w:rsidP="00EA718F">
      <w:r>
        <w:t>Na vaji, ki poteka že vrsto let, bodo na podlagi ločenih dogovorov sodelovali tudi pripadniki hrvaških in avstrijskih oboroženih sil. Na vaji je načrtovana udeležba do 50 pripadnikov Slovenske vojske, helikopterja Cougar in več vozil.</w:t>
      </w:r>
    </w:p>
    <w:p w14:paraId="0840B00F" w14:textId="77777777" w:rsidR="00EA718F" w:rsidRDefault="00EA718F" w:rsidP="00EA718F"/>
    <w:p w14:paraId="34AED909" w14:textId="77777777" w:rsidR="00EA718F" w:rsidRDefault="00EA718F" w:rsidP="00EA718F">
      <w:r>
        <w:t>Dvostranski tehnični sporazum o zagotavljanju podpore države gostiteljice na vaji Black Swan 2025 opredeljuje časovni okvir vaje, splošna načela, obveznosti udeležencev, standarde, vrsto, raven ter obseg in način podpore, ki jo bo zagotovila madžarska stran kot država gostiteljica. Tehnični sporazum vsebuje podrobnejše določbe glede logistične in zdravstvene podpore, finančnih postopkov, premika in transporta ter varovanja tajnih podatkov.</w:t>
      </w:r>
    </w:p>
    <w:p w14:paraId="32C900D7" w14:textId="77777777" w:rsidR="00EA718F" w:rsidRDefault="00EA718F" w:rsidP="00EA718F"/>
    <w:p w14:paraId="64321863" w14:textId="77777777" w:rsidR="00EA718F" w:rsidRDefault="00EA718F" w:rsidP="00EA718F">
      <w:r>
        <w:t xml:space="preserve">Vaja je vključena v Načrt vaj v obrambnem sistemu in sistemu varstva pred naravnimi in drugimi nesrečami v letu 2025. </w:t>
      </w:r>
    </w:p>
    <w:p w14:paraId="5B386564" w14:textId="70DE7776" w:rsidR="00EA718F" w:rsidRDefault="00EA718F" w:rsidP="00EA718F">
      <w:pPr>
        <w:pStyle w:val="Vir"/>
      </w:pPr>
      <w:r>
        <w:t>Vir: Ministrstvo za obrambo</w:t>
      </w:r>
    </w:p>
    <w:p w14:paraId="15E21706" w14:textId="32B38E50" w:rsidR="00DC2E55" w:rsidRDefault="00DC2E55" w:rsidP="006B123A">
      <w:pPr>
        <w:pStyle w:val="Naslov2"/>
      </w:pPr>
      <w:r>
        <w:t xml:space="preserve">Informacija o podpisu Note k memorandumu o ustanovitvi, organiziranju, upravljanju, varnosti, financiranju in popolnjevanju osebne sestave Centra za združevanje obveščevalnih podatkov </w:t>
      </w:r>
    </w:p>
    <w:p w14:paraId="744B6F43" w14:textId="34E9469D" w:rsidR="006B123A" w:rsidRDefault="006B123A" w:rsidP="006B123A">
      <w:r>
        <w:lastRenderedPageBreak/>
        <w:t>Vlada se je seznanila z informacijo o podpisu note o pridružitvi finskih in švedskih oboroženih sil k memorandumu o ustanovitvi, organiziranju, upravljanju, varnosti, financiranju in popolnjevanju Natovega centra za združevanje obveščevalnih podatkov.</w:t>
      </w:r>
    </w:p>
    <w:p w14:paraId="0CF8498A" w14:textId="77777777" w:rsidR="006B123A" w:rsidRDefault="006B123A" w:rsidP="006B123A"/>
    <w:p w14:paraId="2C29F1B3" w14:textId="77777777" w:rsidR="006B123A" w:rsidRDefault="006B123A" w:rsidP="006B123A">
      <w:r>
        <w:t xml:space="preserve">V Natovem centru poleg Slovenije sodeluje še 26 članic zavezništva, namenjen pa je zagotavljanju pravočasnih in učinkovitih obveščevalnih podatkov za Vrhovnega zavezniškega poveljnika za Evropo (SACEUR) v podporo načrtovanju in izvajanju operacij. </w:t>
      </w:r>
    </w:p>
    <w:p w14:paraId="602A2D34" w14:textId="77777777" w:rsidR="006B123A" w:rsidRDefault="006B123A" w:rsidP="006B123A"/>
    <w:p w14:paraId="4D15012D" w14:textId="77777777" w:rsidR="006B123A" w:rsidRDefault="006B123A" w:rsidP="006B123A">
      <w:r>
        <w:t xml:space="preserve">Memorandum poleg določb o ustanovitvi, organiziranju, upravljanju, varnosti, financiranju in popolnjevanju osebne sestave centra vsebuje tudi pravila o delitvi stroškov med udeleženci. </w:t>
      </w:r>
    </w:p>
    <w:p w14:paraId="39DAFAA8" w14:textId="77777777" w:rsidR="006B123A" w:rsidRDefault="006B123A" w:rsidP="006B123A"/>
    <w:p w14:paraId="20CEDAAC" w14:textId="77777777" w:rsidR="006B123A" w:rsidRDefault="006B123A" w:rsidP="006B123A">
      <w:r>
        <w:t>Finska in švedska stran se želita pridružiti memorandumu z vsemi pravicami in obveznostmi, ki iz njega izhajajo. Pridružitev novih obveščevalnih podatkov udeležencev je opredeljena v XVI. členu memoranduma, ki določa, da noto o pridružitvi podpišejo država prosilka in vsi udeleženci memoranduma.</w:t>
      </w:r>
    </w:p>
    <w:p w14:paraId="3AA7B195" w14:textId="77777777" w:rsidR="006B123A" w:rsidRDefault="006B123A" w:rsidP="006B123A"/>
    <w:p w14:paraId="4E546457" w14:textId="77777777" w:rsidR="006B123A" w:rsidRDefault="006B123A" w:rsidP="006B123A">
      <w:r>
        <w:t>Podpis note o pridružitvi za slovensko stran ne prinaša finančnih posledic.</w:t>
      </w:r>
    </w:p>
    <w:p w14:paraId="1654B0FE" w14:textId="169A34D3" w:rsidR="006B123A" w:rsidRDefault="006B123A" w:rsidP="006B123A">
      <w:pPr>
        <w:pStyle w:val="Vir"/>
      </w:pPr>
      <w:r>
        <w:t>Vir: Ministrstvo za obrambo</w:t>
      </w:r>
    </w:p>
    <w:p w14:paraId="37233901" w14:textId="4ABC7783" w:rsidR="00DC2E55" w:rsidRDefault="006B123A" w:rsidP="006B123A">
      <w:pPr>
        <w:pStyle w:val="Naslov2"/>
      </w:pPr>
      <w:r>
        <w:t>S</w:t>
      </w:r>
      <w:r w:rsidR="00DC2E55">
        <w:t>klep o sodelovanju Republike Slovenije na Natovi vaji kibernetske obrambe »</w:t>
      </w:r>
      <w:proofErr w:type="spellStart"/>
      <w:r w:rsidR="00DC2E55">
        <w:t>Cyber</w:t>
      </w:r>
      <w:proofErr w:type="spellEnd"/>
      <w:r w:rsidR="00DC2E55">
        <w:t xml:space="preserve"> </w:t>
      </w:r>
      <w:proofErr w:type="spellStart"/>
      <w:r w:rsidR="00DC2E55">
        <w:t>Coalition</w:t>
      </w:r>
      <w:proofErr w:type="spellEnd"/>
      <w:r w:rsidR="00DC2E55">
        <w:t xml:space="preserve"> 2025 – CC25«</w:t>
      </w:r>
    </w:p>
    <w:p w14:paraId="4C31E29C" w14:textId="4EE32BD0" w:rsidR="006B123A" w:rsidRDefault="006B123A" w:rsidP="006B123A">
      <w:r>
        <w:t xml:space="preserve">Vlada je sprejela sklep o sodelovanju Republike Slovenije na Natovi vaji kibernetske obrambe </w:t>
      </w:r>
      <w:proofErr w:type="spellStart"/>
      <w:r>
        <w:t>Cyber</w:t>
      </w:r>
      <w:proofErr w:type="spellEnd"/>
      <w:r>
        <w:t xml:space="preserve"> </w:t>
      </w:r>
      <w:proofErr w:type="spellStart"/>
      <w:r>
        <w:t>Coalition</w:t>
      </w:r>
      <w:proofErr w:type="spellEnd"/>
      <w:r>
        <w:t xml:space="preserve"> 2025.</w:t>
      </w:r>
    </w:p>
    <w:p w14:paraId="30CF4E85" w14:textId="77777777" w:rsidR="006B123A" w:rsidRDefault="006B123A" w:rsidP="006B123A"/>
    <w:p w14:paraId="1C04019C" w14:textId="77777777" w:rsidR="006B123A" w:rsidRDefault="006B123A" w:rsidP="006B123A">
      <w:r>
        <w:t xml:space="preserve">Od 28. novembra do 4. decembra 2025 bo Republika Slovenija sodelovala na Natovi vaji kibernetske obrambe </w:t>
      </w:r>
      <w:proofErr w:type="spellStart"/>
      <w:r>
        <w:t>Cyber</w:t>
      </w:r>
      <w:proofErr w:type="spellEnd"/>
      <w:r>
        <w:t xml:space="preserve"> </w:t>
      </w:r>
      <w:proofErr w:type="spellStart"/>
      <w:r>
        <w:t>Coalition</w:t>
      </w:r>
      <w:proofErr w:type="spellEnd"/>
      <w:r>
        <w:t xml:space="preserve"> 2025. Namen vaje je izboljšati sodelovanje ter okrepiti sposobnost Nata in zaveznic pri zaščiti in obrambi kibernetskega prostora. </w:t>
      </w:r>
    </w:p>
    <w:p w14:paraId="60BE8779" w14:textId="77777777" w:rsidR="006B123A" w:rsidRDefault="006B123A" w:rsidP="006B123A"/>
    <w:p w14:paraId="086029F1" w14:textId="77777777" w:rsidR="006B123A" w:rsidRDefault="006B123A" w:rsidP="006B123A">
      <w:r>
        <w:t xml:space="preserve">Težišče vaje bo namenjeno odzivanju na kibernetske incidente pri delovanju elektronskih komunikacijskih omrežij in sistemov, ki podpirajo delovanje nacionalno-varnostnega sistema, sektorja digitalne infrastrukture ter energetike, s posebnim poudarkom na zagotavljanju kibernetske varnosti nacionalnih informacijsko-komunikacijskih omrežij in sistemov, ki izvajajo podporo pri logistični oskrbi slovenskega kontingenta na mednarodni misiji. </w:t>
      </w:r>
    </w:p>
    <w:p w14:paraId="6C35B520" w14:textId="77777777" w:rsidR="006B123A" w:rsidRDefault="006B123A" w:rsidP="006B123A"/>
    <w:p w14:paraId="63727DC4" w14:textId="77777777" w:rsidR="006B123A" w:rsidRDefault="006B123A" w:rsidP="006B123A">
      <w:r>
        <w:t>Pomemben element nacionalne vaje bo tudi preigravanje različnih možnosti nudenja in sprejemanja vzajemne pomoči ob kibernetskih napadih tako na nacionalnem nivoju kot v mednarodnem okolju. Pravna vprašanja glede nudenja pomoči postajajo vedno aktualnejša zaradi hitrega in učinkovitega odzivanja na kibernetske incidente, zato je nujno, da Republika Slovenija v okviru vaje preigra tudi pravni vidik omenjenega izziva.</w:t>
      </w:r>
    </w:p>
    <w:p w14:paraId="3A4FACD5" w14:textId="77777777" w:rsidR="006B123A" w:rsidRDefault="006B123A" w:rsidP="006B123A"/>
    <w:p w14:paraId="1DA63F0C" w14:textId="77777777" w:rsidR="006B123A" w:rsidRDefault="006B123A" w:rsidP="006B123A">
      <w:r>
        <w:t xml:space="preserve">Vaja </w:t>
      </w:r>
      <w:proofErr w:type="spellStart"/>
      <w:r>
        <w:t>Cyber</w:t>
      </w:r>
      <w:proofErr w:type="spellEnd"/>
      <w:r>
        <w:t xml:space="preserve"> </w:t>
      </w:r>
      <w:proofErr w:type="spellStart"/>
      <w:r>
        <w:t>Coalition</w:t>
      </w:r>
      <w:proofErr w:type="spellEnd"/>
      <w:r>
        <w:t xml:space="preserve"> 2025 je načrtovana v Načrtu vaj v obrambnem sistemu in sistemu varstva pred naravnimi in drugimi nesrečami v letu 2025. </w:t>
      </w:r>
    </w:p>
    <w:p w14:paraId="03EBDBD8" w14:textId="0DCD76C5" w:rsidR="006B123A" w:rsidRDefault="006B123A" w:rsidP="006B123A">
      <w:pPr>
        <w:pStyle w:val="Vir"/>
      </w:pPr>
      <w:r>
        <w:t>Vir: Ministrstvo za obrambo</w:t>
      </w:r>
    </w:p>
    <w:p w14:paraId="1D267EE6" w14:textId="398D3836" w:rsidR="00C13004" w:rsidRDefault="00C13004" w:rsidP="00C13004">
      <w:pPr>
        <w:pStyle w:val="Naslov2"/>
      </w:pPr>
      <w:r>
        <w:t xml:space="preserve">Mnenje Vlade o Predlogu zakona o spremembah in dopolnitvah Zakona o volitvah v državni zbor </w:t>
      </w:r>
    </w:p>
    <w:p w14:paraId="4FC5640E" w14:textId="77777777" w:rsidR="00C13004" w:rsidRDefault="00C13004" w:rsidP="00C13004">
      <w:r>
        <w:t xml:space="preserve">Državni zbor Republike Slovenije je Vladi Republike Slovenije v mnenje posredoval predlog Zakona o spremembah in dopolnitvah Zakona o volitvah v državni zbor, ki ga je 23. 7. 2025 v zakonodajni </w:t>
      </w:r>
      <w:r>
        <w:lastRenderedPageBreak/>
        <w:t>postopek vložila skupina poslank in poslancev, s prvopodpisanimi Lucijo Tacer, Janijem Prednikom in dr. Matejem T. Vatovcem.</w:t>
      </w:r>
    </w:p>
    <w:p w14:paraId="629C4DAB" w14:textId="77777777" w:rsidR="00C13004" w:rsidRDefault="00C13004" w:rsidP="00C13004"/>
    <w:p w14:paraId="215C7822" w14:textId="77777777" w:rsidR="00C13004" w:rsidRDefault="00C13004" w:rsidP="00C13004">
      <w:r>
        <w:t>Vlada podpira predlagane spremembe zakona, s katerimi želi predlagatelj uveljaviti voljo volivcev, izraženo na posvetovalnem referendumu junija 2024, ko je za uvedbo preferenčnega glasu na volitvah v državni zbor glasovalo 70,89 odstotkov volivcev, ki so oddali veljavno glasovnico.</w:t>
      </w:r>
    </w:p>
    <w:p w14:paraId="7379701D" w14:textId="77777777" w:rsidR="00C13004" w:rsidRDefault="00C13004" w:rsidP="00C13004"/>
    <w:p w14:paraId="14CEF87B" w14:textId="77777777" w:rsidR="00C13004" w:rsidRDefault="00C13004" w:rsidP="00C13004">
      <w:r>
        <w:t>Predlagana uvedba preferenčnega glasu, s katerim lahko volivci odločijo o tem, kateri kandidat z liste kandidatov naj bo izvoljen, je v proporcionalnih volilnih sistemih najpogostejši način uveljavljanja načela personalizacije volitev. Izkušnje z volitvami v Evropski parlament kažejo, da je preferenčni glas volivcem blizu in da ga želijo uporabljati. Vlada meni, da predlog zakona z uvedbo neobveznega relativnega preferenčnega glasu na ravni volilnih enot omogoča odločilen vpliv volivca na dodelitev mandatov kandidatom, v skladu z določbo petega odstavka 80. člena Ustave.</w:t>
      </w:r>
    </w:p>
    <w:p w14:paraId="631F488B" w14:textId="77777777" w:rsidR="00C13004" w:rsidRDefault="00C13004" w:rsidP="00C13004"/>
    <w:p w14:paraId="422EEFBC" w14:textId="77777777" w:rsidR="00C13004" w:rsidRDefault="00C13004" w:rsidP="00C13004">
      <w:r>
        <w:t>Vlada podpira tudi spremembe, s katerimi želi predlagatelj zagotoviti še večjo uravnoteženost spolov pri urejanju pasivne volilne pravice oziroma pri kandidiranju. Vlada nadalje ugotavlja, da predlagatelj zakona sledi tudi priporočilu Varuha človekovih pravic, ki je v poročilu za leto 2022 pozval k pripravi predloga ustrezne zakonske ureditve obveščanja o naslovih, kjer se zbira podpora kandidatom na volitvah.</w:t>
      </w:r>
    </w:p>
    <w:p w14:paraId="7CB46E84" w14:textId="1DAFE713" w:rsidR="00DC2E55" w:rsidRDefault="00C13004" w:rsidP="00C13004">
      <w:pPr>
        <w:pStyle w:val="Vir"/>
      </w:pPr>
      <w:r>
        <w:t>Vir: Ministrstvo za javno upravo</w:t>
      </w:r>
    </w:p>
    <w:p w14:paraId="3E69950D" w14:textId="7276CB91" w:rsidR="008A027E" w:rsidRDefault="008A027E" w:rsidP="008A027E">
      <w:pPr>
        <w:pStyle w:val="Naslov2"/>
      </w:pPr>
      <w:r>
        <w:t>Vlada potrdila sklep o določitvi seznama kategorij elektronskih naprav, ki so namenjene dostopu do storitev informacijske družbe ali medijev</w:t>
      </w:r>
    </w:p>
    <w:p w14:paraId="7387EAF0" w14:textId="77777777" w:rsidR="008A027E" w:rsidRDefault="008A027E" w:rsidP="008A027E">
      <w:r>
        <w:t xml:space="preserve">Na vladi je bil danes potrjen sklep o določitvi seznama kategorij elektronskih komunikacijskih in digitalnih odjemalnih naprav, kar določa prenovljeni Zakon o javni rabi slovenščine (ZJRS). S tem pa je bil storjen še en odločen korak v smeri enakovredne zastopanosti slovenskega jezika v digitalnem okolju. </w:t>
      </w:r>
    </w:p>
    <w:p w14:paraId="04B05113" w14:textId="77777777" w:rsidR="008A027E" w:rsidRDefault="008A027E" w:rsidP="008A027E"/>
    <w:p w14:paraId="60C0E8D6" w14:textId="7B22EF69" w:rsidR="008A027E" w:rsidRDefault="008A027E" w:rsidP="008A027E">
      <w:r>
        <w:t>Z lani sprejetim ZJRS se zakonske obveznosti glede uporabe slovenščine širijo na področje digitalnih tehnologij, ki imajo vedno večjo vlogo v življenju vsakega posameznika in celotne družbe. Številne elektronske naprave še niso prilagojene manjšim jezikovnim skupinam, med katere sodi tudi slovenščina, zato so slovenski uporabniki pogosto primorani uporabljati elektronske naprave v tujem jeziku. To prinaša vrsto negativnih posledic, med drugim manjšo socialno vključenost oseb, ki ne razumejo tujih jezikov, in slabši varnosti potrošnikov, saj lahko elektronske naprave postanejo nevarne za uporabo (npr. avtomobili), če navodila in opozorila v tujem jeziku niso razumljiva uporabnikom v Republiki Sloveniji.</w:t>
      </w:r>
    </w:p>
    <w:p w14:paraId="0030F3A8" w14:textId="77777777" w:rsidR="008A027E" w:rsidRDefault="008A027E" w:rsidP="008A027E"/>
    <w:p w14:paraId="63B1482F" w14:textId="0647811D" w:rsidR="008A027E" w:rsidRDefault="008A027E" w:rsidP="008A027E">
      <w:r>
        <w:t xml:space="preserve">S seznamom kategorij naprav se zato določajo elektronske komunikacijske in digitalne odjemalne naprave, ki bodo morale imeti omogočeno izbiro slovenščine, tako da bo funkcionalnost naprave enakovredna funkcionalnosti naprave v drugih podprtih jezikih. </w:t>
      </w:r>
    </w:p>
    <w:p w14:paraId="2B8E73B5" w14:textId="77777777" w:rsidR="008A027E" w:rsidRDefault="008A027E" w:rsidP="008A027E"/>
    <w:p w14:paraId="232B293D" w14:textId="71001765" w:rsidR="008A027E" w:rsidRDefault="008A027E" w:rsidP="008A027E">
      <w:r>
        <w:t xml:space="preserve">Na seznamu so navedene kategorije naprav, ki so danes ključne za spremljanje medijev, pridobivanje informacij, ustvarjanje lastnih vsebin, dostop do elektronskih storitev javne uprave (zdravja, davkov …) ter za dostop do večine drugih informacij in zabave, ki se širijo prek digitalnih platform (med drugim pametni mobilniki in računalniki, povezani avtomobili …). </w:t>
      </w:r>
    </w:p>
    <w:p w14:paraId="0F44FC96" w14:textId="77777777" w:rsidR="008A027E" w:rsidRDefault="008A027E" w:rsidP="008A027E"/>
    <w:p w14:paraId="49D9CDCB" w14:textId="12F9ABEA" w:rsidR="008A027E" w:rsidRDefault="008A027E" w:rsidP="008A027E">
      <w:r>
        <w:t xml:space="preserve">Prenovljeni Zakon o javni rabi slovenščine je bil v državnem zboru potrjen lani aprila. Sprememba zakona je bila nujno, saj stari zakon (napisan sprejet 2004 in zadnjič dopolnjen 2010) ni ustrezno urejal varovanja slovenščine tudi v digitalnem okolju. </w:t>
      </w:r>
    </w:p>
    <w:p w14:paraId="43B8CD45" w14:textId="144F80F4" w:rsidR="008A027E" w:rsidRDefault="008A027E" w:rsidP="008A027E">
      <w:r>
        <w:t xml:space="preserve">S prenovljenim zakonom smo na Ministrstvu za kulturo na novo opredelili javno rabo jezika, ki zajema tudi digitalno okolje. Po novem so pod javno rabo jezika zajeti tudi operacijski sistemih in uporabniški </w:t>
      </w:r>
      <w:r>
        <w:lastRenderedPageBreak/>
        <w:t>vmesniki, ki za večino uporabnikov predstavljajo pomembno ali celo glavno jezikovno okolje, v katerem pa slovenščina še ni enakovredno zastopana. Med prvimi večjimi proizvajalci so se na nove zahteve odzvali pri Applu in lani jeseni podprli slovenščino v mobilnem operacijskem sistemu iOS 18.</w:t>
      </w:r>
    </w:p>
    <w:p w14:paraId="03A8C06D" w14:textId="746A0137" w:rsidR="00DC2E55" w:rsidRDefault="008A027E" w:rsidP="008A027E">
      <w:pPr>
        <w:pStyle w:val="Vir"/>
      </w:pPr>
      <w:r>
        <w:t>Vir: Ministrstvo za kulturo</w:t>
      </w:r>
    </w:p>
    <w:p w14:paraId="7683F1A7" w14:textId="658DA403" w:rsidR="00B62B22" w:rsidRDefault="00B62B22" w:rsidP="00B62B22">
      <w:pPr>
        <w:pStyle w:val="Naslov2"/>
      </w:pPr>
      <w:r>
        <w:t>Soglasje Vlade k predlogom amandmajev k predlogu novele Zakona o splošnem upravnem postopku</w:t>
      </w:r>
    </w:p>
    <w:p w14:paraId="615C4FDC" w14:textId="77777777" w:rsidR="00B62B22" w:rsidRDefault="00B62B22" w:rsidP="00B62B22">
      <w:r>
        <w:t>Vlada Republike Slovenije soglaša s predlogi amandmajev k Predlogu Zakona o spremembah in dopolnitvah Zakona o splošnem upravnem postopku (ZUP-I).</w:t>
      </w:r>
    </w:p>
    <w:p w14:paraId="2D7091E0" w14:textId="77777777" w:rsidR="00B62B22" w:rsidRDefault="00B62B22" w:rsidP="00B62B22"/>
    <w:p w14:paraId="529907E1" w14:textId="77777777" w:rsidR="00B62B22" w:rsidRDefault="00B62B22" w:rsidP="00B62B22">
      <w:r>
        <w:t>Predlagani amandmaji so pripravljeni na podlagi mnenja Zakonodajno pravne službe Državnega zbora Republike Slovenije (ZPS). Z njimi se v največji možni meri upoštevajo pripombe ZPS, ki jih je podala z vidika skladnosti predlaganega zakona z Ustavo Republike Slovenije, pravnim sistemom in z zakonodajno-tehničnega vidika.</w:t>
      </w:r>
    </w:p>
    <w:p w14:paraId="0C9A24CC" w14:textId="53D023D8" w:rsidR="00B62B22" w:rsidRDefault="00B62B22" w:rsidP="00B62B22">
      <w:pPr>
        <w:pStyle w:val="Vir"/>
      </w:pPr>
      <w:r>
        <w:t>Vir: Ministrstvo za javno upravo</w:t>
      </w:r>
    </w:p>
    <w:p w14:paraId="560893EE" w14:textId="0D41FF7B" w:rsidR="00401105" w:rsidRDefault="00401105" w:rsidP="00401105">
      <w:pPr>
        <w:pStyle w:val="Naslov2"/>
      </w:pPr>
      <w:r>
        <w:t>Vlada sprejela predlog Zakona o sofinanciranju organizacije Evropskega prvenstva v košarki 2029 za moške v Ljubljani</w:t>
      </w:r>
    </w:p>
    <w:p w14:paraId="3CACC4FE" w14:textId="77777777" w:rsidR="00401105" w:rsidRDefault="00401105" w:rsidP="00401105">
      <w:r>
        <w:t>Vlada je določila besedilo predloga Zakona o sofinanciranju organizacije Evropskega prvenstva v košarki 2029 za moške v Ljubljani in ga pošlje v obravnavo Državnemu zboru Republike Slovenije. Ministrstvu za gospodarstvo, turizem in šport je naložila, da najkasneje do leta 2027 pripravi predlog predpisa o sistemski ureditvi sofinanciranja velikih mednarodnih športnih prireditev.</w:t>
      </w:r>
    </w:p>
    <w:p w14:paraId="4B0E0E14" w14:textId="77777777" w:rsidR="00401105" w:rsidRDefault="00401105" w:rsidP="00401105"/>
    <w:p w14:paraId="753EEBE1" w14:textId="77777777" w:rsidR="00401105" w:rsidRDefault="00401105" w:rsidP="00401105">
      <w:r>
        <w:t>Košarkarska zveza Slovenije (KZS) je pridobila pravico za organizacijo ene skupine rednega dela Evropskega prvenstva v košarki 2029 za moške (EuroBasket 2029) v Ljubljani. Organizacija takšne prireditve je v javnem interesu, saj bo prispevala k popularizaciji in promociji športa ter spodbudila gospodarstvo in turizem v Sloveniji.</w:t>
      </w:r>
    </w:p>
    <w:p w14:paraId="09EC160C" w14:textId="77777777" w:rsidR="00401105" w:rsidRDefault="00401105" w:rsidP="00401105"/>
    <w:p w14:paraId="41166EDA" w14:textId="77777777" w:rsidR="00401105" w:rsidRDefault="00401105" w:rsidP="00401105">
      <w:r>
        <w:t>Za izvedbo prireditve mora KZS plačati pristojbino mednarodni športni zvezi FIBA Europe, ki vključuje medijske pravice, TV-produkcijo in druge stroške. Ker višina pristojbine in organizacijskih stroškov presega finančne zmožnosti KZS, je predlagano sofinanciranje prireditve v višini 3.775.000 evrov. Trenutno veljavna zakonodaja takšnega sofinanciranja ne omogoča, zato vlada predlaga sprejem posebnega zakona, ki bo omogočil sofinanciranje EuroBasketa 2029.</w:t>
      </w:r>
    </w:p>
    <w:p w14:paraId="14A76648" w14:textId="77777777" w:rsidR="00401105" w:rsidRDefault="00401105" w:rsidP="00401105"/>
    <w:p w14:paraId="750B9DC3" w14:textId="77777777" w:rsidR="00401105" w:rsidRDefault="00401105" w:rsidP="00401105">
      <w:r>
        <w:t>Velike mednarodne športne prireditve se sicer sofinancirajo skladno z letnim programom športa na državni ravni, pri čemer je predpogoj soglasje vlade. Vlada je že izdala soglasje za vložitev kandidature in morebitno sofinanciranje v letu 2029.</w:t>
      </w:r>
    </w:p>
    <w:p w14:paraId="59B0383A" w14:textId="77777777" w:rsidR="00401105" w:rsidRDefault="00401105" w:rsidP="00401105"/>
    <w:p w14:paraId="5869E29C" w14:textId="77777777" w:rsidR="00401105" w:rsidRDefault="00401105" w:rsidP="00401105">
      <w:r>
        <w:t>Vlada je ob tem naložila Ministrstvu za gospodarstvo, turizem in šport, da najkasneje do leta 2027 pripravi predlog sistemske ureditve sofinanciranja velikih mednarodnih športnih prireditev.</w:t>
      </w:r>
    </w:p>
    <w:p w14:paraId="762B725C" w14:textId="0D3B1342" w:rsidR="00DC2E55" w:rsidRDefault="00401105" w:rsidP="00401105">
      <w:pPr>
        <w:pStyle w:val="Vir"/>
      </w:pPr>
      <w:r>
        <w:t>Vir: Ministrstvo za gospodarstvo, turizem in šport</w:t>
      </w:r>
    </w:p>
    <w:p w14:paraId="62D620BE" w14:textId="08AAA597" w:rsidR="001B47EB" w:rsidRDefault="001B47EB" w:rsidP="001B47EB">
      <w:pPr>
        <w:pStyle w:val="Naslov2"/>
      </w:pPr>
      <w:r>
        <w:t>Vlada je določila besedilo predloga</w:t>
      </w:r>
      <w:r w:rsidR="00826E23">
        <w:t xml:space="preserve"> </w:t>
      </w:r>
      <w:r>
        <w:t>Zakona o spremembah in dopolnitvah Zakona za ohranjanje narave</w:t>
      </w:r>
    </w:p>
    <w:p w14:paraId="720DDAE1" w14:textId="159F4ACE" w:rsidR="001B47EB" w:rsidRDefault="001B47EB" w:rsidP="001B47EB">
      <w:r>
        <w:t xml:space="preserve">Namen novele Zakona o ohranjanju narave je zlasti odprava nepotrebnih administrativnih ovir, izboljšanje upravljanja naravnih vrednot, interventno ukrepanje v primeru neposrednega ogrožanja, ki </w:t>
      </w:r>
      <w:r>
        <w:lastRenderedPageBreak/>
        <w:t>ga povzročajo velike zveri,  ureditev področja invazivnih tujerodnih vrst,  ureditev problematike vožnje v naravi in  izboljšave nadzora ter zvišanje glob.</w:t>
      </w:r>
    </w:p>
    <w:p w14:paraId="1892F089" w14:textId="77777777" w:rsidR="001B47EB" w:rsidRDefault="001B47EB" w:rsidP="001B47EB"/>
    <w:p w14:paraId="582288EA" w14:textId="1B05761D" w:rsidR="001B47EB" w:rsidRDefault="001B47EB" w:rsidP="001B47EB">
      <w:r>
        <w:t xml:space="preserve">Novela zakona uvaja administrativne poenostavitve kot na primer ne-izdajanje naravovarstvenega soglasja za manjše rekonstrukcije in vzdrževanje in ukinitev izdajanja ugotovitvenih odločb o obstoju zavarovanih območij. Pri upravljanju naravnih vrednot in zavarovanih območij se dodaja še možnost, da lahko v skladu z aktom o zavarovanju ustanovitelj zavarovano območje upravlja neposredno v organizacijski enoti ministrstva oziroma občine ali skupne občinske uprave, poenostavlja se uveljavljanje predkupne pravice, omogoča se uveljavljanje predkupne pravice na kmetijskih in gozdnih zemljiščih znotraj nekaterih območij Natura 2000 zunaj zavarovanih območij. </w:t>
      </w:r>
    </w:p>
    <w:p w14:paraId="3FEB6E59" w14:textId="77777777" w:rsidR="001B47EB" w:rsidRDefault="001B47EB" w:rsidP="001B47EB"/>
    <w:p w14:paraId="45F5110B" w14:textId="77777777" w:rsidR="001B47EB" w:rsidRDefault="001B47EB" w:rsidP="001B47EB">
      <w:r>
        <w:t xml:space="preserve">Spreminja se ureditev plačil za ogledovanje in obiskovanje naravnih vrednot in sicer se določa  razloge, zaradi katerih se izjemoma obiskovalcem lahko pogojuje vstop oziroma dostop z zaračunavanjem plačila, upravičence za zaračunavanje plačila, način določitve višine plačila, namene porabe zbranih sredstev, pravila za razdelitev sredstev iz plačil med upravičence. </w:t>
      </w:r>
    </w:p>
    <w:p w14:paraId="659B9C20" w14:textId="77777777" w:rsidR="001B47EB" w:rsidRDefault="001B47EB" w:rsidP="001B47EB"/>
    <w:p w14:paraId="1DC15C42" w14:textId="77777777" w:rsidR="001B47EB" w:rsidRDefault="001B47EB" w:rsidP="001B47EB">
      <w:r>
        <w:t>Z namenom učinkovitejšega upravljanja velikih zveri je predvidena uzakonitev interventnega ukrepanja upravljavcev lovišč v primeru neposrednega ogrožanja, ki ga povzročajo velike zveri.</w:t>
      </w:r>
    </w:p>
    <w:p w14:paraId="1DFD0148" w14:textId="77777777" w:rsidR="001B47EB" w:rsidRDefault="001B47EB" w:rsidP="001B47EB">
      <w:r>
        <w:t xml:space="preserve"> </w:t>
      </w:r>
    </w:p>
    <w:p w14:paraId="0E26EE91" w14:textId="77777777" w:rsidR="001B47EB" w:rsidRDefault="001B47EB" w:rsidP="001B47EB">
      <w:r>
        <w:t xml:space="preserve">V noveli zakona se z namenom celovitega izvajanja Uredbe o preprečevanju in obvladovanju vnosa in širjenja invazivnih tujerodnih vrst ureja izvajanje ukrepov ter pristojne organe za ta namen. </w:t>
      </w:r>
    </w:p>
    <w:p w14:paraId="069AE820" w14:textId="77777777" w:rsidR="001B47EB" w:rsidRDefault="001B47EB" w:rsidP="001B47EB"/>
    <w:p w14:paraId="7FC7D6FB" w14:textId="77777777" w:rsidR="001B47EB" w:rsidRDefault="001B47EB" w:rsidP="001B47EB">
      <w:r>
        <w:t xml:space="preserve">Z novelo zakona se upoštevajo številne pobude civilne javnosti, naj se uredi problematika glob in prekrškov v zvezi z vožnjo v naravi, zato je predlagan dvig glob ter dopolnitve ukrepov inšpektorjev, naravovarstvenih nadzornikov in policije.  </w:t>
      </w:r>
    </w:p>
    <w:p w14:paraId="09C68719" w14:textId="308F66B4" w:rsidR="003D0A65" w:rsidRDefault="001B47EB" w:rsidP="001B47EB">
      <w:pPr>
        <w:pStyle w:val="Vir"/>
      </w:pPr>
      <w:r>
        <w:t>Vir: Ministrstvo za naravne vire in prostor</w:t>
      </w:r>
    </w:p>
    <w:p w14:paraId="26C334E5" w14:textId="32A8A4DE" w:rsidR="002B77C6" w:rsidRDefault="002B77C6" w:rsidP="002B77C6">
      <w:pPr>
        <w:pStyle w:val="Naslov2"/>
      </w:pPr>
      <w:r>
        <w:t>Vlada o pripravi proračunov za 2026 in 2027</w:t>
      </w:r>
    </w:p>
    <w:p w14:paraId="505AC432" w14:textId="2CFFB08C" w:rsidR="002B77C6" w:rsidRDefault="00094CB6" w:rsidP="00094CB6">
      <w:r>
        <w:t>Vlada se je danes seznanila z informacijo o poteku priprave sprememb državnega proračuna za leto 2026 in proračuna za leto 2027. V tem procesu sledimo srednjeročnemu cilju vzdržnosti javnega dolga in ohranjanja primanjkljaja sektorja država pod mejo treh odstotkov bruto domačega proizvoda, vsebinsko pa ključne prioritete ostajajo na področju gospodarstva in konkurenčnosti, popoplavne obnove, varnosti in obrambe, dostopnosti stanovanj ter izvajanja evropskih programov.</w:t>
      </w:r>
    </w:p>
    <w:p w14:paraId="54C9EFD0" w14:textId="45258DE0" w:rsidR="00A051C2" w:rsidRDefault="002B77C6" w:rsidP="002B77C6">
      <w:pPr>
        <w:pStyle w:val="Vir"/>
      </w:pPr>
      <w:r>
        <w:t>Vir: Ministrstvo za finance</w:t>
      </w:r>
    </w:p>
    <w:p w14:paraId="08CC2DAB" w14:textId="41BF9E1F" w:rsidR="00957BE3" w:rsidRDefault="00957BE3" w:rsidP="00957BE3">
      <w:pPr>
        <w:pStyle w:val="Naslov2"/>
      </w:pPr>
      <w:r>
        <w:t xml:space="preserve">Razvojna strategija Sklada kmetijskih zemljišč in gozdov  </w:t>
      </w:r>
    </w:p>
    <w:p w14:paraId="72C61406" w14:textId="77777777" w:rsidR="00957BE3" w:rsidRDefault="00957BE3" w:rsidP="00957BE3">
      <w:r>
        <w:t>Vlada se je seznanila z Razvojno strategijo Sklada kmetijskih zemljišč in gozdov Republike Slovenije za obdobje 2023–2027. V njej so določeni štirje strateški cilji, in sicer učinkovito delovanje sklada, učinkovit, uspešen in gospodaren sistem upravljanja s kmetijskimi zemljišči v državni lasti, trajnostna in podnebno vzdržna kmetijska pridelava ter razvito in poseljeno slovensko podeželje z ohranjeno kulturno krajino.</w:t>
      </w:r>
    </w:p>
    <w:p w14:paraId="33FB2058" w14:textId="77777777" w:rsidR="00957BE3" w:rsidRDefault="00957BE3" w:rsidP="00957BE3"/>
    <w:p w14:paraId="441494AE" w14:textId="77777777" w:rsidR="00957BE3" w:rsidRDefault="00957BE3" w:rsidP="00957BE3">
      <w:r>
        <w:t>Razvojna strategija gospodarjenja s kmetijskimi zemljišči Republike Slovenije za obdobje od leta 2023 do leta 2027 temelji na preteklih strategijah. Upoštevani so bili dolgoročni načrti Republike Slovenije, ki se nanašajo na kmetijska zemljišča, in Strateški načrt Skupne kmetijske politike 2023–2027 za Slovenijo. Ena izmed nalog Sklada je tudi, da skrbi za trajnostno gospodarjenje s kmetijskimi zemljišči in kmetijami na način, da se zasledujejo cilji prilagajanja podnebnim spremembam, ohranjanja narave in ohranjanja dobrega stanja voda.</w:t>
      </w:r>
    </w:p>
    <w:p w14:paraId="6498A057" w14:textId="77777777" w:rsidR="00957BE3" w:rsidRDefault="00957BE3" w:rsidP="00957BE3"/>
    <w:p w14:paraId="4E4C0E3C" w14:textId="77777777" w:rsidR="00957BE3" w:rsidRDefault="00957BE3" w:rsidP="00957BE3">
      <w:r>
        <w:t xml:space="preserve">Sklad kmetijskih zemljišč bo v skladu s sprejeto razvojno strategijo sodeloval v postopkih spreminjanja prostorskih načrtov, kjer bo glede na potrebe izvajalca državnega prostorskega načrta v okviru prostih zemljišč iskal nadomestna zemljišča za prizadeta kmetijska gospodarstva na območjih suhih zadrževalnikov. </w:t>
      </w:r>
    </w:p>
    <w:p w14:paraId="56CAEB76" w14:textId="77777777" w:rsidR="00957BE3" w:rsidRDefault="00957BE3" w:rsidP="00957BE3"/>
    <w:p w14:paraId="41B7FBA3" w14:textId="77777777" w:rsidR="00957BE3" w:rsidRDefault="00957BE3" w:rsidP="00957BE3">
      <w:r>
        <w:t>Kmetijska zemljišča so strateška dobrina, ki jo je treba varovati za zagotavljanje nacionalne neodvisnosti. Sklad kmetijskih zemljišč in gozdov Republike Slovenije po podatkih iz začetka leta 2023 gospodari s skupno 3,6 odstotka vseh površin na območju Republike Slovenije in je strateško usmerjen v povečevanje obsega kmetijskih zemljišč v lasti države. Sklad kmetijskih zemljišč in gozdov Republike Slovenije deluje na območju celotne Slovenije s svojimi upraviteljstvi in z območnimi izpostavami. Njegove poglavitne naloge so izvajanje pravnega prometa s kmetijskimi zemljišči, kmetijami in drugimi zemljišči, nakup zemljišč in skrb ter vodenje evidenc za zemljišča, s katerimi razpolaga.</w:t>
      </w:r>
    </w:p>
    <w:p w14:paraId="2B5DDB35" w14:textId="77777777" w:rsidR="00957BE3" w:rsidRDefault="00957BE3" w:rsidP="00957BE3">
      <w:pPr>
        <w:pStyle w:val="Vir"/>
      </w:pPr>
      <w:r w:rsidRPr="00957BE3">
        <w:t>Vir: Ministrstvo za kmetijstvo, gozdarstvo in prehrano</w:t>
      </w:r>
    </w:p>
    <w:p w14:paraId="73FD17CF" w14:textId="0272AD01" w:rsidR="009C0A48" w:rsidRDefault="009C0A48" w:rsidP="009C0A48">
      <w:pPr>
        <w:pStyle w:val="Naslov2"/>
      </w:pPr>
      <w:r>
        <w:t>Vlada o proračunskih prerazporeditvah</w:t>
      </w:r>
    </w:p>
    <w:p w14:paraId="14F4FEEA" w14:textId="77777777" w:rsidR="009C0A48" w:rsidRDefault="009C0A48" w:rsidP="009C0A48">
      <w:r>
        <w:t xml:space="preserve">Vlada je danes odločila o prerazporeditvah pravic porabe v letošnjem državnem proračunu. </w:t>
      </w:r>
    </w:p>
    <w:p w14:paraId="15E405C4" w14:textId="77777777" w:rsidR="009C0A48" w:rsidRDefault="009C0A48" w:rsidP="009C0A48"/>
    <w:p w14:paraId="67BDF0DD" w14:textId="77777777" w:rsidR="009C0A48" w:rsidRDefault="009C0A48" w:rsidP="009C0A48">
      <w:r>
        <w:t>Med drugim bomo na Urad Vlade Republike Slovenije za oskrbo in integracijo migrantov prerazporedili tri milijone evrov, namenjene izvajanju Zakona o začasni zaščiti razseljenih oseb.</w:t>
      </w:r>
    </w:p>
    <w:p w14:paraId="7CCE451E" w14:textId="77777777" w:rsidR="009C0A48" w:rsidRDefault="009C0A48" w:rsidP="009C0A48">
      <w:r>
        <w:t xml:space="preserve">Ministrstvo za solidarno prihodnost bo prerazporedilo pravice porabe v okviru svojega finančnega načrta v višini približno 2,7 milijona evrov. Sredstva bodo namenjena financiranju dejavnosti vodenja in varstva ter zaposlitve s posebnimi pogoji v 34 varstveno delovnih centrih za letošnje leto. </w:t>
      </w:r>
    </w:p>
    <w:p w14:paraId="103E9340" w14:textId="77777777" w:rsidR="009C0A48" w:rsidRDefault="009C0A48" w:rsidP="009C0A48">
      <w:r>
        <w:t>Ministrstvo za naravne vire in prostor bo v okviru finančnih načrtov neposrednih uporabnikov, ki so v njegovi pristojnosti, prerazporedilo pravice porabe v višini približno 1,3 milijona evrov za izplačilo zakonskih obveznosti iz naslova plač uslužbencev ministrstva v letošnjem letu.</w:t>
      </w:r>
    </w:p>
    <w:p w14:paraId="678C339C" w14:textId="4BA3C1C3" w:rsidR="009C0A48" w:rsidRDefault="009C0A48" w:rsidP="009C0A48">
      <w:pPr>
        <w:pStyle w:val="Vir"/>
      </w:pPr>
      <w:r>
        <w:t>Vir: Ministrstvo za finance</w:t>
      </w:r>
    </w:p>
    <w:p w14:paraId="1452BD75" w14:textId="704AE31D" w:rsidR="00A700F0" w:rsidRDefault="00A700F0" w:rsidP="00A700F0">
      <w:pPr>
        <w:pStyle w:val="Naslov2"/>
      </w:pPr>
      <w:r>
        <w:t>Vlada razveljavila sklep, da so izraelski varnostni častniki na javnem mednarodnem letališču Ljubljana lahko oboroženi</w:t>
      </w:r>
    </w:p>
    <w:p w14:paraId="7E44504D" w14:textId="77777777" w:rsidR="00A700F0" w:rsidRDefault="00A700F0" w:rsidP="00A700F0">
      <w:r>
        <w:t>Zakon o letalstvu določa, da na predlog ministra, pristojnega za promet, vlada določi izjeme in posebnosti nošenja in uporabe orožja ter prevoza orožja in nevarnih predmetov na javnem letališču in v zračnem prometu, če to dopuščajo drugi predpisi in je to potrebno zaradi zagotavljanja varnosti. O posamezni izjemi vlada odloči s sklepom.</w:t>
      </w:r>
    </w:p>
    <w:p w14:paraId="1DC9A052" w14:textId="77777777" w:rsidR="00A700F0" w:rsidRDefault="00A700F0" w:rsidP="00A700F0"/>
    <w:p w14:paraId="5B18377D" w14:textId="77777777" w:rsidR="00A700F0" w:rsidRDefault="00A700F0" w:rsidP="00A700F0">
      <w:r>
        <w:t xml:space="preserve">Vlada Republike Slovenije je na 28. redni seji dne 3. 7. 2003 sprejela sklep, da dovoli, da izraelski varnostni častniki na javnem mednarodnem letališču Ljubljana, v času operacij letalskih prevoznikov, ki so registrirani v Državi Izrael, lahko nosijo kratkocevno orožje in pripadajoče strelivo. </w:t>
      </w:r>
    </w:p>
    <w:p w14:paraId="4B159E1C" w14:textId="77777777" w:rsidR="00A700F0" w:rsidRDefault="00A700F0" w:rsidP="00A700F0"/>
    <w:p w14:paraId="175F8100" w14:textId="5D1EE4E2" w:rsidR="00A700F0" w:rsidRDefault="00A700F0" w:rsidP="00A700F0">
      <w:r>
        <w:t xml:space="preserve">Vlada Republike Slovenije je na 345. </w:t>
      </w:r>
      <w:r w:rsidR="00B83748">
        <w:t>dopisni</w:t>
      </w:r>
      <w:r>
        <w:t xml:space="preserve"> seji dne 31. 7. 2025 sprejela sklep o seznanitvi z informacijo o izdaji dovoljenj za izvoz in tranzit vojaškega orožja ter glede na oborožene spopade in posledično na hude in očitne kršitve mednarodnega prava, humanitarnega prava in človekovih pravic s strani Izraela na Zahodnem Bregu in v Gazi, naložila, med drugim Ministrstvu za infrastrukturo, da skupaj z Ministrstvom za obrambo preveri protokol ravnanja deležnikov pri tranzitu vojaškega orožja in opreme. </w:t>
      </w:r>
    </w:p>
    <w:p w14:paraId="45E494E5" w14:textId="77777777" w:rsidR="00A700F0" w:rsidRDefault="00A700F0" w:rsidP="00A700F0"/>
    <w:p w14:paraId="6D31025C" w14:textId="77777777" w:rsidR="00A700F0" w:rsidRDefault="00A700F0" w:rsidP="00A700F0">
      <w:r>
        <w:t>Glede na odločitev vlade, se sklep vlade iz leta 2003 razveljavi.</w:t>
      </w:r>
    </w:p>
    <w:p w14:paraId="6DAAD5AD" w14:textId="0C347637" w:rsidR="00425241" w:rsidRDefault="00A700F0" w:rsidP="00A700F0">
      <w:pPr>
        <w:pStyle w:val="Vir"/>
      </w:pPr>
      <w:r>
        <w:lastRenderedPageBreak/>
        <w:t>Vir: Ministrstvo za infrastrukturo</w:t>
      </w:r>
    </w:p>
    <w:p w14:paraId="2BC211A3" w14:textId="53F43D48" w:rsidR="00EB72FA" w:rsidRDefault="00EB72FA" w:rsidP="00EB72FA">
      <w:pPr>
        <w:pStyle w:val="Naslov2"/>
      </w:pPr>
      <w:r>
        <w:t>Vlada imenovala direktorja Uprave za varstvo pred sevanji</w:t>
      </w:r>
    </w:p>
    <w:p w14:paraId="4C7E2365" w14:textId="4FBEBF13" w:rsidR="00EB72FA" w:rsidRDefault="00EB72FA" w:rsidP="00EB72FA">
      <w:r>
        <w:t xml:space="preserve">Vlada Republike Slovenije je na današnji seji izdala odločbo o imenovanju dr. Damijana Škrka za direktorja Uprave Republike Slovenije za varstvo pred sevanji za mandatno dobo petih (5) let, in sicer od 15. </w:t>
      </w:r>
      <w:r w:rsidR="00B2683F">
        <w:t>novembra</w:t>
      </w:r>
      <w:r>
        <w:t xml:space="preserve"> 2025 do 14.</w:t>
      </w:r>
      <w:r w:rsidR="00B2683F">
        <w:t>novembra</w:t>
      </w:r>
      <w:r>
        <w:t xml:space="preserve"> 2030, z možnostjo ponovnega imenovanja. </w:t>
      </w:r>
    </w:p>
    <w:p w14:paraId="1E20A85E" w14:textId="77777777" w:rsidR="00EB72FA" w:rsidRDefault="00EB72FA" w:rsidP="00EB72FA"/>
    <w:p w14:paraId="65E7ED58" w14:textId="77777777" w:rsidR="00EB72FA" w:rsidRDefault="00EB72FA" w:rsidP="00EB72FA">
      <w:r>
        <w:t>Dr. Damijan Škrk vodi Upravo Republike Slovenije za varstvo pred sevanji od leta 2013. V tem obdobju je Uprava za varstvo pred sevanji postala mednarodno uveljavljena organizacija na področju varstva pred sevanji. To je prepoznala tudi Mednarodna agencija za atomsko energijo (IAEA) in kar potrjujejo številna uspešno izvedena mednarodna usposabljanja s področja uporabe virov sevanj v zdravstvu.</w:t>
      </w:r>
    </w:p>
    <w:p w14:paraId="0D8948F3" w14:textId="77777777" w:rsidR="00EB72FA" w:rsidRDefault="00EB72FA" w:rsidP="00EB72FA"/>
    <w:p w14:paraId="66C04F0B" w14:textId="77777777" w:rsidR="00EB72FA" w:rsidRDefault="00EB72FA" w:rsidP="00EB72FA">
      <w:r>
        <w:t xml:space="preserve">Dr. Škrk aktivno sodeluje v mednarodnih strokovnih telesih. Je član ekspertne skupine EU in IAEA za preverjanje skladnosti delovanja upravnih organov na področju varstva pred sevanji, član delovne skupine za atomska vprašanja pri Svetu Evropske unije (AQG – </w:t>
      </w:r>
      <w:proofErr w:type="spellStart"/>
      <w:r>
        <w:t>Atomic</w:t>
      </w:r>
      <w:proofErr w:type="spellEnd"/>
      <w:r>
        <w:t xml:space="preserve"> </w:t>
      </w:r>
      <w:proofErr w:type="spellStart"/>
      <w:r>
        <w:t>Questions</w:t>
      </w:r>
      <w:proofErr w:type="spellEnd"/>
      <w:r>
        <w:t xml:space="preserve"> </w:t>
      </w:r>
      <w:proofErr w:type="spellStart"/>
      <w:r>
        <w:t>Group</w:t>
      </w:r>
      <w:proofErr w:type="spellEnd"/>
      <w:r>
        <w:t xml:space="preserve"> </w:t>
      </w:r>
      <w:proofErr w:type="spellStart"/>
      <w:r>
        <w:t>of</w:t>
      </w:r>
      <w:proofErr w:type="spellEnd"/>
      <w:r>
        <w:t xml:space="preserve"> </w:t>
      </w:r>
      <w:proofErr w:type="spellStart"/>
      <w:r>
        <w:t>the</w:t>
      </w:r>
      <w:proofErr w:type="spellEnd"/>
      <w:r>
        <w:t xml:space="preserve"> EU Council) ter predstavnik Slovenije za področje varstva pred sevanji v Agenciji za oskrbo Evropske skupnosti za atomsko energijo (EURATOM). </w:t>
      </w:r>
    </w:p>
    <w:p w14:paraId="7F9A3F20" w14:textId="7AA53EBF" w:rsidR="00DC2E55" w:rsidRDefault="00EB72FA" w:rsidP="00EB72FA">
      <w:pPr>
        <w:pStyle w:val="Vir"/>
      </w:pPr>
      <w:r>
        <w:t>Vir: Ministrstvo za zdravje</w:t>
      </w:r>
    </w:p>
    <w:p w14:paraId="24CB9F21" w14:textId="65914EF6" w:rsidR="00DC2E55" w:rsidRDefault="002870CA" w:rsidP="002870CA">
      <w:pPr>
        <w:pStyle w:val="Naslov2"/>
      </w:pPr>
      <w:r>
        <w:t>I</w:t>
      </w:r>
      <w:r w:rsidR="00DC2E55">
        <w:t>menovanj</w:t>
      </w:r>
      <w:r>
        <w:t>e</w:t>
      </w:r>
      <w:r w:rsidR="00DC2E55">
        <w:t xml:space="preserve"> generalne direktorice Direktorata za digitalno družbo v Ministrstvu za digitalno preobrazbo</w:t>
      </w:r>
    </w:p>
    <w:p w14:paraId="198C99AE" w14:textId="494C3A01" w:rsidR="002870CA" w:rsidRDefault="002870CA" w:rsidP="00DC2E55">
      <w:r w:rsidRPr="002870CA">
        <w:t>Vlad</w:t>
      </w:r>
      <w:r w:rsidR="006F32B7">
        <w:t>a</w:t>
      </w:r>
      <w:r w:rsidRPr="002870CA">
        <w:t xml:space="preserve"> Republike Slovenije je sprejela sklep, da se Mojco Štruc </w:t>
      </w:r>
      <w:r w:rsidR="006F32B7">
        <w:t xml:space="preserve">s </w:t>
      </w:r>
      <w:r w:rsidRPr="002870CA">
        <w:t xml:space="preserve">7. </w:t>
      </w:r>
      <w:r w:rsidR="006F32B7">
        <w:t>septembrom</w:t>
      </w:r>
      <w:r w:rsidRPr="002870CA">
        <w:t xml:space="preserve"> 2025 imenuje na položaj generalne direktorice Direktorata za digitalno družbo v Ministrstvu za digitalno preobrazbo, za dobo petih let, in sicer do 6. </w:t>
      </w:r>
      <w:r w:rsidR="006F32B7">
        <w:t>septembra</w:t>
      </w:r>
      <w:r w:rsidRPr="002870CA">
        <w:t xml:space="preserve"> 2030, z možnostjo ponovnega imenovanja. Mojca Štruc že opravlja funkcijo v.</w:t>
      </w:r>
      <w:r>
        <w:t xml:space="preserve"> </w:t>
      </w:r>
      <w:r w:rsidRPr="002870CA">
        <w:t>d. direktorice direktorata.</w:t>
      </w:r>
    </w:p>
    <w:p w14:paraId="68D92735" w14:textId="6AACF267" w:rsidR="002870CA" w:rsidRDefault="002870CA" w:rsidP="002870CA">
      <w:pPr>
        <w:pStyle w:val="Vir"/>
      </w:pPr>
      <w:r w:rsidRPr="002870CA">
        <w:t>Vir: Ministrstvo za digitalno preobrazbo</w:t>
      </w:r>
    </w:p>
    <w:p w14:paraId="363D9B74" w14:textId="651CC876" w:rsidR="00EB72FA" w:rsidRDefault="00EB72FA" w:rsidP="00EB72FA">
      <w:pPr>
        <w:pStyle w:val="Naslov2"/>
      </w:pPr>
      <w:r>
        <w:t>Imenovanje vršilca dolžnosti generalnega direktorja Direktorata za gospodarsko, kulturno in znanstveno diplomacijo v Ministrstvu za zunanje in evropske zadeve</w:t>
      </w:r>
    </w:p>
    <w:p w14:paraId="25901575" w14:textId="11DE4482" w:rsidR="00EB72FA" w:rsidRDefault="00EB72FA" w:rsidP="00EB72FA">
      <w:r>
        <w:t xml:space="preserve">Vlada Republike Slovenije je izdala odločbo o imenovanju Petra Japlja za vršilca dolžnosti generalnega direktorja Direktorata za gospodarsko, kulturno in znanstveno diplomacijo v Ministrstvu za zunanje in evropske zadeve, in sicer od 8. </w:t>
      </w:r>
      <w:r w:rsidR="00947210">
        <w:t>septembra</w:t>
      </w:r>
      <w:r>
        <w:t xml:space="preserve"> 2025 do imenovanja novega generalnega direktorja, vendar največ za šest mesecev, to je najdlje do 7. </w:t>
      </w:r>
      <w:r w:rsidR="00947210">
        <w:t>marca</w:t>
      </w:r>
      <w:r>
        <w:t xml:space="preserve"> 2026.</w:t>
      </w:r>
    </w:p>
    <w:p w14:paraId="6AB832D6" w14:textId="7CD040FD" w:rsidR="00DC2E55" w:rsidRDefault="00EB72FA" w:rsidP="00EB72FA">
      <w:pPr>
        <w:pStyle w:val="Vir"/>
      </w:pPr>
      <w:r>
        <w:t>Vir: Ministrstvo za zunanje in evropske zadeve</w:t>
      </w:r>
    </w:p>
    <w:p w14:paraId="5312EF8B" w14:textId="1174AB81" w:rsidR="004D25E4" w:rsidRDefault="004D25E4" w:rsidP="004D25E4">
      <w:pPr>
        <w:pStyle w:val="Naslov2"/>
      </w:pPr>
      <w:r>
        <w:t xml:space="preserve">Poročilo o realizaciji porabe skupne vrednosti pravnih poslov razpolaganja s stvarnim premoženjem države za leto 2024  </w:t>
      </w:r>
    </w:p>
    <w:p w14:paraId="7CF04119" w14:textId="3A107ACE" w:rsidR="004D25E4" w:rsidRDefault="004D25E4" w:rsidP="004D25E4">
      <w:r>
        <w:t xml:space="preserve">Vlada Republike Slovenije je sprejela poročilo o realizaciji porabe skupne vrednosti pravnih poslov razpolaganja s stvarnim premoženjem države v upravljanju organov državne uprave, pravosodnih organov, javnih zavodov, javnih gospodarskih zavodov, javnih agencij in javnih skladov za leto 2024 in ga skupaj z zaključnim računom proračuna posreduje Državnemu zboru Republike Slovenije. </w:t>
      </w:r>
    </w:p>
    <w:p w14:paraId="27FE5D2F" w14:textId="77777777" w:rsidR="004D25E4" w:rsidRDefault="004D25E4" w:rsidP="004D25E4"/>
    <w:p w14:paraId="6449ACB6" w14:textId="77777777" w:rsidR="004D25E4" w:rsidRDefault="004D25E4" w:rsidP="004D25E4">
      <w:r>
        <w:t xml:space="preserve">Poročilo zajema podatke o realizaciji sklenjenih pravnih poslov razpolaganja z nepremičnim in premičnim premoženjem države na podlagi načrtovanega razpolaganja nepremičnega in premičnega premoženja države, vključenega v evidentirano načrtovano porabo skupnih vrednosti pravnih poslov </w:t>
      </w:r>
      <w:r>
        <w:lastRenderedPageBreak/>
        <w:t>razpolaganja s stvarnim premoženjem za leto 2024. Višina skupne dopustne vrednosti pravnih poslov je bila določena s sklepom Vlade decembra 2023, in sicer so navedeni upravljavci v letu 2024 lahko sklepali pravne posle razpolaganja z nepremičnim premoženjem v skupni vrednosti 45.000.000 evrov in pravne posle razpolaganja s premičnim premoženjem (v posamični vrednosti nad 10.000 evrov) v skupni vrednosti 5.200.000 evrov.</w:t>
      </w:r>
    </w:p>
    <w:p w14:paraId="12D8C5E0" w14:textId="7973BDBF" w:rsidR="00DC2E55" w:rsidRDefault="004D25E4" w:rsidP="004D25E4">
      <w:pPr>
        <w:pStyle w:val="Vir"/>
      </w:pPr>
      <w:r>
        <w:t>Vir: Ministrstvo za javno upravo</w:t>
      </w:r>
    </w:p>
    <w:p w14:paraId="596F54A1" w14:textId="71A0AF53" w:rsidR="004D25E4" w:rsidRDefault="00DC2E55" w:rsidP="004D25E4">
      <w:pPr>
        <w:pStyle w:val="Naslov2"/>
      </w:pPr>
      <w:r>
        <w:t xml:space="preserve"> </w:t>
      </w:r>
      <w:r w:rsidR="004D25E4">
        <w:t>Poročilo o realizaciji načrtovanega razpolaganja s stvarnim premoženjem države za druge državne organe za leto 2024</w:t>
      </w:r>
    </w:p>
    <w:p w14:paraId="0E277F1E" w14:textId="77777777" w:rsidR="004D25E4" w:rsidRDefault="004D25E4" w:rsidP="004D25E4">
      <w:r>
        <w:t xml:space="preserve">Vlada Republike Slovenije se je seznanila z obvestili in poročili o realizaciji načrtov razpolaganja  s stvarnim premoženjem države za leto 2024 za druge državne organe (Predsednica Republike Slovenije, Državni zbor Republike Slovenije, Državni svet Republike Slovenije, Ustavno sodišče Republike Slovenije, Računsko sodišče Republike Slovenije, Državna revizijska komisija za revizijo postopkov oddaje javnih naročil, Državna volilna komisija, Fiskalni svet, Informacijski pooblaščenec, Komisija za preprečevanje korupcije, Varuh človekovih pravic, Zagovornik načela enakosti, Sodni svet in Državnotožilski svet) in jih skupaj z zaključnim računom proračuna posreduje Državnemu zboru Republike Slovenije. </w:t>
      </w:r>
    </w:p>
    <w:p w14:paraId="1C445108" w14:textId="77777777" w:rsidR="004D25E4" w:rsidRDefault="004D25E4" w:rsidP="004D25E4"/>
    <w:p w14:paraId="03E55D0D" w14:textId="77777777" w:rsidR="004D25E4" w:rsidRDefault="004D25E4" w:rsidP="004D25E4">
      <w:r>
        <w:t>Kot določa Zakon o stvarnem premoženju države in samoupravnih lokalnih skupnosti, se razpolaganje z nepremičnim oziroma premičnim premoženjem, s katerim upravljajo drugi državni organi, izvede na podlagi načrta, ki ga do 31. decembra za prihodnje leto sprejme, in kvartalno do 31. marca, 30. junija in 30. septembra za tekoče leto dopolnjuje, predstojnik državnega organa. Postopek razpolaganja z nepremičnim oziroma premičnim premoženjem se lahko izvede, če je stvarno premoženje vključeno v veljavni načrt razpolaganja z nepremičnim oziroma s premičnim premoženjem.</w:t>
      </w:r>
    </w:p>
    <w:p w14:paraId="112F7798" w14:textId="77777777" w:rsidR="004D25E4" w:rsidRDefault="004D25E4" w:rsidP="004D25E4"/>
    <w:p w14:paraId="650BBAB6" w14:textId="77777777" w:rsidR="004D25E4" w:rsidRDefault="004D25E4" w:rsidP="004D25E4">
      <w:r>
        <w:t>Poročila in obvestila o realizaciji od navedenih drugih državnih organov zbere Ministrstvo za javno upravo in jih v seznanitev predloži vladi, ta pa skupaj z zaključnim računom proračuna posreduje v seznanitev Državnemu zboru.</w:t>
      </w:r>
    </w:p>
    <w:p w14:paraId="04F53916" w14:textId="2276C196" w:rsidR="00DC2E55" w:rsidRDefault="004D25E4" w:rsidP="00425241">
      <w:pPr>
        <w:pStyle w:val="Vir"/>
      </w:pPr>
      <w:r>
        <w:t>Vir: Ministrstvo za javno upravo</w:t>
      </w:r>
    </w:p>
    <w:p w14:paraId="69DDD4B5" w14:textId="77777777" w:rsidR="006F29FA" w:rsidRDefault="006F29FA" w:rsidP="006F29FA"/>
    <w:p w14:paraId="7E505CB3" w14:textId="77777777" w:rsidR="006F29FA" w:rsidRPr="006F29FA" w:rsidRDefault="006F29FA" w:rsidP="006F29FA"/>
    <w:p w14:paraId="69E0DA8C" w14:textId="77777777" w:rsidR="00DE1B54" w:rsidRDefault="00DE1B54" w:rsidP="00DE1B54"/>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875F72"/>
    <w:multiLevelType w:val="hybridMultilevel"/>
    <w:tmpl w:val="C590A48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A0888"/>
    <w:multiLevelType w:val="hybridMultilevel"/>
    <w:tmpl w:val="FBD845E0"/>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9"/>
  </w:num>
  <w:num w:numId="2" w16cid:durableId="984821814">
    <w:abstractNumId w:val="7"/>
  </w:num>
  <w:num w:numId="3" w16cid:durableId="150218247">
    <w:abstractNumId w:val="0"/>
  </w:num>
  <w:num w:numId="4" w16cid:durableId="1026903286">
    <w:abstractNumId w:val="8"/>
  </w:num>
  <w:num w:numId="5" w16cid:durableId="231817878">
    <w:abstractNumId w:val="4"/>
  </w:num>
  <w:num w:numId="6" w16cid:durableId="2110814889">
    <w:abstractNumId w:val="10"/>
  </w:num>
  <w:num w:numId="7" w16cid:durableId="695153758">
    <w:abstractNumId w:val="5"/>
  </w:num>
  <w:num w:numId="8" w16cid:durableId="853298866">
    <w:abstractNumId w:val="6"/>
  </w:num>
  <w:num w:numId="9" w16cid:durableId="1789348953">
    <w:abstractNumId w:val="3"/>
  </w:num>
  <w:num w:numId="10" w16cid:durableId="844321684">
    <w:abstractNumId w:val="1"/>
  </w:num>
  <w:num w:numId="11" w16cid:durableId="821190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26AF5"/>
    <w:rsid w:val="000318E4"/>
    <w:rsid w:val="00050A56"/>
    <w:rsid w:val="00076DF7"/>
    <w:rsid w:val="00085D04"/>
    <w:rsid w:val="00087069"/>
    <w:rsid w:val="00087A14"/>
    <w:rsid w:val="00094CB6"/>
    <w:rsid w:val="000951D4"/>
    <w:rsid w:val="00097B85"/>
    <w:rsid w:val="000C5C0E"/>
    <w:rsid w:val="000D5520"/>
    <w:rsid w:val="000E0657"/>
    <w:rsid w:val="000F1F74"/>
    <w:rsid w:val="00104256"/>
    <w:rsid w:val="00110B8F"/>
    <w:rsid w:val="0013016C"/>
    <w:rsid w:val="001602C9"/>
    <w:rsid w:val="0016530C"/>
    <w:rsid w:val="001673A5"/>
    <w:rsid w:val="00173343"/>
    <w:rsid w:val="001B01DD"/>
    <w:rsid w:val="001B42F9"/>
    <w:rsid w:val="001B47EB"/>
    <w:rsid w:val="001B56CB"/>
    <w:rsid w:val="001C3560"/>
    <w:rsid w:val="001F029F"/>
    <w:rsid w:val="001F51BC"/>
    <w:rsid w:val="001F7F63"/>
    <w:rsid w:val="00203F5F"/>
    <w:rsid w:val="00215140"/>
    <w:rsid w:val="00220CDD"/>
    <w:rsid w:val="00231021"/>
    <w:rsid w:val="002501CE"/>
    <w:rsid w:val="002870CA"/>
    <w:rsid w:val="002A6D07"/>
    <w:rsid w:val="002B77C6"/>
    <w:rsid w:val="002C36A6"/>
    <w:rsid w:val="002D5B5D"/>
    <w:rsid w:val="002F301F"/>
    <w:rsid w:val="0032428F"/>
    <w:rsid w:val="00342F91"/>
    <w:rsid w:val="00346E22"/>
    <w:rsid w:val="00351E1E"/>
    <w:rsid w:val="00357DC0"/>
    <w:rsid w:val="00361255"/>
    <w:rsid w:val="00381018"/>
    <w:rsid w:val="003847C8"/>
    <w:rsid w:val="003877EB"/>
    <w:rsid w:val="00390DF7"/>
    <w:rsid w:val="0039662C"/>
    <w:rsid w:val="003D0A65"/>
    <w:rsid w:val="003D64D8"/>
    <w:rsid w:val="003E17B6"/>
    <w:rsid w:val="003E1F2C"/>
    <w:rsid w:val="003E6170"/>
    <w:rsid w:val="003F4CC5"/>
    <w:rsid w:val="00401105"/>
    <w:rsid w:val="00415527"/>
    <w:rsid w:val="00425241"/>
    <w:rsid w:val="00432937"/>
    <w:rsid w:val="004403EC"/>
    <w:rsid w:val="00447B57"/>
    <w:rsid w:val="00455B63"/>
    <w:rsid w:val="00460370"/>
    <w:rsid w:val="004635F1"/>
    <w:rsid w:val="00463E70"/>
    <w:rsid w:val="00466661"/>
    <w:rsid w:val="00472762"/>
    <w:rsid w:val="004A7CAD"/>
    <w:rsid w:val="004B4753"/>
    <w:rsid w:val="004B7346"/>
    <w:rsid w:val="004D25E4"/>
    <w:rsid w:val="004D7031"/>
    <w:rsid w:val="004F33E2"/>
    <w:rsid w:val="00514121"/>
    <w:rsid w:val="00522637"/>
    <w:rsid w:val="00527867"/>
    <w:rsid w:val="00527AA5"/>
    <w:rsid w:val="005314D7"/>
    <w:rsid w:val="005515BD"/>
    <w:rsid w:val="0059143B"/>
    <w:rsid w:val="005A570D"/>
    <w:rsid w:val="005B5886"/>
    <w:rsid w:val="005C1523"/>
    <w:rsid w:val="005E1ABB"/>
    <w:rsid w:val="00612094"/>
    <w:rsid w:val="00614FFD"/>
    <w:rsid w:val="006274BB"/>
    <w:rsid w:val="00634EFA"/>
    <w:rsid w:val="00635D43"/>
    <w:rsid w:val="0066249C"/>
    <w:rsid w:val="0067375D"/>
    <w:rsid w:val="006B123A"/>
    <w:rsid w:val="006B3219"/>
    <w:rsid w:val="006C1B31"/>
    <w:rsid w:val="006F29FA"/>
    <w:rsid w:val="006F32B7"/>
    <w:rsid w:val="0070324C"/>
    <w:rsid w:val="007120FD"/>
    <w:rsid w:val="007130E1"/>
    <w:rsid w:val="00717E59"/>
    <w:rsid w:val="0073796B"/>
    <w:rsid w:val="00750D01"/>
    <w:rsid w:val="007643A0"/>
    <w:rsid w:val="007669A3"/>
    <w:rsid w:val="00781345"/>
    <w:rsid w:val="00782B3C"/>
    <w:rsid w:val="00784E57"/>
    <w:rsid w:val="00795466"/>
    <w:rsid w:val="007A6460"/>
    <w:rsid w:val="007B0ADD"/>
    <w:rsid w:val="007C21FB"/>
    <w:rsid w:val="007E198F"/>
    <w:rsid w:val="007F5D6B"/>
    <w:rsid w:val="007F6EF7"/>
    <w:rsid w:val="008244C0"/>
    <w:rsid w:val="0082540F"/>
    <w:rsid w:val="00826E23"/>
    <w:rsid w:val="008336E7"/>
    <w:rsid w:val="00836E94"/>
    <w:rsid w:val="00847AD3"/>
    <w:rsid w:val="00855F26"/>
    <w:rsid w:val="008624E8"/>
    <w:rsid w:val="008A027E"/>
    <w:rsid w:val="008B6738"/>
    <w:rsid w:val="008B7AF2"/>
    <w:rsid w:val="008C27CF"/>
    <w:rsid w:val="008C4231"/>
    <w:rsid w:val="008D49BD"/>
    <w:rsid w:val="008F0C0C"/>
    <w:rsid w:val="00905C96"/>
    <w:rsid w:val="00915757"/>
    <w:rsid w:val="009174DA"/>
    <w:rsid w:val="00933061"/>
    <w:rsid w:val="00933087"/>
    <w:rsid w:val="00945B27"/>
    <w:rsid w:val="00947210"/>
    <w:rsid w:val="009540E4"/>
    <w:rsid w:val="00957BE3"/>
    <w:rsid w:val="00974186"/>
    <w:rsid w:val="00983241"/>
    <w:rsid w:val="009900DE"/>
    <w:rsid w:val="009A41AA"/>
    <w:rsid w:val="009B0724"/>
    <w:rsid w:val="009C0A48"/>
    <w:rsid w:val="009C2C98"/>
    <w:rsid w:val="009C2D77"/>
    <w:rsid w:val="009C562E"/>
    <w:rsid w:val="009D10D1"/>
    <w:rsid w:val="00A051C2"/>
    <w:rsid w:val="00A06971"/>
    <w:rsid w:val="00A30052"/>
    <w:rsid w:val="00A34FC4"/>
    <w:rsid w:val="00A445DF"/>
    <w:rsid w:val="00A52394"/>
    <w:rsid w:val="00A5415F"/>
    <w:rsid w:val="00A60A37"/>
    <w:rsid w:val="00A60FBF"/>
    <w:rsid w:val="00A621E0"/>
    <w:rsid w:val="00A67305"/>
    <w:rsid w:val="00A700F0"/>
    <w:rsid w:val="00A7412B"/>
    <w:rsid w:val="00AB1DC2"/>
    <w:rsid w:val="00AD1AFD"/>
    <w:rsid w:val="00AE6CD6"/>
    <w:rsid w:val="00AF5FC8"/>
    <w:rsid w:val="00B022E5"/>
    <w:rsid w:val="00B07D34"/>
    <w:rsid w:val="00B2683F"/>
    <w:rsid w:val="00B47F61"/>
    <w:rsid w:val="00B52EBF"/>
    <w:rsid w:val="00B54B4A"/>
    <w:rsid w:val="00B60F58"/>
    <w:rsid w:val="00B62B22"/>
    <w:rsid w:val="00B70F5B"/>
    <w:rsid w:val="00B753A8"/>
    <w:rsid w:val="00B83748"/>
    <w:rsid w:val="00B84862"/>
    <w:rsid w:val="00BA743D"/>
    <w:rsid w:val="00BB1111"/>
    <w:rsid w:val="00BB73C0"/>
    <w:rsid w:val="00BE5C43"/>
    <w:rsid w:val="00C13004"/>
    <w:rsid w:val="00C3152B"/>
    <w:rsid w:val="00C354D9"/>
    <w:rsid w:val="00C365A8"/>
    <w:rsid w:val="00C405D6"/>
    <w:rsid w:val="00C458C2"/>
    <w:rsid w:val="00C666AC"/>
    <w:rsid w:val="00C97F7B"/>
    <w:rsid w:val="00CA5624"/>
    <w:rsid w:val="00CC3123"/>
    <w:rsid w:val="00CC37B3"/>
    <w:rsid w:val="00D10EB4"/>
    <w:rsid w:val="00D14EEC"/>
    <w:rsid w:val="00D216B9"/>
    <w:rsid w:val="00D22282"/>
    <w:rsid w:val="00D32465"/>
    <w:rsid w:val="00D60A92"/>
    <w:rsid w:val="00D650E2"/>
    <w:rsid w:val="00D7373E"/>
    <w:rsid w:val="00D86855"/>
    <w:rsid w:val="00D9208E"/>
    <w:rsid w:val="00D95BC6"/>
    <w:rsid w:val="00D966FF"/>
    <w:rsid w:val="00DA3B4D"/>
    <w:rsid w:val="00DA5C0D"/>
    <w:rsid w:val="00DC2E55"/>
    <w:rsid w:val="00DE199D"/>
    <w:rsid w:val="00DE1B54"/>
    <w:rsid w:val="00DE27BA"/>
    <w:rsid w:val="00E02AB3"/>
    <w:rsid w:val="00E05EEE"/>
    <w:rsid w:val="00E14AAE"/>
    <w:rsid w:val="00E2036F"/>
    <w:rsid w:val="00E3207D"/>
    <w:rsid w:val="00E3507E"/>
    <w:rsid w:val="00E7132A"/>
    <w:rsid w:val="00E83E60"/>
    <w:rsid w:val="00E86C78"/>
    <w:rsid w:val="00E877A9"/>
    <w:rsid w:val="00E948BD"/>
    <w:rsid w:val="00EA6F3A"/>
    <w:rsid w:val="00EA718F"/>
    <w:rsid w:val="00EB72FA"/>
    <w:rsid w:val="00EC012E"/>
    <w:rsid w:val="00EE35F8"/>
    <w:rsid w:val="00EF1263"/>
    <w:rsid w:val="00F01966"/>
    <w:rsid w:val="00F20884"/>
    <w:rsid w:val="00F21123"/>
    <w:rsid w:val="00F21419"/>
    <w:rsid w:val="00F23144"/>
    <w:rsid w:val="00F26D7F"/>
    <w:rsid w:val="00F43F6D"/>
    <w:rsid w:val="00F462C7"/>
    <w:rsid w:val="00F93A56"/>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463E7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customStyle="1" w:styleId="Naslov3Znak">
    <w:name w:val="Naslov 3 Znak"/>
    <w:basedOn w:val="Privzetapisavaodstavka"/>
    <w:link w:val="Naslov3"/>
    <w:uiPriority w:val="9"/>
    <w:rsid w:val="00463E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3338">
      <w:bodyDiv w:val="1"/>
      <w:marLeft w:val="0"/>
      <w:marRight w:val="0"/>
      <w:marTop w:val="0"/>
      <w:marBottom w:val="0"/>
      <w:divBdr>
        <w:top w:val="none" w:sz="0" w:space="0" w:color="auto"/>
        <w:left w:val="none" w:sz="0" w:space="0" w:color="auto"/>
        <w:bottom w:val="none" w:sz="0" w:space="0" w:color="auto"/>
        <w:right w:val="none" w:sz="0" w:space="0" w:color="auto"/>
      </w:divBdr>
    </w:div>
    <w:div w:id="13743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3.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6943</Words>
  <Characters>39580</Characters>
  <Application>Microsoft Office Word</Application>
  <DocSecurity>0</DocSecurity>
  <Lines>329</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2025-09-05T07:04:00Z</dcterms:created>
  <dcterms:modified xsi:type="dcterms:W3CDTF">2025-09-05T07:04:00Z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