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01138930" w:rsidR="00F01966" w:rsidRDefault="00D53EC9"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r>
        <w:t xml:space="preserve">     </w:t>
      </w:r>
    </w:p>
    <w:p w14:paraId="6AD96446" w14:textId="58F6B281" w:rsidR="00231021" w:rsidRDefault="0073796B" w:rsidP="00160FC1">
      <w:pPr>
        <w:pStyle w:val="Naslov"/>
      </w:pPr>
      <w:r w:rsidRPr="009D10D1">
        <w:t>SPOROČILO ZA JAVNOST</w:t>
      </w:r>
    </w:p>
    <w:p w14:paraId="71A02687" w14:textId="140A7F14" w:rsidR="0073796B" w:rsidRPr="0039662C" w:rsidRDefault="00A60A37" w:rsidP="0039662C">
      <w:pPr>
        <w:pStyle w:val="Naslov1"/>
      </w:pPr>
      <w:r>
        <w:t>1</w:t>
      </w:r>
      <w:r w:rsidR="007F65BF">
        <w:t>64</w:t>
      </w:r>
      <w:r w:rsidR="0073796B" w:rsidRPr="0039662C">
        <w:t>. redna seja Vlade Republike Slovenije</w:t>
      </w:r>
    </w:p>
    <w:p w14:paraId="44CC4F1E" w14:textId="55E36E2B" w:rsidR="00347BAD" w:rsidRDefault="007F65BF" w:rsidP="00FE6D3A">
      <w:pPr>
        <w:pStyle w:val="DatumSZJ"/>
      </w:pPr>
      <w:r>
        <w:t>21. avgust 2025</w:t>
      </w:r>
    </w:p>
    <w:p w14:paraId="57FDF2E9" w14:textId="6A7F1ADF" w:rsidR="00BB562F" w:rsidRPr="00072907" w:rsidRDefault="00BB562F" w:rsidP="00F765E8">
      <w:r w:rsidRPr="00F765E8">
        <w:rPr>
          <w:b/>
          <w:bCs/>
        </w:rPr>
        <w:t xml:space="preserve">V shemo kakovosti “zajamčena tradicionalna posebnost” dodani seneno meso </w:t>
      </w:r>
    </w:p>
    <w:p w14:paraId="445CB3A7" w14:textId="77777777" w:rsidR="00BB562F" w:rsidRDefault="00BB562F" w:rsidP="00072907">
      <w:pPr>
        <w:pStyle w:val="Naslov2"/>
      </w:pPr>
      <w:r>
        <w:t>in izdelki iz senenega mesa</w:t>
      </w:r>
    </w:p>
    <w:p w14:paraId="310CB265" w14:textId="77777777" w:rsidR="00BB562F" w:rsidRDefault="00BB562F" w:rsidP="00072907">
      <w:r w:rsidRPr="0010241B">
        <w:rPr>
          <w:lang w:eastAsia="sl-SI"/>
        </w:rPr>
        <w:t xml:space="preserve">Vlada je izdala </w:t>
      </w:r>
      <w:r>
        <w:rPr>
          <w:lang w:eastAsia="sl-SI"/>
        </w:rPr>
        <w:t xml:space="preserve">novelo </w:t>
      </w:r>
      <w:r w:rsidRPr="0010241B">
        <w:rPr>
          <w:lang w:eastAsia="sl-SI"/>
        </w:rPr>
        <w:t>U</w:t>
      </w:r>
      <w:r>
        <w:rPr>
          <w:lang w:eastAsia="sl-SI"/>
        </w:rPr>
        <w:t>redbe</w:t>
      </w:r>
      <w:r w:rsidRPr="0010241B">
        <w:rPr>
          <w:lang w:eastAsia="sl-SI"/>
        </w:rPr>
        <w:t xml:space="preserve"> o izvajanju intervencije podpora za novo sodelovanje v shemah kakovosti iz strateškega načrta skupne kmetijske politike 2023–2027</w:t>
      </w:r>
      <w:r>
        <w:rPr>
          <w:lang w:eastAsia="sl-SI"/>
        </w:rPr>
        <w:t xml:space="preserve">. </w:t>
      </w:r>
      <w:r w:rsidRPr="00066972">
        <w:t xml:space="preserve">S predlogom </w:t>
      </w:r>
      <w:r>
        <w:t xml:space="preserve">novele </w:t>
      </w:r>
      <w:r w:rsidRPr="00066972">
        <w:t xml:space="preserve">se med upravičene proizvode v okviru sheme kakovosti »zajamčena tradicionalna posebnost« dodajata </w:t>
      </w:r>
      <w:r>
        <w:t>proizvoda</w:t>
      </w:r>
      <w:r w:rsidRPr="00066972">
        <w:t xml:space="preserve"> seneno meso </w:t>
      </w:r>
      <w:r>
        <w:t>in</w:t>
      </w:r>
      <w:r w:rsidRPr="00066972">
        <w:t xml:space="preserve"> predelani </w:t>
      </w:r>
      <w:r>
        <w:t>izdelki</w:t>
      </w:r>
      <w:r w:rsidRPr="00066972">
        <w:t xml:space="preserve"> iz senenega mesa.</w:t>
      </w:r>
      <w:r>
        <w:t xml:space="preserve"> </w:t>
      </w:r>
    </w:p>
    <w:p w14:paraId="1262B26C" w14:textId="77777777" w:rsidR="00072907" w:rsidRDefault="00072907" w:rsidP="00072907"/>
    <w:p w14:paraId="4F249658" w14:textId="64C2707F" w:rsidR="00BB562F" w:rsidRPr="00095D30" w:rsidRDefault="00BB562F" w:rsidP="00072907">
      <w:pPr>
        <w:rPr>
          <w:lang w:eastAsia="sl-SI"/>
        </w:rPr>
      </w:pPr>
      <w:r>
        <w:t xml:space="preserve">Namen dopolnitve je </w:t>
      </w:r>
      <w:r w:rsidRPr="00066972">
        <w:t>spodbuditi vključevanje novih proizvodov z dodano vrednostjo v sheme kakovosti, kar prispeva k večji prepoznavnosti in tržni diferenciaciji slovenskih kmetijskih proizvodov. Seneno meso izhaja iz tradicionalnega sistema reje brez silaže, k</w:t>
      </w:r>
      <w:r>
        <w:t>ar</w:t>
      </w:r>
      <w:r w:rsidRPr="00066972">
        <w:t xml:space="preserve"> pozitivno vpliva na kakovost mesa, dobrobit živali </w:t>
      </w:r>
      <w:r>
        <w:t>in</w:t>
      </w:r>
      <w:r w:rsidRPr="00066972">
        <w:t xml:space="preserve"> ohranjanje okolja. Z vključitvijo teh proizvodov v shemo kakovosti se omogoča </w:t>
      </w:r>
      <w:r>
        <w:t>upravičencem</w:t>
      </w:r>
      <w:r w:rsidRPr="00066972">
        <w:t xml:space="preserve">, ki </w:t>
      </w:r>
      <w:r>
        <w:t>pridobijo certifikat</w:t>
      </w:r>
      <w:r w:rsidRPr="00066972">
        <w:t>, dostop do finančne podpore</w:t>
      </w:r>
      <w:r>
        <w:t xml:space="preserve"> v prvih letih sodelovanja v shemi kakovost</w:t>
      </w:r>
      <w:r w:rsidRPr="00066972">
        <w:t xml:space="preserve">, </w:t>
      </w:r>
      <w:r>
        <w:t>hkrati</w:t>
      </w:r>
      <w:r w:rsidRPr="00066972">
        <w:t xml:space="preserve"> pa se potrošnikom zagotavlja višja stopnja transparentnosti in zaupanja v poreklo in način pridelave.</w:t>
      </w:r>
    </w:p>
    <w:p w14:paraId="5B9DD6D2" w14:textId="77777777" w:rsidR="00072907" w:rsidRDefault="00072907" w:rsidP="00072907"/>
    <w:p w14:paraId="49A89D03" w14:textId="6F639D7E" w:rsidR="00BB562F" w:rsidRPr="00066972" w:rsidRDefault="00BB562F" w:rsidP="00072907">
      <w:r>
        <w:t xml:space="preserve">S predlogom novele uredbe se zaradi predvidenih sprememb na področju certificiranja vin v postopku preverjanja obveznosti iz intervencije odločba enači s pridobljenim certifikatom. Uredi se </w:t>
      </w:r>
      <w:r w:rsidRPr="00066972">
        <w:t xml:space="preserve">tudi način pridobivanja podatkov o površinah kmetijskih zemljišč v uporabi, ki izpolnjujejo zahteve iz predpisov o ekološkem kmetovanju. Po </w:t>
      </w:r>
      <w:r>
        <w:t>predlagani ureditvi</w:t>
      </w:r>
      <w:r w:rsidRPr="00066972">
        <w:t xml:space="preserve"> se bodo ti podatki pridobivali iz </w:t>
      </w:r>
      <w:r>
        <w:t xml:space="preserve">nove elektronske </w:t>
      </w:r>
      <w:r w:rsidRPr="00066972">
        <w:t xml:space="preserve">evidence pridelovalcev in predelovalcev ekoloških in integriranih kmetijskih pridelkov ali živil, kar bo zagotovilo večjo ažurnost, zanesljivost </w:t>
      </w:r>
      <w:r>
        <w:t>in</w:t>
      </w:r>
      <w:r w:rsidRPr="00066972">
        <w:t xml:space="preserve"> administrativno poenostavitev za upravičence in upravni organ.</w:t>
      </w:r>
    </w:p>
    <w:p w14:paraId="16770CCB" w14:textId="43295547" w:rsidR="007F65BF" w:rsidRDefault="00BB562F" w:rsidP="00EA5748">
      <w:pPr>
        <w:pStyle w:val="Vir"/>
      </w:pPr>
      <w:r>
        <w:t>Vir: Ministrstvo za kmetijstvo, gozdarstvo in prehrano</w:t>
      </w:r>
    </w:p>
    <w:p w14:paraId="50B6C59C" w14:textId="37EFCEA4" w:rsidR="00BB562F" w:rsidRPr="00072907" w:rsidRDefault="00BB562F" w:rsidP="00F765E8">
      <w:pPr>
        <w:pStyle w:val="Naslov2"/>
      </w:pPr>
      <w:r w:rsidRPr="00072907">
        <w:t>Vlada izdala novelo Uredbe o izvajanju javne svetovalne službe v čebelarstvu</w:t>
      </w:r>
    </w:p>
    <w:p w14:paraId="2F96BDD3" w14:textId="77777777" w:rsidR="00BB562F" w:rsidRPr="00C1760F" w:rsidRDefault="00BB562F" w:rsidP="00072907">
      <w:pPr>
        <w:rPr>
          <w:b/>
          <w:i/>
          <w:iCs/>
        </w:rPr>
      </w:pPr>
      <w:r w:rsidRPr="00386C22">
        <w:rPr>
          <w:iCs/>
        </w:rPr>
        <w:t xml:space="preserve">Vlada je izdala </w:t>
      </w:r>
      <w:r>
        <w:rPr>
          <w:iCs/>
        </w:rPr>
        <w:t xml:space="preserve">novelo </w:t>
      </w:r>
      <w:r w:rsidRPr="00386C22">
        <w:rPr>
          <w:iCs/>
        </w:rPr>
        <w:t xml:space="preserve">Uredbe o izvajanju javne svetovalne službe v čebelarstvu </w:t>
      </w:r>
      <w:r w:rsidRPr="00386C22">
        <w:t>za obdobje od 1. januarja 2022 do 31. decembra 2028</w:t>
      </w:r>
      <w:r>
        <w:t>. Razloga za spremembo uredbe sta p</w:t>
      </w:r>
      <w:r w:rsidRPr="00C5527E">
        <w:t>revedb</w:t>
      </w:r>
      <w:r>
        <w:t>a</w:t>
      </w:r>
      <w:r w:rsidRPr="00C5527E">
        <w:t xml:space="preserve"> plačnih razredov v skladu z Zakonom o skupnih temeljih sistema plač v javnem sektorju </w:t>
      </w:r>
      <w:r>
        <w:t>(</w:t>
      </w:r>
      <w:r w:rsidRPr="00C5527E">
        <w:t>Uradni list RS, št. 95/24) in povečanj</w:t>
      </w:r>
      <w:r>
        <w:t>e</w:t>
      </w:r>
      <w:r w:rsidRPr="00C5527E">
        <w:t xml:space="preserve"> urne postavke za terenske svetovalce.</w:t>
      </w:r>
    </w:p>
    <w:p w14:paraId="4368454E" w14:textId="77777777" w:rsidR="00072907" w:rsidRDefault="00072907" w:rsidP="00072907">
      <w:pPr>
        <w:rPr>
          <w:rFonts w:cs="Arial"/>
          <w:color w:val="000000"/>
          <w:shd w:val="clear" w:color="auto" w:fill="FFFFFF"/>
        </w:rPr>
      </w:pPr>
    </w:p>
    <w:p w14:paraId="44FD1235" w14:textId="2A2E0AFD" w:rsidR="00BB562F" w:rsidRDefault="00BB562F" w:rsidP="00072907">
      <w:pPr>
        <w:rPr>
          <w:rFonts w:cs="Arial"/>
        </w:rPr>
      </w:pPr>
      <w:r w:rsidRPr="00386C22">
        <w:rPr>
          <w:rFonts w:cs="Arial"/>
          <w:color w:val="000000"/>
          <w:shd w:val="clear" w:color="auto" w:fill="FFFFFF"/>
        </w:rPr>
        <w:t xml:space="preserve">Stroški dela, ki se nanašajo na svetovanje specialistov, ne smejo presegati višine </w:t>
      </w:r>
      <w:r>
        <w:rPr>
          <w:rFonts w:cs="Arial"/>
          <w:color w:val="000000"/>
          <w:shd w:val="clear" w:color="auto" w:fill="FFFFFF"/>
        </w:rPr>
        <w:t>vrednosti</w:t>
      </w:r>
      <w:r w:rsidRPr="00386C22">
        <w:rPr>
          <w:rFonts w:cs="Arial"/>
          <w:color w:val="000000"/>
          <w:shd w:val="clear" w:color="auto" w:fill="FFFFFF"/>
        </w:rPr>
        <w:t xml:space="preserve"> 28. plačn</w:t>
      </w:r>
      <w:r>
        <w:rPr>
          <w:rFonts w:cs="Arial"/>
          <w:color w:val="000000"/>
          <w:shd w:val="clear" w:color="auto" w:fill="FFFFFF"/>
        </w:rPr>
        <w:t>ega</w:t>
      </w:r>
      <w:r w:rsidRPr="00386C22">
        <w:rPr>
          <w:rFonts w:cs="Arial"/>
          <w:color w:val="000000"/>
          <w:shd w:val="clear" w:color="auto" w:fill="FFFFFF"/>
        </w:rPr>
        <w:t xml:space="preserve"> razred</w:t>
      </w:r>
      <w:r>
        <w:rPr>
          <w:rFonts w:cs="Arial"/>
          <w:color w:val="000000"/>
          <w:shd w:val="clear" w:color="auto" w:fill="FFFFFF"/>
        </w:rPr>
        <w:t>a</w:t>
      </w:r>
      <w:r w:rsidRPr="00386C22">
        <w:rPr>
          <w:rFonts w:cs="Arial"/>
          <w:color w:val="000000"/>
          <w:shd w:val="clear" w:color="auto" w:fill="FFFFFF"/>
        </w:rPr>
        <w:t xml:space="preserve"> v skladu z zakonom, ki ureja sistem plač v javnem sektorju, </w:t>
      </w:r>
      <w:r>
        <w:rPr>
          <w:rFonts w:cs="Arial"/>
          <w:color w:val="000000"/>
          <w:shd w:val="clear" w:color="auto" w:fill="FFFFFF"/>
        </w:rPr>
        <w:t>stroški dela terenskih svetovalcev</w:t>
      </w:r>
      <w:r w:rsidRPr="00386C22">
        <w:rPr>
          <w:rFonts w:cs="Arial"/>
          <w:color w:val="000000"/>
          <w:shd w:val="clear" w:color="auto" w:fill="FFFFFF"/>
        </w:rPr>
        <w:t xml:space="preserve"> </w:t>
      </w:r>
      <w:r>
        <w:rPr>
          <w:rFonts w:cs="Arial"/>
          <w:color w:val="000000"/>
          <w:shd w:val="clear" w:color="auto" w:fill="FFFFFF"/>
        </w:rPr>
        <w:t>ne smejo biti višji od vrednosti</w:t>
      </w:r>
      <w:r w:rsidRPr="00386C22">
        <w:rPr>
          <w:rFonts w:cs="Arial"/>
          <w:color w:val="000000"/>
          <w:shd w:val="clear" w:color="auto" w:fill="FFFFFF"/>
        </w:rPr>
        <w:t xml:space="preserve"> 15. plačn</w:t>
      </w:r>
      <w:r>
        <w:rPr>
          <w:rFonts w:cs="Arial"/>
          <w:color w:val="000000"/>
          <w:shd w:val="clear" w:color="auto" w:fill="FFFFFF"/>
        </w:rPr>
        <w:t>ega</w:t>
      </w:r>
      <w:r w:rsidRPr="00386C22">
        <w:rPr>
          <w:rFonts w:cs="Arial"/>
          <w:color w:val="000000"/>
          <w:shd w:val="clear" w:color="auto" w:fill="FFFFFF"/>
        </w:rPr>
        <w:t xml:space="preserve"> razred</w:t>
      </w:r>
      <w:r>
        <w:rPr>
          <w:rFonts w:cs="Arial"/>
          <w:color w:val="000000"/>
          <w:shd w:val="clear" w:color="auto" w:fill="FFFFFF"/>
        </w:rPr>
        <w:t>a</w:t>
      </w:r>
      <w:r w:rsidRPr="00386C22">
        <w:rPr>
          <w:rFonts w:cs="Arial"/>
          <w:color w:val="000000"/>
          <w:shd w:val="clear" w:color="auto" w:fill="FFFFFF"/>
        </w:rPr>
        <w:t xml:space="preserve"> in</w:t>
      </w:r>
      <w:r>
        <w:rPr>
          <w:rFonts w:cs="Arial"/>
          <w:color w:val="000000"/>
          <w:shd w:val="clear" w:color="auto" w:fill="FFFFFF"/>
        </w:rPr>
        <w:t xml:space="preserve"> stroški</w:t>
      </w:r>
      <w:r w:rsidRPr="00386C22">
        <w:rPr>
          <w:rFonts w:cs="Arial"/>
          <w:color w:val="000000"/>
          <w:shd w:val="clear" w:color="auto" w:fill="FFFFFF"/>
        </w:rPr>
        <w:t xml:space="preserve"> </w:t>
      </w:r>
      <w:r>
        <w:rPr>
          <w:rFonts w:cs="Arial"/>
          <w:color w:val="000000"/>
          <w:shd w:val="clear" w:color="auto" w:fill="FFFFFF"/>
        </w:rPr>
        <w:t xml:space="preserve">dela </w:t>
      </w:r>
      <w:r w:rsidRPr="00386C22">
        <w:rPr>
          <w:rFonts w:cs="Arial"/>
          <w:color w:val="000000"/>
          <w:shd w:val="clear" w:color="auto" w:fill="FFFFFF"/>
        </w:rPr>
        <w:t>vodj</w:t>
      </w:r>
      <w:r>
        <w:rPr>
          <w:rFonts w:cs="Arial"/>
          <w:color w:val="000000"/>
          <w:shd w:val="clear" w:color="auto" w:fill="FFFFFF"/>
        </w:rPr>
        <w:t>e</w:t>
      </w:r>
      <w:r w:rsidRPr="00386C22">
        <w:rPr>
          <w:rFonts w:cs="Arial"/>
          <w:color w:val="000000"/>
          <w:shd w:val="clear" w:color="auto" w:fill="FFFFFF"/>
        </w:rPr>
        <w:t xml:space="preserve"> službe</w:t>
      </w:r>
      <w:r>
        <w:rPr>
          <w:rFonts w:cs="Arial"/>
          <w:color w:val="000000"/>
          <w:shd w:val="clear" w:color="auto" w:fill="FFFFFF"/>
        </w:rPr>
        <w:t xml:space="preserve"> od</w:t>
      </w:r>
      <w:r w:rsidRPr="00386C22">
        <w:rPr>
          <w:rFonts w:cs="Arial"/>
          <w:color w:val="000000"/>
          <w:shd w:val="clear" w:color="auto" w:fill="FFFFFF"/>
        </w:rPr>
        <w:t xml:space="preserve"> </w:t>
      </w:r>
      <w:r>
        <w:rPr>
          <w:rFonts w:cs="Arial"/>
          <w:color w:val="000000"/>
          <w:shd w:val="clear" w:color="auto" w:fill="FFFFFF"/>
        </w:rPr>
        <w:t>vrednosti</w:t>
      </w:r>
      <w:r w:rsidRPr="00386C22">
        <w:rPr>
          <w:rFonts w:cs="Arial"/>
          <w:color w:val="000000"/>
          <w:shd w:val="clear" w:color="auto" w:fill="FFFFFF"/>
        </w:rPr>
        <w:t xml:space="preserve"> 38. plačn</w:t>
      </w:r>
      <w:r>
        <w:rPr>
          <w:rFonts w:cs="Arial"/>
          <w:color w:val="000000"/>
          <w:shd w:val="clear" w:color="auto" w:fill="FFFFFF"/>
        </w:rPr>
        <w:t>ega</w:t>
      </w:r>
      <w:r w:rsidRPr="00386C22">
        <w:rPr>
          <w:rFonts w:cs="Arial"/>
          <w:color w:val="000000"/>
          <w:shd w:val="clear" w:color="auto" w:fill="FFFFFF"/>
        </w:rPr>
        <w:t xml:space="preserve"> razred</w:t>
      </w:r>
      <w:r>
        <w:rPr>
          <w:rFonts w:cs="Arial"/>
          <w:color w:val="000000"/>
          <w:shd w:val="clear" w:color="auto" w:fill="FFFFFF"/>
        </w:rPr>
        <w:t>a</w:t>
      </w:r>
      <w:r w:rsidRPr="00386C22">
        <w:rPr>
          <w:rFonts w:cs="Arial"/>
          <w:color w:val="000000"/>
          <w:shd w:val="clear" w:color="auto" w:fill="FFFFFF"/>
        </w:rPr>
        <w:t xml:space="preserve"> za polni delovni čas. Stroški, ki se nanašajo na administrativno in tehnično delo, ki je v podporo svetovalnemu delu, ne smejo presegati </w:t>
      </w:r>
      <w:r>
        <w:rPr>
          <w:rFonts w:cs="Arial"/>
          <w:color w:val="000000"/>
          <w:shd w:val="clear" w:color="auto" w:fill="FFFFFF"/>
        </w:rPr>
        <w:t>višine</w:t>
      </w:r>
      <w:r w:rsidRPr="00E4198A">
        <w:rPr>
          <w:rFonts w:cs="Arial"/>
          <w:color w:val="000000"/>
          <w:shd w:val="clear" w:color="auto" w:fill="FFFFFF"/>
        </w:rPr>
        <w:t xml:space="preserve"> </w:t>
      </w:r>
      <w:r>
        <w:rPr>
          <w:rFonts w:cs="Arial"/>
          <w:color w:val="000000"/>
          <w:shd w:val="clear" w:color="auto" w:fill="FFFFFF"/>
        </w:rPr>
        <w:t xml:space="preserve">vrednosti </w:t>
      </w:r>
      <w:r w:rsidRPr="00386C22">
        <w:rPr>
          <w:rFonts w:cs="Arial"/>
          <w:color w:val="000000"/>
          <w:shd w:val="clear" w:color="auto" w:fill="FFFFFF"/>
        </w:rPr>
        <w:t>13. plačn</w:t>
      </w:r>
      <w:r>
        <w:rPr>
          <w:rFonts w:cs="Arial"/>
          <w:color w:val="000000"/>
          <w:shd w:val="clear" w:color="auto" w:fill="FFFFFF"/>
        </w:rPr>
        <w:t>ega</w:t>
      </w:r>
      <w:r w:rsidRPr="00386C22">
        <w:rPr>
          <w:rFonts w:cs="Arial"/>
          <w:color w:val="000000"/>
          <w:shd w:val="clear" w:color="auto" w:fill="FFFFFF"/>
        </w:rPr>
        <w:t xml:space="preserve"> razred</w:t>
      </w:r>
      <w:r>
        <w:rPr>
          <w:rFonts w:cs="Arial"/>
          <w:color w:val="000000"/>
          <w:shd w:val="clear" w:color="auto" w:fill="FFFFFF"/>
        </w:rPr>
        <w:t>a,</w:t>
      </w:r>
      <w:r w:rsidRPr="00386C22">
        <w:rPr>
          <w:rFonts w:cs="Arial"/>
          <w:color w:val="000000"/>
          <w:shd w:val="clear" w:color="auto" w:fill="FFFFFF"/>
        </w:rPr>
        <w:t xml:space="preserve"> za računovodjo </w:t>
      </w:r>
      <w:r>
        <w:rPr>
          <w:rFonts w:cs="Arial"/>
          <w:color w:val="000000"/>
          <w:shd w:val="clear" w:color="auto" w:fill="FFFFFF"/>
        </w:rPr>
        <w:t xml:space="preserve">pa </w:t>
      </w:r>
      <w:r w:rsidRPr="00386C22">
        <w:rPr>
          <w:rFonts w:cs="Arial"/>
          <w:color w:val="000000"/>
          <w:shd w:val="clear" w:color="auto" w:fill="FFFFFF"/>
        </w:rPr>
        <w:t>25. plačn</w:t>
      </w:r>
      <w:r>
        <w:rPr>
          <w:rFonts w:cs="Arial"/>
          <w:color w:val="000000"/>
          <w:shd w:val="clear" w:color="auto" w:fill="FFFFFF"/>
        </w:rPr>
        <w:t>ega</w:t>
      </w:r>
      <w:r w:rsidRPr="00386C22">
        <w:rPr>
          <w:rFonts w:cs="Arial"/>
          <w:color w:val="000000"/>
          <w:shd w:val="clear" w:color="auto" w:fill="FFFFFF"/>
        </w:rPr>
        <w:t xml:space="preserve"> razred</w:t>
      </w:r>
      <w:r>
        <w:rPr>
          <w:rFonts w:cs="Arial"/>
          <w:color w:val="000000"/>
          <w:shd w:val="clear" w:color="auto" w:fill="FFFFFF"/>
        </w:rPr>
        <w:t>a</w:t>
      </w:r>
      <w:r w:rsidRPr="00386C22">
        <w:rPr>
          <w:rFonts w:cs="Arial"/>
        </w:rPr>
        <w:t>.</w:t>
      </w:r>
      <w:r>
        <w:rPr>
          <w:rFonts w:cs="Arial"/>
        </w:rPr>
        <w:t xml:space="preserve"> Urna postavka za terenske delavce se z 19 evrov na uro zvišuje na 21 evrov.</w:t>
      </w:r>
    </w:p>
    <w:p w14:paraId="7B1215F7" w14:textId="77777777" w:rsidR="00072907" w:rsidRDefault="00072907" w:rsidP="00072907">
      <w:pPr>
        <w:pStyle w:val="Vir"/>
      </w:pPr>
      <w:r>
        <w:t>Vir: Ministrstvo za kmetijstvo, gozdarstvo in prehrano</w:t>
      </w:r>
    </w:p>
    <w:p w14:paraId="038F1A7F" w14:textId="1DEEA252" w:rsidR="00BB562F" w:rsidRPr="00072907" w:rsidRDefault="00072907" w:rsidP="00F765E8">
      <w:pPr>
        <w:pStyle w:val="Naslov2"/>
      </w:pPr>
      <w:r>
        <w:t xml:space="preserve"> </w:t>
      </w:r>
      <w:r w:rsidR="00BB562F" w:rsidRPr="00072907">
        <w:t>Vlada izdala Uredbo o spremembah in dopolnitvah Uredbe o organih v sestavi ministrstev</w:t>
      </w:r>
    </w:p>
    <w:p w14:paraId="03F4C676" w14:textId="2E471642" w:rsidR="00BB562F" w:rsidRDefault="00BB562F" w:rsidP="00072907">
      <w:r w:rsidRPr="00820A2C">
        <w:t xml:space="preserve">Vlada je izdala Uredbo o spremembah in dopolnitvah Uredbe o organih v sestavi ministrstev in jo objavi v Uradnem listu </w:t>
      </w:r>
      <w:r>
        <w:t>RS</w:t>
      </w:r>
      <w:r w:rsidRPr="00820A2C">
        <w:t xml:space="preserve">.  </w:t>
      </w:r>
    </w:p>
    <w:p w14:paraId="606E42A1" w14:textId="77777777" w:rsidR="00BB562F" w:rsidRPr="00820A2C" w:rsidRDefault="00BB562F" w:rsidP="00072907"/>
    <w:p w14:paraId="00FF0950" w14:textId="29EAAB56" w:rsidR="00BB562F" w:rsidRPr="007B49AF" w:rsidRDefault="00BB562F" w:rsidP="00072907">
      <w:r w:rsidRPr="00820A2C">
        <w:t>V Uredbi o organih v sestavi ministrstev je</w:t>
      </w:r>
      <w:r>
        <w:t xml:space="preserve"> bilo</w:t>
      </w:r>
      <w:r w:rsidRPr="00820A2C">
        <w:t xml:space="preserve"> </w:t>
      </w:r>
      <w:r w:rsidR="00F765E8" w:rsidRPr="00820A2C">
        <w:t>treba</w:t>
      </w:r>
      <w:r w:rsidRPr="00820A2C">
        <w:t xml:space="preserve"> </w:t>
      </w:r>
      <w:r w:rsidRPr="00820A2C">
        <w:rPr>
          <w:rFonts w:eastAsiaTheme="minorHAnsi"/>
        </w:rPr>
        <w:t xml:space="preserve">dopolniti delovno področje Agencije </w:t>
      </w:r>
      <w:r>
        <w:rPr>
          <w:rFonts w:eastAsiaTheme="minorHAnsi"/>
        </w:rPr>
        <w:t>RS</w:t>
      </w:r>
      <w:r w:rsidRPr="00820A2C">
        <w:rPr>
          <w:rFonts w:eastAsiaTheme="minorHAnsi"/>
        </w:rPr>
        <w:t xml:space="preserve"> za okolje zaradi prevzema nalog s področja dimnikarskih evidenc</w:t>
      </w:r>
      <w:r>
        <w:rPr>
          <w:rFonts w:eastAsiaTheme="minorHAnsi"/>
        </w:rPr>
        <w:t xml:space="preserve"> </w:t>
      </w:r>
      <w:r w:rsidRPr="00820A2C">
        <w:rPr>
          <w:rFonts w:eastAsiaTheme="minorHAnsi"/>
        </w:rPr>
        <w:t>EVIDIM</w:t>
      </w:r>
      <w:r>
        <w:rPr>
          <w:rFonts w:eastAsiaTheme="minorHAnsi"/>
        </w:rPr>
        <w:t xml:space="preserve"> (</w:t>
      </w:r>
      <w:r w:rsidRPr="003E3F40">
        <w:rPr>
          <w:rFonts w:eastAsiaTheme="minorHAnsi"/>
        </w:rPr>
        <w:t>Evidence malih kurilnih naprav in izvedenih dimnikarskih storitev</w:t>
      </w:r>
      <w:r>
        <w:rPr>
          <w:rFonts w:eastAsiaTheme="minorHAnsi"/>
        </w:rPr>
        <w:t xml:space="preserve">) </w:t>
      </w:r>
      <w:r w:rsidRPr="00820A2C">
        <w:rPr>
          <w:rFonts w:eastAsiaTheme="minorHAnsi"/>
        </w:rPr>
        <w:t xml:space="preserve">in </w:t>
      </w:r>
      <w:r w:rsidRPr="00820A2C">
        <w:t>dopolniti delovno področje sedanjega Inšpektorata RS za stanovanja</w:t>
      </w:r>
      <w:r w:rsidR="00072907">
        <w:t>,</w:t>
      </w:r>
      <w:r>
        <w:t xml:space="preserve"> in sicer</w:t>
      </w:r>
      <w:r w:rsidR="00072907">
        <w:t xml:space="preserve"> </w:t>
      </w:r>
      <w:r w:rsidRPr="00820A2C">
        <w:t>zaradi nove pristojnosti nadzora nad dolgotrajno oskrbo, kar ureja Zakon o dolgotrajni oskrbi.</w:t>
      </w:r>
    </w:p>
    <w:p w14:paraId="378116F6" w14:textId="669289D8" w:rsidR="007F65BF" w:rsidRPr="00A83892" w:rsidRDefault="00072907" w:rsidP="009F5B07">
      <w:pPr>
        <w:pStyle w:val="Vir"/>
        <w:rPr>
          <w:color w:val="000000" w:themeColor="text1"/>
        </w:rPr>
      </w:pPr>
      <w:r w:rsidRPr="00A83892">
        <w:rPr>
          <w:color w:val="000000" w:themeColor="text1"/>
        </w:rPr>
        <w:t>Vir: Ministrstvo za javno upravo</w:t>
      </w:r>
    </w:p>
    <w:p w14:paraId="73C11C91" w14:textId="77777777" w:rsidR="00A83892" w:rsidRPr="00A83892" w:rsidRDefault="00A83892" w:rsidP="00A83892">
      <w:pPr>
        <w:pStyle w:val="Naslov2"/>
      </w:pPr>
      <w:r w:rsidRPr="00A83892">
        <w:t>Uredba o spremembah in dopolnitvah Uredbe o obnovljivih virih energije v prometu</w:t>
      </w:r>
    </w:p>
    <w:p w14:paraId="755475A5" w14:textId="77777777" w:rsidR="00A83892" w:rsidRPr="00A83892" w:rsidRDefault="00A83892" w:rsidP="00A83892">
      <w:pPr>
        <w:rPr>
          <w:color w:val="000000" w:themeColor="text1"/>
        </w:rPr>
      </w:pPr>
      <w:r w:rsidRPr="00A83892">
        <w:rPr>
          <w:color w:val="000000" w:themeColor="text1"/>
        </w:rPr>
        <w:t>Vlada je sprejela Uredbo o spremembah in dopolnitvah Uredbe o obnovljivih virih energije v prometu. Spremembe so nujne zaradi prenosa evropske zakonodaje, ki razširja seznam surovin, dovoljenih za proizvodnjo biogoriv in bioplina.</w:t>
      </w:r>
    </w:p>
    <w:p w14:paraId="443240EA" w14:textId="77777777" w:rsidR="00A83892" w:rsidRPr="00A83892" w:rsidRDefault="00A83892" w:rsidP="00A83892">
      <w:pPr>
        <w:rPr>
          <w:color w:val="000000" w:themeColor="text1"/>
        </w:rPr>
      </w:pPr>
    </w:p>
    <w:p w14:paraId="56F12227" w14:textId="77777777" w:rsidR="00A83892" w:rsidRPr="00A83892" w:rsidRDefault="00A83892" w:rsidP="00A83892">
      <w:pPr>
        <w:rPr>
          <w:color w:val="000000" w:themeColor="text1"/>
        </w:rPr>
      </w:pPr>
      <w:r w:rsidRPr="00A83892">
        <w:rPr>
          <w:color w:val="000000" w:themeColor="text1"/>
        </w:rPr>
        <w:t xml:space="preserve">Novi seznam med drugim vključuje </w:t>
      </w:r>
      <w:proofErr w:type="spellStart"/>
      <w:r w:rsidRPr="00A83892">
        <w:rPr>
          <w:color w:val="000000" w:themeColor="text1"/>
        </w:rPr>
        <w:t>patočno</w:t>
      </w:r>
      <w:proofErr w:type="spellEnd"/>
      <w:r w:rsidRPr="00A83892">
        <w:rPr>
          <w:color w:val="000000" w:themeColor="text1"/>
        </w:rPr>
        <w:t xml:space="preserve"> olje iz alkoholne destilacije, surovi metanol iz proizvodnje lesne celuloze, vmesne in pokrovne poljščine, pridelane na degradiranih zemljiščih, ter cianobakterije in komunalne odpadne vode. Posebej je določena tudi njihova uporaba v letalskem sektorju, kjer je nadomeščanje fosilnih goriv najbolj zahtevno.</w:t>
      </w:r>
    </w:p>
    <w:p w14:paraId="7BB82781" w14:textId="77777777" w:rsidR="00A83892" w:rsidRPr="00A83892" w:rsidRDefault="00A83892" w:rsidP="00A83892">
      <w:pPr>
        <w:rPr>
          <w:color w:val="000000" w:themeColor="text1"/>
        </w:rPr>
      </w:pPr>
    </w:p>
    <w:p w14:paraId="62D06AEF" w14:textId="77777777" w:rsidR="00A83892" w:rsidRPr="00A83892" w:rsidRDefault="00A83892" w:rsidP="00A83892">
      <w:pPr>
        <w:rPr>
          <w:color w:val="000000" w:themeColor="text1"/>
        </w:rPr>
      </w:pPr>
      <w:r w:rsidRPr="00A83892">
        <w:rPr>
          <w:color w:val="000000" w:themeColor="text1"/>
        </w:rPr>
        <w:t>Spremembe pomenijo več možnosti za proizvodnjo trajnostnih goriv, večjo energetsko neodvisnost ter pomemben korak k zmanjšanju emisij toplogrednih plinov v prometu.</w:t>
      </w:r>
    </w:p>
    <w:p w14:paraId="4FAE0294" w14:textId="70A34264" w:rsidR="007F65BF" w:rsidRPr="00A83892" w:rsidRDefault="00A83892" w:rsidP="00A83892">
      <w:pPr>
        <w:pStyle w:val="Vir"/>
      </w:pPr>
      <w:r w:rsidRPr="00A83892">
        <w:t>Vir: Ministrstvo za okolje, podnebje in energijo</w:t>
      </w:r>
    </w:p>
    <w:p w14:paraId="23521321" w14:textId="77777777" w:rsidR="00F93925" w:rsidRDefault="00F93925" w:rsidP="00F93925">
      <w:pPr>
        <w:pStyle w:val="Naslov2"/>
      </w:pPr>
      <w:r>
        <w:t>Uredba o nadomestilu za izrabo prostora za proizvodno napravo na veter</w:t>
      </w:r>
    </w:p>
    <w:p w14:paraId="125A81ED" w14:textId="77777777" w:rsidR="00F93925" w:rsidRDefault="00F93925" w:rsidP="00F93925">
      <w:r>
        <w:t>Vlada je izdala Uredbo o spremembi Uredbe o nadomestilu za izrabo prostora za proizvodno napravo na veter, s katero se odpravlja pravna praznina, ki je doslej v določenih primerih onemogočala izplačevanje nadomestila občinam, kjer stojijo vetrne elektrarne.</w:t>
      </w:r>
    </w:p>
    <w:p w14:paraId="35372B6D" w14:textId="77777777" w:rsidR="00F93925" w:rsidRDefault="00F93925" w:rsidP="00F93925"/>
    <w:p w14:paraId="2089D5A2" w14:textId="77777777" w:rsidR="00F93925" w:rsidRDefault="00F93925" w:rsidP="00F93925">
      <w:r>
        <w:t>Zakon o spodbujanju rabe obnovljivih virov energije določa, da morajo proizvajalci električne energije iz vetra občini plačevati nadomestilo za izrabo prostora, ne glede na druge javne dajatve. Namen ukrepa je povečati družbeno sprejemljivost vetrnih elektrarn in zagotoviti, da imajo od projektov koristi tudi lokalne skupnosti.</w:t>
      </w:r>
    </w:p>
    <w:p w14:paraId="62D563F1" w14:textId="77777777" w:rsidR="00F93925" w:rsidRDefault="00F93925" w:rsidP="00F93925"/>
    <w:p w14:paraId="2F680851" w14:textId="77777777" w:rsidR="00F93925" w:rsidRDefault="00F93925" w:rsidP="00F93925">
      <w:r>
        <w:t>V praksi pa se je izkazalo, da obstoječa uredba ni zajemala primerov, ko je bil upravljavec naprave sicer upravičen do državne podpore, a je v določenem letu ni prejemal oziroma je bila ta določena v višini 0 evrov. V takih primerih občinam ni bilo mogoče odmeriti nadomestila.</w:t>
      </w:r>
    </w:p>
    <w:p w14:paraId="4513D741" w14:textId="77777777" w:rsidR="00F93925" w:rsidRDefault="00F93925" w:rsidP="00F93925"/>
    <w:p w14:paraId="2535AB90" w14:textId="77777777" w:rsidR="00F93925" w:rsidRDefault="00F93925" w:rsidP="00F93925">
      <w:r>
        <w:t>Z novo spremembo se ta vrzel zapolnjuje, saj bo osnova za nadomestilo v takih primerih določena na podlagi proizvedene količine električne energije in referenčne cene, ki jo vsako leto objavi Agencija za energijo.</w:t>
      </w:r>
    </w:p>
    <w:p w14:paraId="170369B7" w14:textId="77777777" w:rsidR="00F93925" w:rsidRDefault="00F93925" w:rsidP="00F93925">
      <w:pPr>
        <w:pStyle w:val="Vir"/>
      </w:pPr>
      <w:r>
        <w:t>Vir: Ministrstvo za okolje, podnebje in energijo</w:t>
      </w:r>
    </w:p>
    <w:p w14:paraId="655B0A6F" w14:textId="77777777" w:rsidR="00142AA2" w:rsidRDefault="00142AA2" w:rsidP="00142AA2">
      <w:pPr>
        <w:pStyle w:val="Naslov2"/>
      </w:pPr>
      <w:r w:rsidRPr="00B07CE0">
        <w:t>Posodobitev seznama funkcij, ki se v Sloveniji štejejo kot vidni javni položaj</w:t>
      </w:r>
    </w:p>
    <w:p w14:paraId="14B78650" w14:textId="59491FEF" w:rsidR="00142AA2" w:rsidRPr="00142AA2" w:rsidRDefault="00142AA2" w:rsidP="00142AA2">
      <w:r w:rsidRPr="00B07CE0">
        <w:t>Vlada je na podlagi novele Zakona o preprečevanju pranja denarja in financiranja terorizma spremenila tudi Uredbo o seznamu funkcij, ki se v Republiki Sloveniji štejejo kot vidni javni položaj. Novela zakona med drugim določa, da se častni konzuli ne štejejo več kot politično izpostavljene osebe, ki delujejo ali so delovale na vidnih javnih položajih, čemur sledi tudi spremenjena uredba.</w:t>
      </w:r>
    </w:p>
    <w:p w14:paraId="5FA86F05" w14:textId="77777777" w:rsidR="00142AA2" w:rsidRPr="00B07CE0" w:rsidRDefault="00142AA2" w:rsidP="00142AA2">
      <w:r w:rsidRPr="00B07CE0">
        <w:lastRenderedPageBreak/>
        <w:t xml:space="preserve"> </w:t>
      </w:r>
    </w:p>
    <w:p w14:paraId="5BB8095A" w14:textId="77777777" w:rsidR="00142AA2" w:rsidRPr="00B07CE0" w:rsidRDefault="00142AA2" w:rsidP="00142AA2">
      <w:r w:rsidRPr="00B07CE0">
        <w:t>Direktiva 2015/849/EU politično izpostavljeno osebo opredeljuje kot fizično osebo, ki deluje ali je delovala na vidnih javnih položajih, kar med drugim zajema veleposlanike, odpravnike poslov in visoke častnike oboroženih sil.</w:t>
      </w:r>
    </w:p>
    <w:p w14:paraId="3E4BA92C" w14:textId="77777777" w:rsidR="00142AA2" w:rsidRPr="00B07CE0" w:rsidRDefault="00142AA2" w:rsidP="00142AA2">
      <w:r w:rsidRPr="00B07CE0">
        <w:t xml:space="preserve"> </w:t>
      </w:r>
    </w:p>
    <w:p w14:paraId="2D69CFC5" w14:textId="657164A2" w:rsidR="00142AA2" w:rsidRDefault="00142AA2" w:rsidP="00142AA2">
      <w:r w:rsidRPr="00B07CE0">
        <w:t>Ureditev politično izpostavljenih oseb v Sloveniji je bila doslej strožja od omenjene ureditve v direktivi, saj so se med slednje na podlagi omenjene uredbe uvrščali tudi častni konzuli. Novela Zakona o preprečevanju pranja denarja in financiranja terorizma tako po novem določa, da se častni konzuli ne štejejo več kot politično izpostavljene osebe, zato smo uredbo prilagodili</w:t>
      </w:r>
      <w:r>
        <w:t>.</w:t>
      </w:r>
    </w:p>
    <w:p w14:paraId="7FF48876" w14:textId="0CA4A5B1" w:rsidR="007F65BF" w:rsidRDefault="00142AA2" w:rsidP="009F5B07">
      <w:pPr>
        <w:pStyle w:val="Vir"/>
      </w:pPr>
      <w:r>
        <w:t>Vir: Ministrstvo za finance</w:t>
      </w:r>
    </w:p>
    <w:p w14:paraId="1544C930" w14:textId="77777777" w:rsidR="00072907" w:rsidRPr="00CF751B" w:rsidRDefault="00072907" w:rsidP="009E7DDA">
      <w:pPr>
        <w:pStyle w:val="Naslov2"/>
        <w:rPr>
          <w:lang w:eastAsia="sl-SI"/>
        </w:rPr>
      </w:pPr>
      <w:r w:rsidRPr="00CF751B">
        <w:t xml:space="preserve">Sprememba Sklepa o </w:t>
      </w:r>
      <w:r w:rsidRPr="00CF751B">
        <w:rPr>
          <w:lang w:eastAsia="sl-SI"/>
        </w:rPr>
        <w:t>preoblikovanju javnega zavoda Akademska in raziskovalna mreža Slovenije v javni infrastrukturni zavod</w:t>
      </w:r>
    </w:p>
    <w:p w14:paraId="2169B645" w14:textId="1813826B" w:rsidR="00072907" w:rsidRPr="009E7DDA" w:rsidRDefault="00072907" w:rsidP="009E7DDA">
      <w:pPr>
        <w:rPr>
          <w:color w:val="000000" w:themeColor="text1"/>
        </w:rPr>
      </w:pPr>
      <w:r w:rsidRPr="00CF751B">
        <w:t>Vlada je sprejela spremembo Sklepa o preoblikovanju javnega zavoda Akademska in raziskovalna mreža Slovenije (Arnes) v javni infrastrukturni zavod in ga bo objavila v Uradnem listu Republike Slovenije. Gre za</w:t>
      </w:r>
      <w:r w:rsidRPr="00CF751B">
        <w:rPr>
          <w:lang w:eastAsia="sl-SI"/>
        </w:rPr>
        <w:t xml:space="preserve"> manjšo spremembo določb ustanovitvenega akta javnega infrastrukturnega zavoda Arnes.</w:t>
      </w:r>
    </w:p>
    <w:p w14:paraId="4C54ACB8" w14:textId="1FE9F5E4" w:rsidR="00072907" w:rsidRPr="009E7DDA" w:rsidRDefault="00072907" w:rsidP="009E7DDA">
      <w:pPr>
        <w:pStyle w:val="Vir"/>
        <w:rPr>
          <w:color w:val="000000" w:themeColor="text1"/>
        </w:rPr>
      </w:pPr>
      <w:r w:rsidRPr="00F661B1">
        <w:t>Vir: Ministrstvo za visoko šolstvo, znanost in inovacije</w:t>
      </w:r>
    </w:p>
    <w:p w14:paraId="4705438C" w14:textId="77777777" w:rsidR="00072907" w:rsidRDefault="00072907" w:rsidP="009E7DDA">
      <w:pPr>
        <w:pStyle w:val="Naslov2"/>
      </w:pPr>
      <w:r w:rsidRPr="00877817">
        <w:rPr>
          <w:rFonts w:cs="Arial"/>
        </w:rPr>
        <w:t xml:space="preserve">Spremembe in dopolnitve </w:t>
      </w:r>
      <w:r w:rsidRPr="00877817">
        <w:t>Sklepa o soglasju k vsebini razpisa za vpis v magistrske študijske programe za študijsko leto 2025/2026</w:t>
      </w:r>
    </w:p>
    <w:p w14:paraId="1D9F2DEB" w14:textId="046C4033" w:rsidR="00072907" w:rsidRDefault="00072907" w:rsidP="009E7DDA">
      <w:r w:rsidRPr="00466B80">
        <w:t xml:space="preserve">Vlada je sprejela Sklep o spremembah in dopolnitvi Sklepa o soglasju k vsebini razpisa za vpis v magistrske študijske programe za študijsko leto 2025/2026. </w:t>
      </w:r>
    </w:p>
    <w:p w14:paraId="7EB1560D" w14:textId="77777777" w:rsidR="00072907" w:rsidRDefault="00072907" w:rsidP="009E7DDA"/>
    <w:p w14:paraId="743F2E13" w14:textId="77777777" w:rsidR="00072907" w:rsidRPr="00466B80" w:rsidRDefault="00072907" w:rsidP="009E7DDA">
      <w:r w:rsidRPr="00466B80">
        <w:t xml:space="preserve">Že marca letos je </w:t>
      </w:r>
      <w:r>
        <w:t xml:space="preserve">vlada </w:t>
      </w:r>
      <w:r w:rsidRPr="00466B80">
        <w:t xml:space="preserve">dala soglasje k razpisom za vpis v magistrske študijske programe druge stopnje na javnih visokošolskih zavodih in zasebnih visokošolskih zavodih za študijske programe s koncesijo. Senat Univerze v Mariboru je 24. junija </w:t>
      </w:r>
      <w:r w:rsidRPr="00466B80">
        <w:rPr>
          <w:shd w:val="clear" w:color="auto" w:fill="FFFFFF" w:themeFill="background1"/>
        </w:rPr>
        <w:t>sprejel sklep o povišanju števila vpisnih mest za tujce (državljane držav nečlanic Evropske unije) za vpis v 1. letnik na dveh magistrskih študijskih programih druge stopnje. In sicer se na Ekonomsko-poslovni fakulteti na rednem magistrskem študijskem programu Ekonomske in poslovne vede število mest poveča z 20 na 30, na Fakulteti za logistiko pa se na izrednem študijskem programu Logistika sistemov število mest poveča s 50 na 70.</w:t>
      </w:r>
    </w:p>
    <w:p w14:paraId="1EF3C138" w14:textId="482D4FB4" w:rsidR="009B1BB6" w:rsidRPr="001D6563" w:rsidRDefault="00072907" w:rsidP="001D6563">
      <w:pPr>
        <w:pStyle w:val="Vir"/>
        <w:rPr>
          <w:color w:val="000000" w:themeColor="text1"/>
        </w:rPr>
      </w:pPr>
      <w:r w:rsidRPr="00F661B1">
        <w:t>Vir: Ministrstvo za visoko šolstvo, znanost in inovacije</w:t>
      </w:r>
    </w:p>
    <w:p w14:paraId="0C1D4486" w14:textId="77777777" w:rsidR="009B1BB6" w:rsidRPr="00E77C95" w:rsidRDefault="009B1BB6" w:rsidP="001D6563">
      <w:pPr>
        <w:pStyle w:val="Naslov2"/>
      </w:pPr>
      <w:r w:rsidRPr="00E77C95">
        <w:t>Nacionalna vaja kibernetske obrambe</w:t>
      </w:r>
    </w:p>
    <w:p w14:paraId="30803DAF" w14:textId="77777777" w:rsidR="009B1BB6" w:rsidRPr="00E77C95" w:rsidRDefault="009B1BB6" w:rsidP="001D6563">
      <w:r w:rsidRPr="00E77C95">
        <w:t xml:space="preserve">Vlada je sprejela sklep o organizaciji in izvedbi nacionalne vaje kibernetske obrambe »Kibernetska Trdnjava 2025 - KT25«. Vaja, katere cilji so </w:t>
      </w:r>
      <w:r w:rsidRPr="00E77C95">
        <w:rPr>
          <w:bCs/>
        </w:rPr>
        <w:t>dvig usposobljenosti tehničnega kadra, preverjanje komunikacij in krepitev sodelovanja med deležniki, bo med 9. in 12. septembrom letos na kibernetskem vadišču Ministrstva za obrambo.</w:t>
      </w:r>
    </w:p>
    <w:p w14:paraId="42CB2E7A" w14:textId="77777777" w:rsidR="009B1BB6" w:rsidRPr="00E77C95" w:rsidRDefault="009B1BB6" w:rsidP="001D6563"/>
    <w:p w14:paraId="07C2D83D" w14:textId="77777777" w:rsidR="009B1BB6" w:rsidRPr="00E77C95" w:rsidRDefault="009B1BB6" w:rsidP="001D6563">
      <w:r w:rsidRPr="00E77C95">
        <w:t xml:space="preserve">Ministrstvo za obrambo bo na svojem sodobnem kibernetskem vadišču za </w:t>
      </w:r>
      <w:r w:rsidRPr="00E77C95">
        <w:rPr>
          <w:bCs/>
        </w:rPr>
        <w:t xml:space="preserve">deležnike iz ministrstev, </w:t>
      </w:r>
      <w:r w:rsidRPr="00E77C95">
        <w:t>Urada Vlade Republike Slovenije za informacijsko varnost in Nacionalnega odzivnega centra za omrežne incidente SI-CERT organiziralo nacionalno vajo kibernetske obrambe »Kibernetska trdnjava 2025 (KT25)</w:t>
      </w:r>
      <w:r w:rsidRPr="00E77C95">
        <w:rPr>
          <w:bCs/>
        </w:rPr>
        <w:t>.  Glavn</w:t>
      </w:r>
      <w:r w:rsidRPr="00E77C95">
        <w:t>i namen vaje</w:t>
      </w:r>
      <w:r w:rsidRPr="00E77C95">
        <w:rPr>
          <w:bCs/>
        </w:rPr>
        <w:t xml:space="preserve"> </w:t>
      </w:r>
      <w:r w:rsidRPr="00E77C95">
        <w:t xml:space="preserve">je upravljanje s kibernetsko varnostjo, odziv na posredna in neposredna ogrožanja ter varnostna tveganja v primeru kibernetske grožnje ali incidenta v kibernetskem prostoru, zaznavanje in odzivanje na kibernetske napade ter seznanjanje z drugimi procesi in razumevanje kibernetskega okolja. </w:t>
      </w:r>
    </w:p>
    <w:p w14:paraId="58EE4E70" w14:textId="77777777" w:rsidR="009B1BB6" w:rsidRPr="00E77C95" w:rsidRDefault="009B1BB6" w:rsidP="001D6563"/>
    <w:p w14:paraId="4943F3F5" w14:textId="09723C0F" w:rsidR="009B1BB6" w:rsidRPr="00E77C95" w:rsidRDefault="009B1BB6" w:rsidP="001D6563">
      <w:pPr>
        <w:rPr>
          <w:bCs/>
        </w:rPr>
      </w:pPr>
      <w:r w:rsidRPr="00E77C95">
        <w:lastRenderedPageBreak/>
        <w:t>Cilj vaje</w:t>
      </w:r>
      <w:r w:rsidRPr="00E77C95">
        <w:rPr>
          <w:bCs/>
        </w:rPr>
        <w:t xml:space="preserve"> je dvig ravni zavedanja in usposobljenosti osebja, ki upravlja sisteme</w:t>
      </w:r>
      <w:r w:rsidR="00A2419E">
        <w:rPr>
          <w:bCs/>
        </w:rPr>
        <w:t>,</w:t>
      </w:r>
      <w:r w:rsidRPr="00E77C95">
        <w:rPr>
          <w:bCs/>
        </w:rPr>
        <w:t xml:space="preserve"> in tistih, ki skrbijo za informacijsko varnost v okviru organov državne uprave. Vaja se bo osredotočala na krepitev usposobljenosti tehničnega kadra za zoperstavljanje grožnjam na kibernetskem področju, preverjanju komunikacij in krepitvi sodelovanja med različnimi deležniki v kibernetskem prostoru.    </w:t>
      </w:r>
    </w:p>
    <w:p w14:paraId="4EF2CC9A" w14:textId="77777777" w:rsidR="009B1BB6" w:rsidRPr="00E77C95" w:rsidRDefault="009B1BB6" w:rsidP="001D6563"/>
    <w:p w14:paraId="53A01E8A" w14:textId="77777777" w:rsidR="009B1BB6" w:rsidRPr="00E77C95" w:rsidRDefault="009B1BB6" w:rsidP="001D6563">
      <w:r w:rsidRPr="00E77C95">
        <w:t>Nacionalna vaja »Kibernetska trdnjava 2025« je umeščena v Načrt vaj v obrambnem sistemu in sistemu varstva pred naravnimi in drugimi nesrečami v letu 2025.</w:t>
      </w:r>
    </w:p>
    <w:p w14:paraId="6952986A" w14:textId="2F9B55A4" w:rsidR="007F65BF" w:rsidRDefault="001D6563" w:rsidP="001D6563">
      <w:pPr>
        <w:pStyle w:val="Vir"/>
      </w:pPr>
      <w:r>
        <w:t>Vir: Ministrstvo za obrambo</w:t>
      </w:r>
    </w:p>
    <w:p w14:paraId="770AD16E" w14:textId="77777777" w:rsidR="00142AA2" w:rsidRPr="00D7301E" w:rsidRDefault="00142AA2" w:rsidP="00142AA2">
      <w:pPr>
        <w:pStyle w:val="Naslov2"/>
      </w:pPr>
      <w:r w:rsidRPr="00D7301E">
        <w:t>Vlada sprejela sklep o prenehanju obveznega organiziranja varovanja Ministrstv</w:t>
      </w:r>
      <w:r>
        <w:t>a</w:t>
      </w:r>
      <w:r w:rsidRPr="00D7301E">
        <w:t xml:space="preserve"> za finance</w:t>
      </w:r>
    </w:p>
    <w:p w14:paraId="381900B6" w14:textId="647D8D1C" w:rsidR="00142AA2" w:rsidRPr="00D7301E" w:rsidRDefault="00142AA2" w:rsidP="00142AA2">
      <w:r w:rsidRPr="00D7301E">
        <w:rPr>
          <w:rFonts w:eastAsia="Aptos"/>
        </w:rPr>
        <w:t>Podatkovni in aplikacijski strežniki, na katerih so tekle storitve</w:t>
      </w:r>
      <w:r>
        <w:rPr>
          <w:rFonts w:eastAsia="Aptos"/>
        </w:rPr>
        <w:t>,</w:t>
      </w:r>
      <w:r w:rsidRPr="00D7301E">
        <w:rPr>
          <w:rFonts w:eastAsia="Aptos"/>
        </w:rPr>
        <w:t xml:space="preserve"> za katere je bilo organizirano varovanje</w:t>
      </w:r>
      <w:r>
        <w:rPr>
          <w:rFonts w:eastAsia="Aptos"/>
        </w:rPr>
        <w:t>,</w:t>
      </w:r>
      <w:r w:rsidRPr="00D7301E">
        <w:rPr>
          <w:rFonts w:eastAsia="Aptos"/>
        </w:rPr>
        <w:t xml:space="preserve"> </w:t>
      </w:r>
      <w:r w:rsidRPr="00D7301E">
        <w:t xml:space="preserve">so bili </w:t>
      </w:r>
      <w:proofErr w:type="spellStart"/>
      <w:r w:rsidRPr="00D7301E">
        <w:t>migrirani</w:t>
      </w:r>
      <w:proofErr w:type="spellEnd"/>
      <w:r w:rsidRPr="00D7301E">
        <w:t xml:space="preserve"> v podatkovne centre pod upravljanjem Ministrstva za digitalno preobrazbo </w:t>
      </w:r>
      <w:bookmarkStart w:id="0" w:name="_Hlk190253459"/>
      <w:r w:rsidRPr="00D7301E">
        <w:rPr>
          <w:rFonts w:eastAsia="Aptos"/>
        </w:rPr>
        <w:t>in se ne nahajajo več v prostorih Ministrstva za finance, zaradi česar ne obstaja več potreba po obveznem organiziranju varovanja v skladu s predpisi, ki urejajo zasebno varovanje.</w:t>
      </w:r>
      <w:bookmarkEnd w:id="0"/>
    </w:p>
    <w:p w14:paraId="419DEBE9" w14:textId="6BF8D85B" w:rsidR="008C2851" w:rsidRDefault="00142AA2" w:rsidP="009E7DDA">
      <w:pPr>
        <w:pStyle w:val="Vir"/>
      </w:pPr>
      <w:r w:rsidRPr="00142AA2">
        <w:t>Vir: Ministrstvo za finance</w:t>
      </w:r>
    </w:p>
    <w:p w14:paraId="10C8A17B" w14:textId="77777777" w:rsidR="008C2851" w:rsidRPr="00F86C84" w:rsidRDefault="008C2851" w:rsidP="009E7DDA">
      <w:pPr>
        <w:pStyle w:val="Naslov2"/>
        <w:rPr>
          <w:szCs w:val="20"/>
        </w:rPr>
      </w:pPr>
      <w:r w:rsidRPr="00F86C84">
        <w:t>Vlada je sprejela Načrt</w:t>
      </w:r>
      <w:r>
        <w:t xml:space="preserve"> </w:t>
      </w:r>
      <w:r w:rsidRPr="00F86C84">
        <w:t xml:space="preserve">izvajanja finančnih instrumentov za leti 2026 in 2027 </w:t>
      </w:r>
    </w:p>
    <w:p w14:paraId="034A089D" w14:textId="70238F29" w:rsidR="008C2851" w:rsidRPr="009E7DDA" w:rsidRDefault="008C2851" w:rsidP="009E7DDA">
      <w:pPr>
        <w:rPr>
          <w:bCs/>
          <w:highlight w:val="yellow"/>
        </w:rPr>
      </w:pPr>
      <w:r w:rsidRPr="009E7DDA">
        <w:rPr>
          <w:bCs/>
        </w:rPr>
        <w:t>Vlada je sprejela Načrt izvajanja finančnih instrumentov za leti 2026 in 2027 v okviru programskega obdobja 2021–2027. V obdobju 2021–2027 bodo podprta področja raziskave, razvoj in inovacije (RRI), mala in srednje velika podjetja (MSP), energetska učinkovitost, krožno gospodarstvo in urbani razvoj.</w:t>
      </w:r>
    </w:p>
    <w:p w14:paraId="42949059" w14:textId="77777777" w:rsidR="009E7DDA" w:rsidRDefault="009E7DDA" w:rsidP="009E7DDA">
      <w:pPr>
        <w:rPr>
          <w:szCs w:val="20"/>
        </w:rPr>
      </w:pPr>
    </w:p>
    <w:p w14:paraId="4A3911BA" w14:textId="1F38013F" w:rsidR="008C2851" w:rsidRPr="00F86C84" w:rsidRDefault="008C2851" w:rsidP="009E7DDA">
      <w:pPr>
        <w:rPr>
          <w:szCs w:val="20"/>
        </w:rPr>
      </w:pPr>
      <w:r w:rsidRPr="00F86C84">
        <w:rPr>
          <w:szCs w:val="20"/>
        </w:rPr>
        <w:t xml:space="preserve">Skupni znesek za finančne instrumente za obdobje upravičenosti do konca leta 2029 znaša 190 milijonov evrov iz sredstev evropske kohezijske politike. </w:t>
      </w:r>
    </w:p>
    <w:p w14:paraId="3C558207" w14:textId="77777777" w:rsidR="009E7DDA" w:rsidRDefault="009E7DDA" w:rsidP="009E7DDA">
      <w:pPr>
        <w:rPr>
          <w:szCs w:val="20"/>
        </w:rPr>
      </w:pPr>
    </w:p>
    <w:p w14:paraId="0A69EA3D" w14:textId="58728497" w:rsidR="008C2851" w:rsidRPr="00F86C84" w:rsidRDefault="008C2851" w:rsidP="009E7DDA">
      <w:pPr>
        <w:rPr>
          <w:szCs w:val="20"/>
        </w:rPr>
      </w:pPr>
      <w:r w:rsidRPr="00F86C84">
        <w:rPr>
          <w:szCs w:val="20"/>
        </w:rPr>
        <w:t>Na področju RRI in urbanega razvoja bodo ciljnim skupinam na voljo posojila, MSP bodo na voljo garancije v kombinaciji s subvencijo obrestne mere, na področju energetske učinkovitosti in krožnega gospodarstva pa bodo ciljnim skupinam na voljo posojila v kombinaciji z nepovratnimi sredstvi.</w:t>
      </w:r>
    </w:p>
    <w:p w14:paraId="1C4BCC3A" w14:textId="7E76C943" w:rsidR="008C2851" w:rsidRPr="00F86C84" w:rsidRDefault="008C2851" w:rsidP="009E7DDA">
      <w:pPr>
        <w:rPr>
          <w:szCs w:val="20"/>
          <w:highlight w:val="yellow"/>
        </w:rPr>
      </w:pPr>
      <w:r w:rsidRPr="00F86C84">
        <w:rPr>
          <w:szCs w:val="20"/>
        </w:rPr>
        <w:t xml:space="preserve">Finančni instrumenti se bodo izvajali prek holdinškega sklada, ki bo upravljal in izvajal finančne instrumente (posojila in garancije). </w:t>
      </w:r>
      <w:r w:rsidRPr="00DF66DC">
        <w:rPr>
          <w:szCs w:val="20"/>
        </w:rPr>
        <w:t>Upravljavec holdinškega sklada je Slovenska izvozna in razvojna banka d.</w:t>
      </w:r>
      <w:r w:rsidR="00A2419E">
        <w:rPr>
          <w:szCs w:val="20"/>
        </w:rPr>
        <w:t xml:space="preserve"> </w:t>
      </w:r>
      <w:r w:rsidRPr="00DF66DC">
        <w:rPr>
          <w:szCs w:val="20"/>
        </w:rPr>
        <w:t>d.</w:t>
      </w:r>
      <w:r>
        <w:rPr>
          <w:szCs w:val="20"/>
        </w:rPr>
        <w:t xml:space="preserve">. </w:t>
      </w:r>
      <w:r w:rsidRPr="00F86C84">
        <w:rPr>
          <w:szCs w:val="20"/>
        </w:rPr>
        <w:t>Ključni deležniki pri izvajanju finančnih instrumentov so poleg holdinškega sklada še Ministrstvo za gospodarstvo, turizem in šport (v vlogi posredniškega telesa za finančne instrumente), Ministrstvo za naravne vire in prostor in Ministrstvo za okolje, podnebje in energijo (oba v vlogi sodelujočih ministrstev), Ministrstvo za kohezijo in regionalni razvoj (kot organ upravljanja), Ministrstvo za finance (kot plačilni organ in organ za računovodenje) in Združenje mestnih občin Slovenije.</w:t>
      </w:r>
    </w:p>
    <w:p w14:paraId="22E68B0A" w14:textId="376A12F8" w:rsidR="008C2851" w:rsidRDefault="008C2851" w:rsidP="009E7DDA">
      <w:pPr>
        <w:rPr>
          <w:szCs w:val="20"/>
        </w:rPr>
      </w:pPr>
      <w:r w:rsidRPr="008141BD">
        <w:rPr>
          <w:szCs w:val="20"/>
        </w:rPr>
        <w:t>Pred sklenitvijo sporazuma o financiranju z upravljavcem holdinškega sklada so bili pripravljeni Ključni elementi finančnih instrumentov v obdobju 2021–2027,</w:t>
      </w:r>
      <w:r>
        <w:rPr>
          <w:szCs w:val="20"/>
        </w:rPr>
        <w:t xml:space="preserve"> prav tako je bila pripravljena </w:t>
      </w:r>
      <w:r w:rsidRPr="00AE1BB5">
        <w:rPr>
          <w:szCs w:val="20"/>
        </w:rPr>
        <w:t>nova različica Ključnih elementov finančnih instrumentov</w:t>
      </w:r>
      <w:r w:rsidR="009E7DDA">
        <w:rPr>
          <w:szCs w:val="20"/>
        </w:rPr>
        <w:t>,</w:t>
      </w:r>
      <w:r w:rsidRPr="00AE1BB5">
        <w:rPr>
          <w:szCs w:val="20"/>
        </w:rPr>
        <w:t xml:space="preserve"> h katerim je Vlada Republike Slovenije dala soglasje dne 12. </w:t>
      </w:r>
      <w:r>
        <w:rPr>
          <w:szCs w:val="20"/>
        </w:rPr>
        <w:t>septembra</w:t>
      </w:r>
      <w:r w:rsidRPr="00AE1BB5">
        <w:rPr>
          <w:szCs w:val="20"/>
        </w:rPr>
        <w:t xml:space="preserve"> 2024 in 21. </w:t>
      </w:r>
      <w:r>
        <w:rPr>
          <w:szCs w:val="20"/>
        </w:rPr>
        <w:t>novembra</w:t>
      </w:r>
      <w:r w:rsidRPr="00AE1BB5">
        <w:rPr>
          <w:szCs w:val="20"/>
        </w:rPr>
        <w:t xml:space="preserve"> 2024</w:t>
      </w:r>
      <w:r>
        <w:rPr>
          <w:szCs w:val="20"/>
        </w:rPr>
        <w:t>.</w:t>
      </w:r>
    </w:p>
    <w:p w14:paraId="5CACBF7D" w14:textId="77777777" w:rsidR="008C2851" w:rsidRPr="009C32CE" w:rsidRDefault="008C2851" w:rsidP="009E7DDA">
      <w:pPr>
        <w:pStyle w:val="Vir"/>
      </w:pPr>
      <w:r>
        <w:t>Vir: Ministrstvo za gospodarstvo, turizem in šport</w:t>
      </w:r>
    </w:p>
    <w:p w14:paraId="2EE1CFA8" w14:textId="77777777" w:rsidR="00BB562F" w:rsidRPr="009C56B7" w:rsidRDefault="00BB562F" w:rsidP="009E7DDA">
      <w:pPr>
        <w:pStyle w:val="Naslov2"/>
        <w:rPr>
          <w:color w:val="000000"/>
        </w:rPr>
      </w:pPr>
      <w:r w:rsidRPr="009C56B7">
        <w:rPr>
          <w:color w:val="000000"/>
        </w:rPr>
        <w:t xml:space="preserve">Vlada sprejela Načrt </w:t>
      </w:r>
      <w:r w:rsidRPr="009C56B7">
        <w:rPr>
          <w:lang w:eastAsia="sl-SI"/>
        </w:rPr>
        <w:t>izvajanja finančnih instrumentov v kmetijstvu za obdobje 2023–2027</w:t>
      </w:r>
    </w:p>
    <w:p w14:paraId="11FEE2BF" w14:textId="57A452F7" w:rsidR="00BB562F" w:rsidRPr="00D90A00" w:rsidRDefault="00BB562F" w:rsidP="009E7DDA">
      <w:pPr>
        <w:rPr>
          <w:lang w:eastAsia="sl-SI"/>
        </w:rPr>
      </w:pPr>
      <w:r w:rsidRPr="00D90A00">
        <w:rPr>
          <w:lang w:eastAsia="sl-SI"/>
        </w:rPr>
        <w:t>Vlada je sprejela Načrt izvajanja finančnih instrumentov v kmetijstvu za obdobje 2023–2027, ki ga je pripravilo Ministrstvo za kmetijstvo, gozdarstvo in prehrano</w:t>
      </w:r>
      <w:r>
        <w:rPr>
          <w:lang w:eastAsia="sl-SI"/>
        </w:rPr>
        <w:t xml:space="preserve"> (MKGP)</w:t>
      </w:r>
      <w:r w:rsidRPr="00D90A00">
        <w:rPr>
          <w:lang w:eastAsia="sl-SI"/>
        </w:rPr>
        <w:t xml:space="preserve">, in ga </w:t>
      </w:r>
      <w:r>
        <w:rPr>
          <w:lang w:eastAsia="sl-SI"/>
        </w:rPr>
        <w:t xml:space="preserve">bo </w:t>
      </w:r>
      <w:r w:rsidRPr="00D90A00">
        <w:rPr>
          <w:lang w:eastAsia="sl-SI"/>
        </w:rPr>
        <w:t>kot sestavni del obrazložitve predloga proračuna države predloži</w:t>
      </w:r>
      <w:r>
        <w:rPr>
          <w:lang w:eastAsia="sl-SI"/>
        </w:rPr>
        <w:t>la</w:t>
      </w:r>
      <w:r w:rsidRPr="00D90A00">
        <w:rPr>
          <w:lang w:eastAsia="sl-SI"/>
        </w:rPr>
        <w:t xml:space="preserve"> Državnemu zboru Republike Slovenije.</w:t>
      </w:r>
    </w:p>
    <w:p w14:paraId="55FCB831" w14:textId="77777777" w:rsidR="009E7DDA" w:rsidRDefault="009E7DDA" w:rsidP="009E7DDA">
      <w:pPr>
        <w:rPr>
          <w:lang w:eastAsia="sl-SI"/>
        </w:rPr>
      </w:pPr>
    </w:p>
    <w:p w14:paraId="7A4D7BD8" w14:textId="338507BA" w:rsidR="00BB562F" w:rsidRPr="00A5742A" w:rsidRDefault="00BB562F" w:rsidP="009E7DDA">
      <w:pPr>
        <w:rPr>
          <w:lang w:eastAsia="sl-SI"/>
        </w:rPr>
      </w:pPr>
      <w:r w:rsidRPr="00A5742A">
        <w:rPr>
          <w:lang w:eastAsia="sl-SI"/>
        </w:rPr>
        <w:lastRenderedPageBreak/>
        <w:t xml:space="preserve">Raziskava EIB v letu 2020 </w:t>
      </w:r>
      <w:r>
        <w:rPr>
          <w:lang w:eastAsia="sl-SI"/>
        </w:rPr>
        <w:t xml:space="preserve">je </w:t>
      </w:r>
      <w:r w:rsidRPr="00A5742A">
        <w:rPr>
          <w:lang w:eastAsia="sl-SI"/>
        </w:rPr>
        <w:t>pokazala, da je za kmete dostop do virov financiranja med 24 analiziranimi državami članicami EU najtežji prav v Sloveniji. Finančne institucije kmetom brez poslovne ali kreditne zgodovine ali če nimajo stabilnega poslovnega odnosa z banko pogosto</w:t>
      </w:r>
      <w:r w:rsidR="00A2419E">
        <w:rPr>
          <w:lang w:eastAsia="sl-SI"/>
        </w:rPr>
        <w:t xml:space="preserve"> </w:t>
      </w:r>
      <w:r w:rsidRPr="00A5742A">
        <w:rPr>
          <w:lang w:eastAsia="sl-SI"/>
        </w:rPr>
        <w:t>ponujajo standardne gospodinjske finančne produkte, kot so potrošniška in hipotekarna posojila. Poleg tega EIB kot težave zaznava pomanjkanje sposobnosti zavarovanja posojila s premoženjem, neustreznost poslovnih načrtov ter nizko sposobnost odplačevanja, ki dodatno otežujejo dostop do financiranja, zlasti za majhne kmetije. Raziskava poudarja še pomanjkanje interesa bank po financiranju kmetijskega sektorja, visoke stroške odobritve posojil</w:t>
      </w:r>
      <w:r>
        <w:rPr>
          <w:lang w:eastAsia="sl-SI"/>
        </w:rPr>
        <w:t xml:space="preserve"> in</w:t>
      </w:r>
      <w:r w:rsidRPr="00A5742A">
        <w:rPr>
          <w:lang w:eastAsia="sl-SI"/>
        </w:rPr>
        <w:t xml:space="preserve"> obremenjujoče upravne postopke, k</w:t>
      </w:r>
      <w:r>
        <w:rPr>
          <w:lang w:eastAsia="sl-SI"/>
        </w:rPr>
        <w:t xml:space="preserve">ar </w:t>
      </w:r>
      <w:r w:rsidRPr="00A5742A">
        <w:rPr>
          <w:lang w:eastAsia="sl-SI"/>
        </w:rPr>
        <w:t>lahko povzroči, da kmetje ne najemajo posojil. K temu lahko prispeva pomanjkanje finančne pismenosti, zaradi česar kmetje niso pripravljeni razpravljati o svojem finančnem položaju ali ne morejo pripraviti zahtevane dokumentacije.</w:t>
      </w:r>
    </w:p>
    <w:p w14:paraId="509B2386" w14:textId="77777777" w:rsidR="009E7DDA" w:rsidRDefault="009E7DDA" w:rsidP="009E7DDA">
      <w:pPr>
        <w:rPr>
          <w:lang w:eastAsia="sl-SI"/>
        </w:rPr>
      </w:pPr>
    </w:p>
    <w:p w14:paraId="09951218" w14:textId="0196DFA0" w:rsidR="00BB562F" w:rsidRDefault="00BB562F" w:rsidP="009E7DDA">
      <w:pPr>
        <w:rPr>
          <w:lang w:eastAsia="sl-SI"/>
        </w:rPr>
      </w:pPr>
      <w:r>
        <w:rPr>
          <w:lang w:eastAsia="sl-SI"/>
        </w:rPr>
        <w:t xml:space="preserve">Upravljavec finančnih instrumentov je </w:t>
      </w:r>
      <w:r w:rsidR="00A2419E">
        <w:rPr>
          <w:lang w:eastAsia="sl-SI"/>
        </w:rPr>
        <w:t>s</w:t>
      </w:r>
      <w:r>
        <w:rPr>
          <w:lang w:eastAsia="sl-SI"/>
        </w:rPr>
        <w:t xml:space="preserve">lovenski regionalni razvojni sklad (SRRS), s katerim je MKGP </w:t>
      </w:r>
      <w:r w:rsidRPr="00290575">
        <w:rPr>
          <w:lang w:eastAsia="sl-SI"/>
        </w:rPr>
        <w:t xml:space="preserve">27. avgusta 2023 </w:t>
      </w:r>
      <w:r w:rsidRPr="00A5742A">
        <w:rPr>
          <w:lang w:eastAsia="sl-SI"/>
        </w:rPr>
        <w:t xml:space="preserve">sklenilo pogodbo in sporazum o financiranju. SRRS izvaja finančne instrumente s sredstvi, ki mu jih nakaže MKGP, v svojem imenu in za svoj račun.  </w:t>
      </w:r>
    </w:p>
    <w:p w14:paraId="6E229FC2" w14:textId="77777777" w:rsidR="00A2419E" w:rsidRDefault="00A2419E" w:rsidP="009E7DDA">
      <w:pPr>
        <w:rPr>
          <w:lang w:eastAsia="sl-SI"/>
        </w:rPr>
      </w:pPr>
    </w:p>
    <w:p w14:paraId="36E3E9AD" w14:textId="140DBD44" w:rsidR="00BB562F" w:rsidRPr="00A5742A" w:rsidRDefault="00BB562F" w:rsidP="009E7DDA">
      <w:pPr>
        <w:rPr>
          <w:lang w:eastAsia="sl-SI"/>
        </w:rPr>
      </w:pPr>
      <w:r w:rsidRPr="00290575">
        <w:rPr>
          <w:lang w:eastAsia="sl-SI"/>
        </w:rPr>
        <w:t>F</w:t>
      </w:r>
      <w:r>
        <w:rPr>
          <w:lang w:eastAsia="sl-SI"/>
        </w:rPr>
        <w:t>inančni instrumenti</w:t>
      </w:r>
      <w:r w:rsidRPr="00290575">
        <w:rPr>
          <w:lang w:eastAsia="sl-SI"/>
        </w:rPr>
        <w:t xml:space="preserve"> se izvajajo skladno z zagotovljenimi sredstvi v okviru finančnega načrta M</w:t>
      </w:r>
      <w:r>
        <w:rPr>
          <w:lang w:eastAsia="sl-SI"/>
        </w:rPr>
        <w:t xml:space="preserve">KGP </w:t>
      </w:r>
      <w:r w:rsidRPr="00290575">
        <w:rPr>
          <w:lang w:eastAsia="sl-SI"/>
        </w:rPr>
        <w:t>oziroma skladno z razrezom odhodkov, ki ga Vlada Republike Slovenije določi ob vsakokratni pripravi proračuna.</w:t>
      </w:r>
      <w:r w:rsidRPr="00A5742A">
        <w:rPr>
          <w:lang w:eastAsia="sl-SI"/>
        </w:rPr>
        <w:t xml:space="preserve"> Skupni znesek za izvajanje ukrepa finančnih instrumentov v kmetijstvu za obdobje 2023–2027 je 20 milijonov evrov.</w:t>
      </w:r>
    </w:p>
    <w:p w14:paraId="4B60D659" w14:textId="77777777" w:rsidR="009E7DDA" w:rsidRDefault="009E7DDA" w:rsidP="009E7DDA">
      <w:pPr>
        <w:rPr>
          <w:lang w:eastAsia="sl-SI"/>
        </w:rPr>
      </w:pPr>
    </w:p>
    <w:p w14:paraId="60886C36" w14:textId="4157DAD0" w:rsidR="00BB562F" w:rsidRPr="00145AD0" w:rsidRDefault="00BB562F" w:rsidP="009E7DDA">
      <w:pPr>
        <w:rPr>
          <w:lang w:eastAsia="sl-SI"/>
        </w:rPr>
      </w:pPr>
      <w:r w:rsidRPr="00A5742A">
        <w:rPr>
          <w:lang w:eastAsia="sl-SI"/>
        </w:rPr>
        <w:t xml:space="preserve">Dinamika izplačil SRRS predvideva štiri tranše izplačil/nakazil proračunskih sredstev v obdobju 2023–2026, in sicer je bilo SRRS v letu 2023 nakazanih </w:t>
      </w:r>
      <w:r>
        <w:rPr>
          <w:lang w:eastAsia="sl-SI"/>
        </w:rPr>
        <w:t>tri</w:t>
      </w:r>
      <w:r w:rsidRPr="00A5742A">
        <w:rPr>
          <w:lang w:eastAsia="sl-SI"/>
        </w:rPr>
        <w:t xml:space="preserve"> milijone evrov</w:t>
      </w:r>
      <w:r>
        <w:rPr>
          <w:lang w:eastAsia="sl-SI"/>
        </w:rPr>
        <w:t xml:space="preserve">, </w:t>
      </w:r>
      <w:r w:rsidRPr="00A5742A">
        <w:rPr>
          <w:lang w:eastAsia="sl-SI"/>
        </w:rPr>
        <w:t xml:space="preserve">v letu 2024 </w:t>
      </w:r>
      <w:r>
        <w:rPr>
          <w:lang w:eastAsia="sl-SI"/>
        </w:rPr>
        <w:t xml:space="preserve">in 2025 po </w:t>
      </w:r>
      <w:r w:rsidRPr="00A5742A">
        <w:rPr>
          <w:lang w:eastAsia="sl-SI"/>
        </w:rPr>
        <w:t>pet milijonov evrov, v letu 2026</w:t>
      </w:r>
      <w:r>
        <w:rPr>
          <w:lang w:eastAsia="sl-SI"/>
        </w:rPr>
        <w:t xml:space="preserve"> pa je predvideno nakazilo</w:t>
      </w:r>
      <w:r w:rsidRPr="00A5742A">
        <w:rPr>
          <w:lang w:eastAsia="sl-SI"/>
        </w:rPr>
        <w:t xml:space="preserve"> v višini sedem milijonov evrov. </w:t>
      </w:r>
      <w:r w:rsidRPr="00433760">
        <w:rPr>
          <w:rFonts w:eastAsia="Calibri"/>
        </w:rPr>
        <w:t xml:space="preserve">Oba finančna produkta (mikroposojila ter portfeljske garancije s subvencijo obrestne mere in kapitalskim znižanjem za razvojna posojila) se tržita. </w:t>
      </w:r>
      <w:r w:rsidRPr="00145AD0">
        <w:rPr>
          <w:lang w:eastAsia="sl-SI"/>
        </w:rPr>
        <w:t>Do 30.</w:t>
      </w:r>
      <w:r>
        <w:rPr>
          <w:lang w:eastAsia="sl-SI"/>
        </w:rPr>
        <w:t xml:space="preserve"> maja </w:t>
      </w:r>
      <w:r w:rsidRPr="00145AD0">
        <w:rPr>
          <w:lang w:eastAsia="sl-SI"/>
        </w:rPr>
        <w:t>2025 je SRRS odobril 2.380.243 evrov mikroposojil za 106 projektov majhnih kmetij in mladih kmetov (42</w:t>
      </w:r>
      <w:r>
        <w:rPr>
          <w:lang w:eastAsia="sl-SI"/>
        </w:rPr>
        <w:t xml:space="preserve"> odstotkov</w:t>
      </w:r>
      <w:r w:rsidRPr="00145AD0">
        <w:rPr>
          <w:lang w:eastAsia="sl-SI"/>
        </w:rPr>
        <w:t xml:space="preserve"> razpisanih sredstev iz prve, druge in tretje tranše) ter 17.772.393 evrov razvojnih posojil s portfeljsko garancijo v višini </w:t>
      </w:r>
      <w:proofErr w:type="spellStart"/>
      <w:r w:rsidRPr="00145AD0">
        <w:rPr>
          <w:lang w:eastAsia="sl-SI"/>
        </w:rPr>
        <w:t>2.297.257evrov</w:t>
      </w:r>
      <w:proofErr w:type="spellEnd"/>
      <w:r w:rsidRPr="00145AD0">
        <w:rPr>
          <w:lang w:eastAsia="sl-SI"/>
        </w:rPr>
        <w:t>, subvencijo obrestne mere v višini 575.686 evrov in kapitalskim znižanjem v višini 51.332 evrov za 79 projektov mladih kmetov, kar pomeni 90</w:t>
      </w:r>
      <w:r>
        <w:rPr>
          <w:lang w:eastAsia="sl-SI"/>
        </w:rPr>
        <w:t xml:space="preserve">-odstotno </w:t>
      </w:r>
      <w:r w:rsidRPr="00145AD0">
        <w:rPr>
          <w:lang w:eastAsia="sl-SI"/>
        </w:rPr>
        <w:t>porabo razpisanih sredstev za portfeljsko garancijo in 54</w:t>
      </w:r>
      <w:r>
        <w:rPr>
          <w:lang w:eastAsia="sl-SI"/>
        </w:rPr>
        <w:t>-odstotno</w:t>
      </w:r>
      <w:r w:rsidRPr="00145AD0">
        <w:rPr>
          <w:lang w:eastAsia="sl-SI"/>
        </w:rPr>
        <w:t xml:space="preserve"> porabo razpisanih sredstev za subvencijo obrestne mere in kapitalsko znižanje iz prve, druge in tretje tranše.</w:t>
      </w:r>
    </w:p>
    <w:p w14:paraId="6CAC2FB4" w14:textId="77777777" w:rsidR="00BB562F" w:rsidRPr="00145AD0" w:rsidRDefault="00BB562F" w:rsidP="009E7DDA">
      <w:pPr>
        <w:rPr>
          <w:rFonts w:eastAsia="Calibri"/>
        </w:rPr>
      </w:pPr>
    </w:p>
    <w:p w14:paraId="24AEEF4C" w14:textId="5D0BE8C6" w:rsidR="00BB562F" w:rsidRDefault="00BB562F" w:rsidP="009E7DDA">
      <w:pPr>
        <w:rPr>
          <w:rFonts w:eastAsia="Calibri"/>
        </w:rPr>
      </w:pPr>
      <w:r w:rsidRPr="007F73D3">
        <w:rPr>
          <w:rFonts w:eastAsia="Calibri"/>
        </w:rPr>
        <w:t xml:space="preserve">Pogodba omogoča likvidnostno prenašanje sredstev med posameznimi </w:t>
      </w:r>
      <w:r>
        <w:rPr>
          <w:rFonts w:eastAsia="Calibri"/>
        </w:rPr>
        <w:t>finančnimi instrumenti</w:t>
      </w:r>
      <w:r w:rsidRPr="007F73D3">
        <w:rPr>
          <w:rFonts w:eastAsia="Calibri"/>
        </w:rPr>
        <w:t xml:space="preserve"> v primeru sprememb povpraševanja</w:t>
      </w:r>
      <w:r>
        <w:rPr>
          <w:rFonts w:eastAsia="Calibri"/>
        </w:rPr>
        <w:t xml:space="preserve"> njih</w:t>
      </w:r>
      <w:r w:rsidRPr="007F73D3">
        <w:rPr>
          <w:rFonts w:eastAsia="Calibri"/>
        </w:rPr>
        <w:t xml:space="preserve">. Predlagana </w:t>
      </w:r>
      <w:r>
        <w:rPr>
          <w:rFonts w:eastAsia="Calibri"/>
        </w:rPr>
        <w:t xml:space="preserve">prva </w:t>
      </w:r>
      <w:r w:rsidRPr="007F73D3">
        <w:rPr>
          <w:rFonts w:eastAsia="Calibri"/>
        </w:rPr>
        <w:t xml:space="preserve">sprememba </w:t>
      </w:r>
      <w:r>
        <w:rPr>
          <w:rFonts w:eastAsia="Calibri"/>
        </w:rPr>
        <w:t>Ključnih elementov finančnih instrumentov</w:t>
      </w:r>
      <w:r w:rsidRPr="007F73D3">
        <w:rPr>
          <w:rFonts w:eastAsia="Calibri"/>
        </w:rPr>
        <w:t xml:space="preserve"> vključuje</w:t>
      </w:r>
      <w:r>
        <w:rPr>
          <w:rFonts w:eastAsia="Calibri"/>
        </w:rPr>
        <w:t xml:space="preserve"> </w:t>
      </w:r>
      <w:r w:rsidRPr="007F73D3">
        <w:t xml:space="preserve">prerazporeditev 1.925.000 evrov iz mikroposojil na razvojna posojila s portfeljsko garancijo, subvencijo obrestne mere in kapitalskim znižanjem </w:t>
      </w:r>
      <w:r>
        <w:t xml:space="preserve">ter uporabo preostanka sredstev na </w:t>
      </w:r>
      <w:r w:rsidRPr="00B772F9">
        <w:t>razvojna posojila s portfeljsko garancijo, subvencijo obrestne mere in kapitalskim znižanjem</w:t>
      </w:r>
      <w:r w:rsidRPr="00242CB9">
        <w:t xml:space="preserve"> </w:t>
      </w:r>
      <w:r>
        <w:t xml:space="preserve">za financiranje subvencije obrestne mere in kapitalskega znižanja. </w:t>
      </w:r>
      <w:r w:rsidRPr="006E1532">
        <w:rPr>
          <w:rFonts w:eastAsia="Calibri"/>
        </w:rPr>
        <w:t>S tem bo zagotovljeno izvajanje obeh</w:t>
      </w:r>
      <w:r>
        <w:rPr>
          <w:rFonts w:eastAsia="Calibri"/>
        </w:rPr>
        <w:t xml:space="preserve"> finančnih instrumentov</w:t>
      </w:r>
      <w:r w:rsidRPr="006E1532">
        <w:rPr>
          <w:rFonts w:eastAsia="Calibri"/>
        </w:rPr>
        <w:t xml:space="preserve"> brez prekinitev do prejema zadnje tranše v letu 2026. Na dinamiko izplačil sredstev iz proračuna navedeno ne vpliva.</w:t>
      </w:r>
    </w:p>
    <w:p w14:paraId="3E0F414B" w14:textId="10010106" w:rsidR="009E7DDA" w:rsidRPr="00B45C5D" w:rsidRDefault="009E7DDA" w:rsidP="009E7DDA">
      <w:pPr>
        <w:pStyle w:val="Vir"/>
        <w:rPr>
          <w:rFonts w:eastAsia="Calibri"/>
        </w:rPr>
      </w:pPr>
      <w:r>
        <w:rPr>
          <w:rFonts w:eastAsia="Calibri"/>
        </w:rPr>
        <w:t>Vir: Ministrstvo za kmetijstvo, gozdarstvo in prehrano</w:t>
      </w:r>
    </w:p>
    <w:p w14:paraId="676623E3" w14:textId="77777777" w:rsidR="00BB562F" w:rsidRPr="00F47FB7" w:rsidRDefault="00BB562F" w:rsidP="009E7DDA">
      <w:pPr>
        <w:pStyle w:val="Naslov2"/>
      </w:pPr>
      <w:r w:rsidRPr="00F47FB7">
        <w:t xml:space="preserve">Vlada </w:t>
      </w:r>
      <w:r>
        <w:t>dala soglasje k prvi spremembi Ključnih elementov finančnih instrumentov v kmetijstvu</w:t>
      </w:r>
    </w:p>
    <w:p w14:paraId="418B35A4" w14:textId="77777777" w:rsidR="00BB562F" w:rsidRPr="00145AD0" w:rsidRDefault="00BB562F" w:rsidP="009E7DDA">
      <w:pPr>
        <w:rPr>
          <w:lang w:eastAsia="sl-SI"/>
        </w:rPr>
      </w:pPr>
      <w:r w:rsidRPr="00145AD0">
        <w:rPr>
          <w:lang w:eastAsia="sl-SI"/>
        </w:rPr>
        <w:t xml:space="preserve">Vlada je dala soglasje </w:t>
      </w:r>
      <w:r>
        <w:rPr>
          <w:lang w:eastAsia="sl-SI"/>
        </w:rPr>
        <w:t>k prvi spremembi</w:t>
      </w:r>
      <w:r w:rsidRPr="00145AD0">
        <w:rPr>
          <w:lang w:eastAsia="sl-SI"/>
        </w:rPr>
        <w:t xml:space="preserve"> Ključni</w:t>
      </w:r>
      <w:r>
        <w:rPr>
          <w:lang w:eastAsia="sl-SI"/>
        </w:rPr>
        <w:t>h</w:t>
      </w:r>
      <w:r w:rsidRPr="00145AD0">
        <w:rPr>
          <w:lang w:eastAsia="sl-SI"/>
        </w:rPr>
        <w:t xml:space="preserve"> elemento</w:t>
      </w:r>
      <w:r>
        <w:rPr>
          <w:lang w:eastAsia="sl-SI"/>
        </w:rPr>
        <w:t>v</w:t>
      </w:r>
      <w:r w:rsidRPr="00145AD0">
        <w:rPr>
          <w:lang w:eastAsia="sl-SI"/>
        </w:rPr>
        <w:t xml:space="preserve"> finančnih instrumentov v kmetijstvu za obdobje 2023–2027. </w:t>
      </w:r>
      <w:r>
        <w:rPr>
          <w:lang w:eastAsia="sl-SI"/>
        </w:rPr>
        <w:t xml:space="preserve">Instrumenti, kot so </w:t>
      </w:r>
      <w:r w:rsidRPr="00433760">
        <w:rPr>
          <w:rFonts w:eastAsia="Calibri"/>
        </w:rPr>
        <w:t>mikroposojila ter portfeljske garancije s subvencijo obrestne mere in kapitalskim znižanjem za razvojna posojila</w:t>
      </w:r>
      <w:r>
        <w:rPr>
          <w:lang w:eastAsia="sl-SI"/>
        </w:rPr>
        <w:t xml:space="preserve">, </w:t>
      </w:r>
      <w:r w:rsidRPr="00145AD0">
        <w:rPr>
          <w:lang w:eastAsia="sl-SI"/>
        </w:rPr>
        <w:t xml:space="preserve">so na voljo mladim kmetom in majhnim kmetijam za finančno in tehnično izvedljive projekte, ki zaradi tržnih nepopolnosti ne morejo zbrati zadostnih virov financiranja na trgu. </w:t>
      </w:r>
    </w:p>
    <w:p w14:paraId="1495A38E" w14:textId="77777777" w:rsidR="00BB562F" w:rsidRPr="00145AD0" w:rsidRDefault="00BB562F" w:rsidP="009E7DDA">
      <w:pPr>
        <w:rPr>
          <w:rFonts w:eastAsia="Calibri"/>
          <w:bCs/>
        </w:rPr>
      </w:pPr>
    </w:p>
    <w:p w14:paraId="4BB0434B" w14:textId="396D882F" w:rsidR="00BB562F" w:rsidRPr="00145AD0" w:rsidRDefault="00BB562F" w:rsidP="009E7DDA">
      <w:pPr>
        <w:rPr>
          <w:lang w:eastAsia="sl-SI"/>
        </w:rPr>
      </w:pPr>
      <w:r w:rsidRPr="00145AD0">
        <w:rPr>
          <w:lang w:eastAsia="sl-SI"/>
        </w:rPr>
        <w:lastRenderedPageBreak/>
        <w:t>M</w:t>
      </w:r>
      <w:r>
        <w:rPr>
          <w:lang w:eastAsia="sl-SI"/>
        </w:rPr>
        <w:t xml:space="preserve">inistrstvo za kmetijstvo, gozdarstvo in prehrano (MKGP) je </w:t>
      </w:r>
      <w:r w:rsidRPr="00145AD0">
        <w:rPr>
          <w:lang w:eastAsia="sl-SI"/>
        </w:rPr>
        <w:t xml:space="preserve">27. avgusta 2023 </w:t>
      </w:r>
      <w:r>
        <w:rPr>
          <w:lang w:eastAsia="sl-SI"/>
        </w:rPr>
        <w:t>s</w:t>
      </w:r>
      <w:r w:rsidRPr="00145AD0">
        <w:rPr>
          <w:lang w:eastAsia="sl-SI"/>
        </w:rPr>
        <w:t xml:space="preserve"> Slovenskim regionalno razvojnim skladom </w:t>
      </w:r>
      <w:r>
        <w:rPr>
          <w:lang w:eastAsia="sl-SI"/>
        </w:rPr>
        <w:t xml:space="preserve">instrumentov </w:t>
      </w:r>
      <w:r w:rsidRPr="00145AD0">
        <w:rPr>
          <w:lang w:eastAsia="sl-SI"/>
        </w:rPr>
        <w:t>(SRRS)</w:t>
      </w:r>
      <w:r>
        <w:rPr>
          <w:lang w:eastAsia="sl-SI"/>
        </w:rPr>
        <w:t xml:space="preserve"> kot upravljavcem finančnih </w:t>
      </w:r>
      <w:r w:rsidRPr="00145AD0">
        <w:rPr>
          <w:lang w:eastAsia="sl-SI"/>
        </w:rPr>
        <w:t>sklenilo pogodbo in sporazum o financiranju. SRRS izvaja finančne instrumente s sredstvi, ki mu jih nakaže MKGP, v svojem imenu in za svoj račun. Do 30.</w:t>
      </w:r>
      <w:r>
        <w:rPr>
          <w:lang w:eastAsia="sl-SI"/>
        </w:rPr>
        <w:t xml:space="preserve"> maja </w:t>
      </w:r>
      <w:r w:rsidRPr="00145AD0">
        <w:rPr>
          <w:lang w:eastAsia="sl-SI"/>
        </w:rPr>
        <w:t>2025 je SRRS odobril 2.380.243 evrov mikroposojil za 106 projektov majhnih kmetij in mladih kmetov (42</w:t>
      </w:r>
      <w:r>
        <w:rPr>
          <w:lang w:eastAsia="sl-SI"/>
        </w:rPr>
        <w:t xml:space="preserve"> odstotkov</w:t>
      </w:r>
      <w:r w:rsidRPr="00145AD0">
        <w:rPr>
          <w:lang w:eastAsia="sl-SI"/>
        </w:rPr>
        <w:t xml:space="preserve"> razpisanih sredstev iz prve, druge in tretje tranše) ter 17.772.393 evrov razvojnih posojil s portfeljsko garancijo v višini 2.297.257</w:t>
      </w:r>
      <w:r w:rsidR="00A2419E">
        <w:rPr>
          <w:lang w:eastAsia="sl-SI"/>
        </w:rPr>
        <w:t xml:space="preserve"> </w:t>
      </w:r>
      <w:r w:rsidRPr="00145AD0">
        <w:rPr>
          <w:lang w:eastAsia="sl-SI"/>
        </w:rPr>
        <w:t>evrov, subvencijo obrestne mere v višini 575.686 evrov in kapitalskim znižanjem v višini 51.332 evrov za 79 projektov mladih kmetov, kar pomeni 90</w:t>
      </w:r>
      <w:r>
        <w:rPr>
          <w:lang w:eastAsia="sl-SI"/>
        </w:rPr>
        <w:t xml:space="preserve">-odstotno </w:t>
      </w:r>
      <w:r w:rsidRPr="00145AD0">
        <w:rPr>
          <w:lang w:eastAsia="sl-SI"/>
        </w:rPr>
        <w:t>porabo razpisanih sredstev za portfeljsko garancijo in 54</w:t>
      </w:r>
      <w:r>
        <w:rPr>
          <w:lang w:eastAsia="sl-SI"/>
        </w:rPr>
        <w:t>-odstotno</w:t>
      </w:r>
      <w:r w:rsidRPr="00145AD0">
        <w:rPr>
          <w:lang w:eastAsia="sl-SI"/>
        </w:rPr>
        <w:t xml:space="preserve"> porabo razpisanih sredstev za subvencijo obrestne mere in kapitalsko znižanje iz prve, druge in tretje tranše.</w:t>
      </w:r>
    </w:p>
    <w:p w14:paraId="441283BD" w14:textId="77777777" w:rsidR="00BB562F" w:rsidRPr="00145AD0" w:rsidRDefault="00BB562F" w:rsidP="009E7DDA">
      <w:pPr>
        <w:rPr>
          <w:rFonts w:eastAsia="Calibri"/>
        </w:rPr>
      </w:pPr>
    </w:p>
    <w:p w14:paraId="1554CE4B" w14:textId="3A0E3AC8" w:rsidR="00BB562F" w:rsidRPr="00812566" w:rsidRDefault="00BB562F" w:rsidP="009E7DDA">
      <w:r>
        <w:rPr>
          <w:bCs/>
          <w:iCs/>
          <w:color w:val="000000"/>
        </w:rPr>
        <w:t xml:space="preserve">Predlagana prva sprememba Ključnih elementov finančnih instrumentov </w:t>
      </w:r>
      <w:r w:rsidRPr="00145AD0">
        <w:rPr>
          <w:rFonts w:eastAsia="Calibri"/>
        </w:rPr>
        <w:t>vključuje</w:t>
      </w:r>
      <w:r>
        <w:rPr>
          <w:rFonts w:eastAsia="Calibri"/>
        </w:rPr>
        <w:t xml:space="preserve"> </w:t>
      </w:r>
      <w:r w:rsidRPr="00702D9F">
        <w:t xml:space="preserve">prerazporeditev 1.925.000 evrov iz mikroposojil na </w:t>
      </w:r>
      <w:r>
        <w:t>r</w:t>
      </w:r>
      <w:r w:rsidRPr="00702D9F">
        <w:t xml:space="preserve">azvojna posojila s portfeljsko garancijo, subvencijo obrestne mere in kapitalskim znižanjem </w:t>
      </w:r>
      <w:r>
        <w:t>ter</w:t>
      </w:r>
      <w:r w:rsidRPr="00702D9F">
        <w:t xml:space="preserve"> </w:t>
      </w:r>
      <w:r w:rsidRPr="00145AD0">
        <w:t>uporabo preostanka sredstev na razvojn</w:t>
      </w:r>
      <w:r>
        <w:t>ih</w:t>
      </w:r>
      <w:r w:rsidRPr="00145AD0">
        <w:t xml:space="preserve"> posojil</w:t>
      </w:r>
      <w:r>
        <w:t>ih</w:t>
      </w:r>
      <w:r w:rsidRPr="00145AD0">
        <w:t xml:space="preserve"> s portfeljsko garancijo, subvencijo obrestne mere in kapitalskim znižanjem za financiranje  subvencije obrestne mere in kapitalskega znižanja.</w:t>
      </w:r>
      <w:r>
        <w:t xml:space="preserve"> </w:t>
      </w:r>
      <w:r w:rsidRPr="00145AD0">
        <w:rPr>
          <w:rFonts w:eastAsia="Calibri"/>
        </w:rPr>
        <w:t xml:space="preserve">S tem bo zagotovljeno izvajanje obeh </w:t>
      </w:r>
      <w:r>
        <w:rPr>
          <w:rFonts w:eastAsia="Calibri"/>
        </w:rPr>
        <w:t>finančnih instrumentov</w:t>
      </w:r>
      <w:r w:rsidRPr="00145AD0">
        <w:rPr>
          <w:rFonts w:eastAsia="Calibri"/>
        </w:rPr>
        <w:t xml:space="preserve"> brez prekinitev do prejema zadnje tranše v letu 2026. Na dinamiko izplačil sredstev iz proračuna navedeno ne vpliva.</w:t>
      </w:r>
    </w:p>
    <w:p w14:paraId="717AC48C" w14:textId="77777777" w:rsidR="00BB562F" w:rsidRPr="00145AD0" w:rsidRDefault="00BB562F" w:rsidP="009E7DDA">
      <w:pPr>
        <w:rPr>
          <w:lang w:eastAsia="sl-SI"/>
        </w:rPr>
      </w:pPr>
      <w:r w:rsidRPr="00145AD0">
        <w:rPr>
          <w:lang w:eastAsia="sl-SI"/>
        </w:rPr>
        <w:t xml:space="preserve">Skupaj bo MKGP v obdobju 2023–2027 za izvajanje </w:t>
      </w:r>
      <w:r>
        <w:rPr>
          <w:lang w:eastAsia="sl-SI"/>
        </w:rPr>
        <w:t>finančnih instrumentov</w:t>
      </w:r>
      <w:r w:rsidRPr="00145AD0">
        <w:rPr>
          <w:lang w:eastAsia="sl-SI"/>
        </w:rPr>
        <w:t xml:space="preserve"> namenil 20 milijonov evrov</w:t>
      </w:r>
      <w:r>
        <w:rPr>
          <w:lang w:eastAsia="sl-SI"/>
        </w:rPr>
        <w:t>, in sicer tri</w:t>
      </w:r>
      <w:r w:rsidRPr="00145AD0">
        <w:rPr>
          <w:lang w:eastAsia="sl-SI"/>
        </w:rPr>
        <w:t xml:space="preserve"> milijone evrov v letu 2023, po </w:t>
      </w:r>
      <w:r>
        <w:rPr>
          <w:lang w:eastAsia="sl-SI"/>
        </w:rPr>
        <w:t>pet</w:t>
      </w:r>
      <w:r w:rsidRPr="00145AD0">
        <w:rPr>
          <w:lang w:eastAsia="sl-SI"/>
        </w:rPr>
        <w:t xml:space="preserve"> milijonov evrov v letih 2024 in 2025 ter </w:t>
      </w:r>
      <w:r>
        <w:rPr>
          <w:lang w:eastAsia="sl-SI"/>
        </w:rPr>
        <w:t>sedem</w:t>
      </w:r>
      <w:r w:rsidRPr="00145AD0">
        <w:rPr>
          <w:lang w:eastAsia="sl-SI"/>
        </w:rPr>
        <w:t xml:space="preserve"> milijonov evrov v letu 2026. Sredstva za izvajanje </w:t>
      </w:r>
      <w:r>
        <w:rPr>
          <w:lang w:eastAsia="sl-SI"/>
        </w:rPr>
        <w:t>finančnih instrumentov</w:t>
      </w:r>
      <w:r w:rsidRPr="00145AD0">
        <w:rPr>
          <w:lang w:eastAsia="sl-SI"/>
        </w:rPr>
        <w:t xml:space="preserve"> so zagotovljena v proračunu Republike Slovenije v okviru finančnega načrta MKGP, hkrati pa bo sredstva za izvajanje </w:t>
      </w:r>
      <w:r>
        <w:rPr>
          <w:lang w:eastAsia="sl-SI"/>
        </w:rPr>
        <w:t>finančnih instrumentov</w:t>
      </w:r>
      <w:r w:rsidRPr="00145AD0">
        <w:rPr>
          <w:lang w:eastAsia="sl-SI"/>
        </w:rPr>
        <w:t xml:space="preserve"> prispeval tudi </w:t>
      </w:r>
      <w:r>
        <w:rPr>
          <w:lang w:eastAsia="sl-SI"/>
        </w:rPr>
        <w:t xml:space="preserve">njihov </w:t>
      </w:r>
      <w:r w:rsidRPr="00145AD0">
        <w:rPr>
          <w:lang w:eastAsia="sl-SI"/>
        </w:rPr>
        <w:t>upravljavec iz svojega namenskega premoženja.</w:t>
      </w:r>
    </w:p>
    <w:p w14:paraId="0DD31CA2" w14:textId="77777777" w:rsidR="00BB562F" w:rsidRPr="00145AD0" w:rsidRDefault="00BB562F" w:rsidP="009E7DDA">
      <w:pPr>
        <w:rPr>
          <w:lang w:eastAsia="sl-SI"/>
        </w:rPr>
      </w:pPr>
    </w:p>
    <w:p w14:paraId="76FE2A5F" w14:textId="77777777" w:rsidR="00BB562F" w:rsidRDefault="00BB562F" w:rsidP="009E7DDA">
      <w:pPr>
        <w:rPr>
          <w:lang w:eastAsia="sl-SI"/>
        </w:rPr>
      </w:pPr>
      <w:r w:rsidRPr="00145AD0">
        <w:rPr>
          <w:lang w:eastAsia="sl-SI"/>
        </w:rPr>
        <w:t xml:space="preserve">Po pridobitvi soglasja </w:t>
      </w:r>
      <w:r>
        <w:rPr>
          <w:lang w:eastAsia="sl-SI"/>
        </w:rPr>
        <w:t>vlade k prvi spremembi</w:t>
      </w:r>
      <w:r w:rsidRPr="00145AD0">
        <w:rPr>
          <w:lang w:eastAsia="sl-SI"/>
        </w:rPr>
        <w:t xml:space="preserve"> Ključni</w:t>
      </w:r>
      <w:r>
        <w:rPr>
          <w:lang w:eastAsia="sl-SI"/>
        </w:rPr>
        <w:t>h</w:t>
      </w:r>
      <w:r w:rsidRPr="00145AD0">
        <w:rPr>
          <w:lang w:eastAsia="sl-SI"/>
        </w:rPr>
        <w:t xml:space="preserve"> elemento</w:t>
      </w:r>
      <w:r>
        <w:rPr>
          <w:lang w:eastAsia="sl-SI"/>
        </w:rPr>
        <w:t>v</w:t>
      </w:r>
      <w:r w:rsidRPr="00145AD0">
        <w:rPr>
          <w:lang w:eastAsia="sl-SI"/>
        </w:rPr>
        <w:t xml:space="preserve"> finančnih instrumentov v kmetijstvu za obdobje 2023–2027 bo MKGP </w:t>
      </w:r>
      <w:r>
        <w:rPr>
          <w:lang w:eastAsia="sl-SI"/>
        </w:rPr>
        <w:t xml:space="preserve">s SRRS </w:t>
      </w:r>
      <w:r w:rsidRPr="00145AD0">
        <w:rPr>
          <w:lang w:eastAsia="sl-SI"/>
        </w:rPr>
        <w:t>sklenil dodatek št. 1</w:t>
      </w:r>
      <w:r>
        <w:rPr>
          <w:lang w:eastAsia="sl-SI"/>
        </w:rPr>
        <w:t>.</w:t>
      </w:r>
      <w:r w:rsidRPr="00145AD0">
        <w:rPr>
          <w:lang w:eastAsia="sl-SI"/>
        </w:rPr>
        <w:t xml:space="preserve"> S spremembo se udeležba SRRS povečuje za 8.020.833 evrov.</w:t>
      </w:r>
    </w:p>
    <w:p w14:paraId="3A7CF8EB" w14:textId="37DC7FBE" w:rsidR="00BB562F" w:rsidRPr="00D55DE7" w:rsidRDefault="009E7DDA" w:rsidP="00D55DE7">
      <w:pPr>
        <w:pStyle w:val="Vir"/>
        <w:rPr>
          <w:rFonts w:eastAsia="Calibri"/>
        </w:rPr>
      </w:pPr>
      <w:r>
        <w:rPr>
          <w:rFonts w:eastAsia="Calibri"/>
        </w:rPr>
        <w:t>Vir: Ministrstvo za kmetijstvo, gozdarstvo in prehrano</w:t>
      </w:r>
    </w:p>
    <w:p w14:paraId="01B7F2DE" w14:textId="74718E0E" w:rsidR="007F65BF" w:rsidRDefault="00C95C9C" w:rsidP="00C95C9C">
      <w:pPr>
        <w:pStyle w:val="Naslov2"/>
      </w:pPr>
      <w:r>
        <w:t>I</w:t>
      </w:r>
      <w:r w:rsidR="007F65BF" w:rsidRPr="00322209">
        <w:t>menovanj</w:t>
      </w:r>
      <w:r>
        <w:t>e</w:t>
      </w:r>
      <w:r w:rsidR="007F65BF" w:rsidRPr="00322209">
        <w:t xml:space="preserve"> revizorja letnih poročil Stanovanjskega sklada Republike Slovenije, javnega sklada, za leta 2025, 2026 in 2027</w:t>
      </w:r>
    </w:p>
    <w:p w14:paraId="20D7898D" w14:textId="28A1C50D" w:rsidR="00C95C9C" w:rsidRDefault="00C95C9C" w:rsidP="007F65BF">
      <w:pPr>
        <w:rPr>
          <w:color w:val="000000" w:themeColor="text1"/>
        </w:rPr>
      </w:pPr>
      <w:r w:rsidRPr="00C95C9C">
        <w:rPr>
          <w:color w:val="000000" w:themeColor="text1"/>
        </w:rPr>
        <w:t>Vlada Republike Slovenije je za revidiranje poslovanja in letnih poročil Stanovanjskega sklada Republike Slovenije za leta 2025, 2026 in 2027 imenovala revizijsko družbo Valuta, družba za revizijo d. o. o.</w:t>
      </w:r>
    </w:p>
    <w:p w14:paraId="16D10C13" w14:textId="15930263" w:rsidR="00C95C9C" w:rsidRPr="00C95C9C" w:rsidRDefault="00C95C9C" w:rsidP="00C95C9C">
      <w:pPr>
        <w:pStyle w:val="Vir"/>
      </w:pPr>
      <w:r w:rsidRPr="00C95C9C">
        <w:t>Vir: Ministrstvo za solidarno prihodnost</w:t>
      </w:r>
    </w:p>
    <w:p w14:paraId="5B8C767B" w14:textId="32BED17D" w:rsidR="007F65BF" w:rsidRPr="00636DE1" w:rsidRDefault="007F65BF" w:rsidP="00636DE1">
      <w:pPr>
        <w:pStyle w:val="Naslov2"/>
        <w:rPr>
          <w:color w:val="000000"/>
          <w:szCs w:val="20"/>
        </w:rPr>
      </w:pPr>
      <w:bookmarkStart w:id="1" w:name="_Hlk109539147"/>
      <w:r w:rsidRPr="003068E4">
        <w:rPr>
          <w:lang w:eastAsia="sl-SI"/>
        </w:rPr>
        <w:t xml:space="preserve">V </w:t>
      </w:r>
      <w:r w:rsidRPr="00714CC1">
        <w:rPr>
          <w:lang w:eastAsia="sl-SI"/>
        </w:rPr>
        <w:t>Načrt razvojnih programov za obdobje 2025</w:t>
      </w:r>
      <w:r w:rsidRPr="003068E4">
        <w:rPr>
          <w:lang w:eastAsia="sl-SI"/>
        </w:rPr>
        <w:t>−</w:t>
      </w:r>
      <w:r w:rsidRPr="00714CC1">
        <w:rPr>
          <w:lang w:eastAsia="sl-SI"/>
        </w:rPr>
        <w:t xml:space="preserve">2028 </w:t>
      </w:r>
      <w:r w:rsidRPr="003068E4">
        <w:rPr>
          <w:lang w:eastAsia="sl-SI"/>
        </w:rPr>
        <w:t>uvrščen</w:t>
      </w:r>
      <w:r>
        <w:rPr>
          <w:lang w:eastAsia="sl-SI"/>
        </w:rPr>
        <w:t>a</w:t>
      </w:r>
      <w:r w:rsidRPr="003068E4">
        <w:rPr>
          <w:lang w:eastAsia="sl-SI"/>
        </w:rPr>
        <w:t xml:space="preserve"> </w:t>
      </w:r>
      <w:r>
        <w:rPr>
          <w:lang w:eastAsia="sl-SI"/>
        </w:rPr>
        <w:t>prenova lekarne Splošne bolnišnice Nova Gorica</w:t>
      </w:r>
    </w:p>
    <w:p w14:paraId="36AA458B" w14:textId="77777777" w:rsidR="007F65BF" w:rsidRDefault="007F65BF" w:rsidP="00636DE1">
      <w:r>
        <w:t xml:space="preserve">Vlada je na današnji seji sprejela sklep, da se v </w:t>
      </w:r>
      <w:r w:rsidRPr="00A075C3">
        <w:t>Načrt razvojnih programov za obdobje 2025</w:t>
      </w:r>
      <w:r>
        <w:t>−</w:t>
      </w:r>
      <w:r w:rsidRPr="00A075C3">
        <w:t>2028 uvrsti projekt</w:t>
      </w:r>
      <w:r>
        <w:t xml:space="preserve"> </w:t>
      </w:r>
      <w:r w:rsidRPr="00281F18">
        <w:t>SB Nova Gorica - lekarna za magistralna zdravila</w:t>
      </w:r>
      <w:r w:rsidRPr="00A075C3">
        <w:t>.</w:t>
      </w:r>
      <w:r>
        <w:t xml:space="preserve"> </w:t>
      </w:r>
      <w:r w:rsidRPr="00714CC1">
        <w:t>Cilj</w:t>
      </w:r>
      <w:r>
        <w:t>i</w:t>
      </w:r>
      <w:r w:rsidRPr="003068E4">
        <w:t xml:space="preserve"> projekta</w:t>
      </w:r>
      <w:r w:rsidRPr="00714CC1">
        <w:t xml:space="preserve"> </w:t>
      </w:r>
      <w:r>
        <w:t>so</w:t>
      </w:r>
      <w:r w:rsidRPr="00714CC1">
        <w:t xml:space="preserve"> </w:t>
      </w:r>
      <w:r w:rsidRPr="00281F18">
        <w:t>ureditev prostorov lekarne skladno z zakonskimi zahtevami, standardi in priporočili dobre lekarniške prakse, izboljša</w:t>
      </w:r>
      <w:r>
        <w:t>ti</w:t>
      </w:r>
      <w:r w:rsidRPr="00281F18">
        <w:t xml:space="preserve"> varnost in delovn</w:t>
      </w:r>
      <w:r>
        <w:t>e</w:t>
      </w:r>
      <w:r w:rsidRPr="00281F18">
        <w:t xml:space="preserve"> pogoje za zaposlene, zagot</w:t>
      </w:r>
      <w:r>
        <w:t>oviti</w:t>
      </w:r>
      <w:r w:rsidRPr="00281F18">
        <w:t xml:space="preserve"> strokovno ustrezne priprave magistralnih zdravil in aseptičnih pripravkov ter zagotovi</w:t>
      </w:r>
      <w:r>
        <w:t>ti</w:t>
      </w:r>
      <w:r w:rsidRPr="00281F18">
        <w:t xml:space="preserve"> infrastruktur</w:t>
      </w:r>
      <w:r>
        <w:t>o</w:t>
      </w:r>
      <w:r w:rsidRPr="00281F18">
        <w:t>, ki bo omogočila verifikacijo lekarne s strani pristojnega ministrstva.</w:t>
      </w:r>
    </w:p>
    <w:p w14:paraId="3D3ABED0" w14:textId="77777777" w:rsidR="007F65BF" w:rsidRPr="00267C87" w:rsidRDefault="007F65BF" w:rsidP="00636DE1">
      <w:pPr>
        <w:rPr>
          <w:bCs/>
        </w:rPr>
      </w:pPr>
    </w:p>
    <w:p w14:paraId="11B6F8D3" w14:textId="77777777" w:rsidR="007F65BF" w:rsidRPr="003068E4" w:rsidRDefault="007F65BF" w:rsidP="00636DE1">
      <w:r>
        <w:t>Ocenjena v</w:t>
      </w:r>
      <w:r w:rsidRPr="003068E4">
        <w:t>rednost projekta</w:t>
      </w:r>
      <w:r>
        <w:t xml:space="preserve"> </w:t>
      </w:r>
      <w:r w:rsidRPr="003068E4">
        <w:t xml:space="preserve">je </w:t>
      </w:r>
      <w:r w:rsidRPr="00281F18">
        <w:t xml:space="preserve">1.602.624,80 </w:t>
      </w:r>
      <w:r w:rsidRPr="003068E4">
        <w:t>evra</w:t>
      </w:r>
      <w:r>
        <w:t xml:space="preserve"> z DDV</w:t>
      </w:r>
      <w:r w:rsidRPr="003068E4">
        <w:t xml:space="preserve">, od tega </w:t>
      </w:r>
      <w:r w:rsidRPr="00281F18">
        <w:t>1.485.716</w:t>
      </w:r>
      <w:r>
        <w:t xml:space="preserve"> evrov zagotovi </w:t>
      </w:r>
      <w:r w:rsidRPr="003068E4">
        <w:t>Urad za nadzor, kakovost in investicije v zdravstvu</w:t>
      </w:r>
      <w:r>
        <w:t xml:space="preserve">, </w:t>
      </w:r>
      <w:r w:rsidRPr="00281F18">
        <w:t>116.908,80</w:t>
      </w:r>
      <w:r>
        <w:t xml:space="preserve"> evra pa Splošna bolnišnica Nova Gorica.</w:t>
      </w:r>
    </w:p>
    <w:p w14:paraId="3374602A" w14:textId="77777777" w:rsidR="007F65BF" w:rsidRPr="00714CC1" w:rsidRDefault="007F65BF" w:rsidP="00636DE1"/>
    <w:bookmarkEnd w:id="1"/>
    <w:p w14:paraId="1299F6DD" w14:textId="77777777" w:rsidR="007F65BF" w:rsidRPr="00281F18" w:rsidRDefault="007F65BF" w:rsidP="00636DE1">
      <w:r w:rsidRPr="00281F18">
        <w:t>Investicija</w:t>
      </w:r>
      <w:r>
        <w:t>, ki bo predvidoma zaključena marca 2026,</w:t>
      </w:r>
      <w:r w:rsidRPr="00281F18">
        <w:t xml:space="preserve"> obsega prenovo prostorov v obstoječi lekarni, vključno z ureditvijo:</w:t>
      </w:r>
    </w:p>
    <w:p w14:paraId="37A03A54" w14:textId="77777777" w:rsidR="007F65BF" w:rsidRPr="00424979" w:rsidRDefault="007F65BF" w:rsidP="00636DE1">
      <w:pPr>
        <w:pStyle w:val="Odstavekseznama"/>
        <w:numPr>
          <w:ilvl w:val="0"/>
          <w:numId w:val="19"/>
        </w:numPr>
      </w:pPr>
      <w:r w:rsidRPr="00424979">
        <w:lastRenderedPageBreak/>
        <w:t>laboratorija za magistralno pripravo zdravil,</w:t>
      </w:r>
    </w:p>
    <w:p w14:paraId="18EA6B48" w14:textId="77777777" w:rsidR="007F65BF" w:rsidRPr="00565F55" w:rsidRDefault="007F65BF" w:rsidP="00636DE1">
      <w:pPr>
        <w:pStyle w:val="Odstavekseznama"/>
        <w:numPr>
          <w:ilvl w:val="0"/>
          <w:numId w:val="19"/>
        </w:numPr>
      </w:pPr>
      <w:r w:rsidRPr="00565F55">
        <w:t>prostora za pripravo alkoholov,</w:t>
      </w:r>
    </w:p>
    <w:p w14:paraId="7422568F" w14:textId="77777777" w:rsidR="007F65BF" w:rsidRPr="00565F55" w:rsidRDefault="007F65BF" w:rsidP="00636DE1">
      <w:pPr>
        <w:pStyle w:val="Odstavekseznama"/>
        <w:numPr>
          <w:ilvl w:val="0"/>
          <w:numId w:val="19"/>
        </w:numPr>
      </w:pPr>
      <w:r w:rsidRPr="00565F55">
        <w:t>aseptičnih čistih prostorov za pripravo zdravil (vključno s protitumornimi),</w:t>
      </w:r>
    </w:p>
    <w:p w14:paraId="0BD0CB49" w14:textId="265C8DAB" w:rsidR="00636DE1" w:rsidRDefault="007F65BF" w:rsidP="007F65BF">
      <w:pPr>
        <w:pStyle w:val="Odstavekseznama"/>
        <w:numPr>
          <w:ilvl w:val="0"/>
          <w:numId w:val="19"/>
        </w:numPr>
      </w:pPr>
      <w:r w:rsidRPr="00565F55">
        <w:t>garderob, sanitarij, pomivalnice in prostora za odmor osebja.</w:t>
      </w:r>
    </w:p>
    <w:p w14:paraId="2770BE92" w14:textId="27D40501" w:rsidR="007F65BF" w:rsidRDefault="007F65BF" w:rsidP="00636DE1">
      <w:pPr>
        <w:pStyle w:val="Vir"/>
      </w:pPr>
      <w:r>
        <w:t>Vir: Ministrstvo za zdravje</w:t>
      </w:r>
    </w:p>
    <w:p w14:paraId="0C129627" w14:textId="77777777" w:rsidR="008C2851" w:rsidRPr="00724075" w:rsidRDefault="008C2851" w:rsidP="009E7DDA">
      <w:pPr>
        <w:pStyle w:val="Naslov2"/>
      </w:pPr>
      <w:r w:rsidRPr="00724075">
        <w:t>Vlada v Načrt razvojnih programov uvrstila še 9 projektov</w:t>
      </w:r>
    </w:p>
    <w:p w14:paraId="50D3B9DA" w14:textId="77777777" w:rsidR="008C2851" w:rsidRDefault="008C2851" w:rsidP="009E7DDA">
      <w:r w:rsidRPr="00866786">
        <w:t xml:space="preserve">Vlada je </w:t>
      </w:r>
      <w:r>
        <w:t xml:space="preserve">v veljavni Načrt razvojnih programov za obdobje do leta 2028 uvrstila še 9 projektov.  </w:t>
      </w:r>
    </w:p>
    <w:p w14:paraId="658DBD2E" w14:textId="77777777" w:rsidR="008C2851" w:rsidRDefault="008C2851" w:rsidP="009E7DDA"/>
    <w:p w14:paraId="099F7783" w14:textId="77777777" w:rsidR="008C2851" w:rsidRPr="00F46F2D" w:rsidRDefault="008C2851" w:rsidP="009E7DDA">
      <w:r>
        <w:t xml:space="preserve">Pri osmih gre za sofinanciranje projektov lokalnih skupnosti na območju Triglavskega narodnega parka. Gre za projekte: </w:t>
      </w:r>
      <w:bookmarkStart w:id="2" w:name="_Hlk200610748"/>
    </w:p>
    <w:p w14:paraId="45B8A259" w14:textId="77777777" w:rsidR="008C2851" w:rsidRDefault="008C2851" w:rsidP="009E7DDA">
      <w:pPr>
        <w:rPr>
          <w:iCs/>
        </w:rPr>
      </w:pPr>
    </w:p>
    <w:p w14:paraId="57390E4B" w14:textId="77777777" w:rsidR="008C2851" w:rsidRPr="009E7DDA" w:rsidRDefault="008C2851" w:rsidP="009E7DDA">
      <w:pPr>
        <w:pStyle w:val="Odstavekseznama"/>
        <w:numPr>
          <w:ilvl w:val="0"/>
          <w:numId w:val="30"/>
        </w:numPr>
        <w:rPr>
          <w:iCs/>
        </w:rPr>
      </w:pPr>
      <w:r w:rsidRPr="009E7DDA">
        <w:rPr>
          <w:iCs/>
        </w:rPr>
        <w:t>Ureditev parkirišča pod blejskim gradom,</w:t>
      </w:r>
    </w:p>
    <w:p w14:paraId="42E6248B" w14:textId="77777777" w:rsidR="008C2851" w:rsidRPr="009E7DDA" w:rsidRDefault="008C2851" w:rsidP="009E7DDA">
      <w:pPr>
        <w:pStyle w:val="Odstavekseznama"/>
        <w:numPr>
          <w:ilvl w:val="0"/>
          <w:numId w:val="30"/>
        </w:numPr>
        <w:rPr>
          <w:iCs/>
        </w:rPr>
      </w:pPr>
      <w:r w:rsidRPr="009E7DDA">
        <w:rPr>
          <w:iCs/>
        </w:rPr>
        <w:t>Izgradnja garažne hiše Danica v</w:t>
      </w:r>
      <w:r w:rsidRPr="00F46F2D">
        <w:t xml:space="preserve"> Bohinjski Bistrici</w:t>
      </w:r>
      <w:r w:rsidRPr="009E7DDA">
        <w:rPr>
          <w:iCs/>
        </w:rPr>
        <w:t>,</w:t>
      </w:r>
    </w:p>
    <w:p w14:paraId="1214C569" w14:textId="77777777" w:rsidR="008C2851" w:rsidRPr="009E7DDA" w:rsidRDefault="008C2851" w:rsidP="009E7DDA">
      <w:pPr>
        <w:pStyle w:val="Odstavekseznama"/>
        <w:numPr>
          <w:ilvl w:val="0"/>
          <w:numId w:val="30"/>
        </w:numPr>
        <w:rPr>
          <w:iCs/>
        </w:rPr>
      </w:pPr>
      <w:r w:rsidRPr="009E7DDA">
        <w:rPr>
          <w:iCs/>
        </w:rPr>
        <w:t xml:space="preserve">Ureditev območja Jezernica </w:t>
      </w:r>
      <w:bookmarkStart w:id="3" w:name="_Hlk206578803"/>
      <w:r w:rsidRPr="009E7DDA">
        <w:rPr>
          <w:iCs/>
        </w:rPr>
        <w:t>v Ribčevem Lazu</w:t>
      </w:r>
      <w:bookmarkEnd w:id="3"/>
      <w:r w:rsidRPr="009E7DDA">
        <w:rPr>
          <w:iCs/>
        </w:rPr>
        <w:t>,</w:t>
      </w:r>
    </w:p>
    <w:p w14:paraId="41E6099D" w14:textId="77777777" w:rsidR="008C2851" w:rsidRPr="009E7DDA" w:rsidRDefault="008C2851" w:rsidP="009E7DDA">
      <w:pPr>
        <w:pStyle w:val="Odstavekseznama"/>
        <w:numPr>
          <w:ilvl w:val="0"/>
          <w:numId w:val="30"/>
        </w:numPr>
        <w:rPr>
          <w:iCs/>
        </w:rPr>
      </w:pPr>
      <w:r w:rsidRPr="009E7DDA">
        <w:rPr>
          <w:iCs/>
        </w:rPr>
        <w:t>Obnova kulturnega doma Stara Fužina,</w:t>
      </w:r>
    </w:p>
    <w:p w14:paraId="310B95EA" w14:textId="77777777" w:rsidR="008C2851" w:rsidRPr="009E7DDA" w:rsidRDefault="008C2851" w:rsidP="009E7DDA">
      <w:pPr>
        <w:pStyle w:val="Odstavekseznama"/>
        <w:numPr>
          <w:ilvl w:val="0"/>
          <w:numId w:val="30"/>
        </w:numPr>
        <w:rPr>
          <w:iCs/>
          <w:szCs w:val="20"/>
          <w:lang w:eastAsia="sl-SI"/>
        </w:rPr>
      </w:pPr>
      <w:r w:rsidRPr="009E7DDA">
        <w:rPr>
          <w:iCs/>
          <w:szCs w:val="20"/>
          <w:lang w:eastAsia="sl-SI"/>
        </w:rPr>
        <w:t>Izgradnja nove brvi čez Jezernico</w:t>
      </w:r>
      <w:r w:rsidRPr="009E7DDA">
        <w:rPr>
          <w:iCs/>
        </w:rPr>
        <w:t xml:space="preserve"> v Ribčevem Lazu</w:t>
      </w:r>
      <w:r w:rsidRPr="009E7DDA">
        <w:rPr>
          <w:iCs/>
          <w:szCs w:val="20"/>
          <w:lang w:eastAsia="sl-SI"/>
        </w:rPr>
        <w:t>,</w:t>
      </w:r>
    </w:p>
    <w:p w14:paraId="24830F98" w14:textId="77777777" w:rsidR="008C2851" w:rsidRPr="009E7DDA" w:rsidRDefault="008C2851" w:rsidP="009E7DDA">
      <w:pPr>
        <w:pStyle w:val="Odstavekseznama"/>
        <w:numPr>
          <w:ilvl w:val="0"/>
          <w:numId w:val="30"/>
        </w:numPr>
        <w:rPr>
          <w:iCs/>
        </w:rPr>
      </w:pPr>
      <w:r w:rsidRPr="009E7DDA">
        <w:rPr>
          <w:iCs/>
        </w:rPr>
        <w:t>Izgradnja novega kulturnega doma Log pod Mangartom,</w:t>
      </w:r>
    </w:p>
    <w:p w14:paraId="52FA0F09" w14:textId="77777777" w:rsidR="008C2851" w:rsidRPr="009E7DDA" w:rsidRDefault="008C2851" w:rsidP="009E7DDA">
      <w:pPr>
        <w:pStyle w:val="Odstavekseznama"/>
        <w:numPr>
          <w:ilvl w:val="0"/>
          <w:numId w:val="30"/>
        </w:numPr>
        <w:rPr>
          <w:iCs/>
        </w:rPr>
      </w:pPr>
      <w:r w:rsidRPr="009E7DDA">
        <w:rPr>
          <w:iCs/>
        </w:rPr>
        <w:t>Obnova ceste Trdnjava Kluže - Bavšica, 1. del, ter</w:t>
      </w:r>
    </w:p>
    <w:p w14:paraId="5E1FBDC9" w14:textId="77777777" w:rsidR="008C2851" w:rsidRPr="009E7DDA" w:rsidRDefault="008C2851" w:rsidP="009E7DDA">
      <w:pPr>
        <w:pStyle w:val="Odstavekseznama"/>
        <w:numPr>
          <w:ilvl w:val="0"/>
          <w:numId w:val="30"/>
        </w:numPr>
        <w:rPr>
          <w:iCs/>
        </w:rPr>
      </w:pPr>
      <w:r w:rsidRPr="009E7DDA">
        <w:rPr>
          <w:iCs/>
        </w:rPr>
        <w:t xml:space="preserve">Obnova vodovoda </w:t>
      </w:r>
      <w:proofErr w:type="spellStart"/>
      <w:r w:rsidRPr="009E7DDA">
        <w:rPr>
          <w:iCs/>
        </w:rPr>
        <w:t>Zmrzlek</w:t>
      </w:r>
      <w:bookmarkEnd w:id="2"/>
      <w:proofErr w:type="spellEnd"/>
      <w:r w:rsidRPr="009E7DDA">
        <w:rPr>
          <w:iCs/>
        </w:rPr>
        <w:t xml:space="preserve"> v </w:t>
      </w:r>
      <w:r w:rsidRPr="001225EA">
        <w:t>občini Gorje</w:t>
      </w:r>
      <w:r>
        <w:t xml:space="preserve">. </w:t>
      </w:r>
    </w:p>
    <w:p w14:paraId="02C0A8FB" w14:textId="77777777" w:rsidR="008C2851" w:rsidRPr="001225EA" w:rsidRDefault="008C2851" w:rsidP="009E7DDA">
      <w:pPr>
        <w:rPr>
          <w:iCs/>
        </w:rPr>
      </w:pPr>
    </w:p>
    <w:p w14:paraId="341F5A4F" w14:textId="77777777" w:rsidR="008C2851" w:rsidRDefault="008C2851" w:rsidP="009E7DDA">
      <w:r>
        <w:t xml:space="preserve">Poleg teh je vlada v Načrt razvojnih programov uvrstila tudi projekt </w:t>
      </w:r>
      <w:r w:rsidRPr="004D24B2">
        <w:t xml:space="preserve">Izvedba ukrepov na vodotoku </w:t>
      </w:r>
      <w:proofErr w:type="spellStart"/>
      <w:r w:rsidRPr="004D24B2">
        <w:t>Neškar</w:t>
      </w:r>
      <w:proofErr w:type="spellEnd"/>
      <w:r w:rsidRPr="004D24B2">
        <w:t>-Podlebelca</w:t>
      </w:r>
      <w:r>
        <w:t xml:space="preserve"> v občini Preddvor. Namen projekta je trajna sanacija območja po neurju.</w:t>
      </w:r>
    </w:p>
    <w:p w14:paraId="31D85A3A" w14:textId="6DCF1B63" w:rsidR="008C2851" w:rsidRDefault="009E7DDA" w:rsidP="009E7DDA">
      <w:pPr>
        <w:pStyle w:val="Vir"/>
      </w:pPr>
      <w:r>
        <w:t>Vir: Ministrstvo za naravne vire in prostor</w:t>
      </w:r>
    </w:p>
    <w:p w14:paraId="687D647B" w14:textId="77777777" w:rsidR="007F65BF" w:rsidRPr="007F65BF" w:rsidRDefault="007F65BF" w:rsidP="00636DE1">
      <w:pPr>
        <w:pStyle w:val="Naslov2"/>
      </w:pPr>
      <w:r w:rsidRPr="007F65BF">
        <w:t>Uvrstitev sedmih projektov SRRS v Načrt razvojnih programov za obdobje 2025-2028</w:t>
      </w:r>
    </w:p>
    <w:p w14:paraId="555E3C5D" w14:textId="373A3F3F" w:rsidR="007F65BF" w:rsidRPr="007F65BF" w:rsidRDefault="007F65BF" w:rsidP="00636DE1">
      <w:r w:rsidRPr="007F65BF">
        <w:t>Vlada je v veljavni načrt razvojnih programov 2025–2028 uvrstila sedem novih projektov, in sicer:</w:t>
      </w:r>
    </w:p>
    <w:p w14:paraId="4F2C3CB0" w14:textId="77777777" w:rsidR="007F65BF" w:rsidRPr="007F65BF" w:rsidRDefault="007F65BF" w:rsidP="00636DE1">
      <w:pPr>
        <w:pStyle w:val="Odstavekseznama"/>
        <w:numPr>
          <w:ilvl w:val="0"/>
          <w:numId w:val="20"/>
        </w:numPr>
      </w:pPr>
      <w:r w:rsidRPr="007F65BF">
        <w:t>Turistična revitalizacija gradu Podčetrtek</w:t>
      </w:r>
    </w:p>
    <w:p w14:paraId="6F2106D3" w14:textId="77777777" w:rsidR="007F65BF" w:rsidRPr="007F65BF" w:rsidRDefault="007F65BF" w:rsidP="00636DE1">
      <w:pPr>
        <w:pStyle w:val="Odstavekseznama"/>
        <w:numPr>
          <w:ilvl w:val="0"/>
          <w:numId w:val="20"/>
        </w:numPr>
      </w:pPr>
      <w:r w:rsidRPr="007F65BF">
        <w:t>Sprehajalna tematska pot Svetinje-Jeruzalem</w:t>
      </w:r>
    </w:p>
    <w:p w14:paraId="610FB327" w14:textId="77777777" w:rsidR="007F65BF" w:rsidRPr="007F65BF" w:rsidRDefault="007F65BF" w:rsidP="00636DE1">
      <w:pPr>
        <w:pStyle w:val="Odstavekseznama"/>
        <w:numPr>
          <w:ilvl w:val="0"/>
          <w:numId w:val="20"/>
        </w:numPr>
      </w:pPr>
      <w:r w:rsidRPr="007F65BF">
        <w:t xml:space="preserve">Prenova parka ob dvorcu </w:t>
      </w:r>
      <w:proofErr w:type="spellStart"/>
      <w:r w:rsidRPr="007F65BF">
        <w:t>Mahrenberg</w:t>
      </w:r>
      <w:proofErr w:type="spellEnd"/>
    </w:p>
    <w:p w14:paraId="3258CB97" w14:textId="77777777" w:rsidR="007F65BF" w:rsidRPr="007F65BF" w:rsidRDefault="007F65BF" w:rsidP="00636DE1">
      <w:pPr>
        <w:pStyle w:val="Odstavekseznama"/>
        <w:numPr>
          <w:ilvl w:val="0"/>
          <w:numId w:val="20"/>
        </w:numPr>
      </w:pPr>
      <w:r w:rsidRPr="007F65BF">
        <w:t>Lokarjeva literarna doživetja na poti</w:t>
      </w:r>
    </w:p>
    <w:p w14:paraId="13873354" w14:textId="77777777" w:rsidR="007F65BF" w:rsidRPr="007F65BF" w:rsidRDefault="007F65BF" w:rsidP="00636DE1">
      <w:pPr>
        <w:pStyle w:val="Odstavekseznama"/>
        <w:numPr>
          <w:ilvl w:val="0"/>
          <w:numId w:val="20"/>
        </w:numPr>
      </w:pPr>
      <w:r w:rsidRPr="007F65BF">
        <w:t>Mestni trg Kozina</w:t>
      </w:r>
    </w:p>
    <w:p w14:paraId="44C8DE54" w14:textId="77777777" w:rsidR="007F65BF" w:rsidRPr="007F65BF" w:rsidRDefault="007F65BF" w:rsidP="00636DE1">
      <w:pPr>
        <w:pStyle w:val="Odstavekseznama"/>
        <w:numPr>
          <w:ilvl w:val="0"/>
          <w:numId w:val="20"/>
        </w:numPr>
      </w:pPr>
      <w:r w:rsidRPr="007F65BF">
        <w:t>Sanitarni in spremljajoči objekti Divaške jame</w:t>
      </w:r>
    </w:p>
    <w:p w14:paraId="69061AEC" w14:textId="77777777" w:rsidR="007F65BF" w:rsidRPr="007F65BF" w:rsidRDefault="007F65BF" w:rsidP="00636DE1">
      <w:pPr>
        <w:pStyle w:val="Odstavekseznama"/>
        <w:numPr>
          <w:ilvl w:val="0"/>
          <w:numId w:val="20"/>
        </w:numPr>
      </w:pPr>
      <w:r w:rsidRPr="007F65BF">
        <w:t>Nadgradnja turistične infrastrukture na gradu Podsreda</w:t>
      </w:r>
    </w:p>
    <w:p w14:paraId="2A43CAD8" w14:textId="77777777" w:rsidR="007F65BF" w:rsidRPr="007F65BF" w:rsidRDefault="007F65BF" w:rsidP="00636DE1"/>
    <w:p w14:paraId="1EF2DFC0" w14:textId="52E8A082" w:rsidR="007F65BF" w:rsidRPr="007F65BF" w:rsidRDefault="007F65BF" w:rsidP="00636DE1">
      <w:r w:rsidRPr="007F65BF">
        <w:rPr>
          <w:iCs/>
        </w:rPr>
        <w:t>Gre za projekte iz javnega</w:t>
      </w:r>
      <w:r w:rsidRPr="007F65BF">
        <w:rPr>
          <w:bCs/>
          <w:iCs/>
        </w:rPr>
        <w:t xml:space="preserve"> razpisa za finančni produkt LOKALNO OPO Turizem, ki ga je izvedel </w:t>
      </w:r>
      <w:r w:rsidRPr="007F65BF">
        <w:t>Slovenski regionalno razvojni sklad. Razpis se je izvedel v okviru Programa za obmejna problemska območja kot ukrep MKRR</w:t>
      </w:r>
      <w:r w:rsidRPr="007F65BF">
        <w:rPr>
          <w:bCs/>
        </w:rPr>
        <w:t xml:space="preserve"> »Izgradnja javne turistične infrastrukture«. </w:t>
      </w:r>
      <w:r w:rsidRPr="007F65BF">
        <w:rPr>
          <w:iCs/>
        </w:rPr>
        <w:t>Glavni namen je podpreti razvoj trajnostne in visokokakovostne javne turistične infrastrukture, ki bo prispevala k večji konkurenčnosti turističnih destinacij in kakovosti doživetij turistov. Cilj je podpreti občine in druge upravljavce pri financiranju izgradnje, obnove in modernizacije javne turistične infrastrukture, ki bo izboljšala kakovost turističnih destinacij, omogočila boljšo dostopnost in dvignila privlačnost območij za turiste in lokalno prebivalstvo.</w:t>
      </w:r>
      <w:r w:rsidRPr="007F65BF">
        <w:t xml:space="preserve"> Na javnem razpisu </w:t>
      </w:r>
      <w:r w:rsidRPr="007F65BF">
        <w:rPr>
          <w:bCs/>
          <w:iCs/>
        </w:rPr>
        <w:t>LOKALNO OPO Turizem je bilo razpisanih 4,1 milijon</w:t>
      </w:r>
      <w:r w:rsidR="00636DE1">
        <w:rPr>
          <w:bCs/>
          <w:iCs/>
        </w:rPr>
        <w:t>a</w:t>
      </w:r>
      <w:r w:rsidRPr="007F65BF">
        <w:rPr>
          <w:bCs/>
          <w:iCs/>
        </w:rPr>
        <w:t xml:space="preserve"> evrov nepovratnih sredstev in 20 milijonov evrov posojil. Razpisana nepovratna sredstva bodo porabljena v letu 2025.</w:t>
      </w:r>
    </w:p>
    <w:p w14:paraId="667E7D7F" w14:textId="77777777" w:rsidR="007F65BF" w:rsidRPr="007F65BF" w:rsidRDefault="007F65BF" w:rsidP="00636DE1">
      <w:pPr>
        <w:rPr>
          <w:bCs/>
          <w:iCs/>
        </w:rPr>
      </w:pPr>
    </w:p>
    <w:p w14:paraId="369304B6" w14:textId="3ADB1BE7" w:rsidR="00636DE1" w:rsidRDefault="007F65BF" w:rsidP="007F65BF">
      <w:r w:rsidRPr="007F65BF">
        <w:rPr>
          <w:bCs/>
        </w:rPr>
        <w:t xml:space="preserve">Sedem izbranih projektov po prvem razpisnem roku je takih, da skupna vrednost projektov presega 600.000,00 </w:t>
      </w:r>
      <w:r w:rsidR="00A2419E">
        <w:rPr>
          <w:bCs/>
        </w:rPr>
        <w:t>evrov</w:t>
      </w:r>
      <w:r w:rsidRPr="007F65BF">
        <w:rPr>
          <w:bCs/>
        </w:rPr>
        <w:t xml:space="preserve"> (skupna vednost sofinanciranja teh projektov je 2.325.538,25 </w:t>
      </w:r>
      <w:r w:rsidR="00A2419E">
        <w:rPr>
          <w:bCs/>
        </w:rPr>
        <w:t>evra,</w:t>
      </w:r>
      <w:r w:rsidRPr="007F65BF">
        <w:rPr>
          <w:bCs/>
        </w:rPr>
        <w:t xml:space="preserve"> posojilo SRRS je </w:t>
      </w:r>
      <w:r w:rsidRPr="007F65BF">
        <w:rPr>
          <w:bCs/>
        </w:rPr>
        <w:lastRenderedPageBreak/>
        <w:t xml:space="preserve">v višini 637.920,04 </w:t>
      </w:r>
      <w:r w:rsidR="00A2419E">
        <w:rPr>
          <w:bCs/>
        </w:rPr>
        <w:t>evra</w:t>
      </w:r>
      <w:r w:rsidRPr="007F65BF">
        <w:rPr>
          <w:bCs/>
        </w:rPr>
        <w:t xml:space="preserve">, lastna sredstva upravičencev pa so v višini 3.041.427,59 </w:t>
      </w:r>
      <w:r w:rsidR="00A2419E">
        <w:rPr>
          <w:bCs/>
        </w:rPr>
        <w:t>evra</w:t>
      </w:r>
      <w:r w:rsidRPr="007F65BF">
        <w:rPr>
          <w:bCs/>
        </w:rPr>
        <w:t>), zato v skladu z določili 31. člena Zakona o izvrševanju proračunov Republike Slovenije za leti 2025 in 2026 (ZIPRS2526) o uvrstitvi projektov v veljavni načrt razvojnih programov odloča Vlada RS.</w:t>
      </w:r>
    </w:p>
    <w:p w14:paraId="472B8793" w14:textId="725A2ADE" w:rsidR="007F65BF" w:rsidRDefault="007F65BF" w:rsidP="009E7DDA">
      <w:pPr>
        <w:pStyle w:val="Vir"/>
      </w:pPr>
      <w:r>
        <w:t>Vir: Ministrstvo za kohezijo in regionalni razvoj</w:t>
      </w:r>
    </w:p>
    <w:p w14:paraId="356FF8BC" w14:textId="77777777" w:rsidR="007F65BF" w:rsidRPr="007F65BF" w:rsidRDefault="007F65BF" w:rsidP="00636DE1">
      <w:pPr>
        <w:pStyle w:val="Naslov2"/>
      </w:pPr>
      <w:r w:rsidRPr="007F65BF">
        <w:t>Vlada odobrila sredstva za informatizacijo za Javni štipendijski, razvojni, invalidski in preživninski sklad (JŠRIP)</w:t>
      </w:r>
    </w:p>
    <w:p w14:paraId="380FA8AE" w14:textId="77777777" w:rsidR="007F65BF" w:rsidRPr="007F65BF" w:rsidRDefault="007F65BF" w:rsidP="007F65BF">
      <w:r w:rsidRPr="007F65BF">
        <w:t xml:space="preserve">Vlada je sprejela sklep, s katerim v veljavnem Načrtu razvojnih programov 2025–2028 zvišuje izhodiščno vrednost in podaljšuje projekt »Sredstva za investicije ZRSZ in JŠRIP«: za podporo digitalnemu poslovanju JŠRIPS. </w:t>
      </w:r>
    </w:p>
    <w:p w14:paraId="4BC6E5C4" w14:textId="77777777" w:rsidR="007F65BF" w:rsidRPr="007F65BF" w:rsidRDefault="007F65BF" w:rsidP="007F65BF">
      <w:r w:rsidRPr="007F65BF">
        <w:t> </w:t>
      </w:r>
    </w:p>
    <w:p w14:paraId="28695FC7" w14:textId="77777777" w:rsidR="007F65BF" w:rsidRPr="007F65BF" w:rsidRDefault="007F65BF" w:rsidP="007F65BF">
      <w:r w:rsidRPr="007F65BF">
        <w:t>Namen je odpraviti obstoječe stanje informacijskega sistema sklada, ki je nezadostno, in s tem zagotoviti učinkovito informacijsko podporo poslovanju sklada. Ključni cilj je zagotoviti učinkovit, varen in zanesljiv informacijski sistem, ki ohranja ustrezne revizijske sledi in izpolnjuje zakonske zahteve glede upravljanja z dokumentnim in arhivskim gradivom ter omogoča izvajanje vseh nalog sklada.</w:t>
      </w:r>
    </w:p>
    <w:p w14:paraId="6D8C2B62" w14:textId="77777777" w:rsidR="007F65BF" w:rsidRPr="007F65BF" w:rsidRDefault="007F65BF" w:rsidP="007F65BF">
      <w:r w:rsidRPr="007F65BF">
        <w:t>V okviru projekta so predvidene investicije v namensko programsko opremo, digitalizacijo arhiva, strojno in licenčno programsko opremo ter opredmetena sredstva.</w:t>
      </w:r>
    </w:p>
    <w:p w14:paraId="65AFF3AC" w14:textId="77777777" w:rsidR="00636DE1" w:rsidRDefault="00636DE1" w:rsidP="007F65BF"/>
    <w:p w14:paraId="48A2F5DC" w14:textId="48DBDC0A" w:rsidR="007F65BF" w:rsidRDefault="007F65BF" w:rsidP="007F65BF">
      <w:r w:rsidRPr="007F65BF">
        <w:t xml:space="preserve">Ocenjena vrednost investicije je 2.157.233,28 </w:t>
      </w:r>
      <w:r w:rsidR="00FB2C37">
        <w:t>evra</w:t>
      </w:r>
      <w:r w:rsidRPr="007F65BF">
        <w:t xml:space="preserve"> z DDV. Izhodiščna vrednost po investicijskem programu: 884.122,00 </w:t>
      </w:r>
      <w:r w:rsidR="00FB2C37">
        <w:t>evrov</w:t>
      </w:r>
      <w:r w:rsidRPr="007F65BF">
        <w:t xml:space="preserve"> z DDV (do konca 2025).</w:t>
      </w:r>
    </w:p>
    <w:p w14:paraId="2404E225" w14:textId="77777777" w:rsidR="00FB2C37" w:rsidRDefault="00FB2C37" w:rsidP="00FB2C37">
      <w:pPr>
        <w:pStyle w:val="Vir"/>
      </w:pPr>
      <w:r>
        <w:t>Vir: Ministrstvo za delo, družino, socialne zadeve in enake možnosti</w:t>
      </w:r>
    </w:p>
    <w:p w14:paraId="0DA47A7E" w14:textId="77777777" w:rsidR="00FB2C37" w:rsidRDefault="00FB2C37" w:rsidP="00FB2C37">
      <w:pPr>
        <w:pStyle w:val="Naslov2"/>
      </w:pPr>
      <w:r>
        <w:t>Vlada se je seznanila z Informacijo o izvedbi projekta Potniški center Ljubljana na dan 30. 6. 2025</w:t>
      </w:r>
    </w:p>
    <w:p w14:paraId="5147C3E2" w14:textId="3C178F0A" w:rsidR="00FB2C37" w:rsidRDefault="00FB2C37" w:rsidP="00FB2C37">
      <w:pPr>
        <w:pStyle w:val="Vir"/>
      </w:pPr>
      <w:r>
        <w:t>Projekt Potniški center Ljubljana (PCL) obsega tri ločene dele, pri katerih sodeluje več investitorjev:</w:t>
      </w:r>
    </w:p>
    <w:p w14:paraId="2B7BFF7C" w14:textId="10B9B741" w:rsidR="00FB2C37" w:rsidRDefault="00FB2C37" w:rsidP="00FB2C37">
      <w:pPr>
        <w:pStyle w:val="Vir"/>
      </w:pPr>
      <w:r>
        <w:t>Direkcija Republike Slovenije za infrastrukturo (DRSI)</w:t>
      </w:r>
      <w:r w:rsidR="00AB569E">
        <w:t xml:space="preserve"> </w:t>
      </w:r>
      <w:r>
        <w:t xml:space="preserve">financira in izvaja nadgradnjo železniške postaje, ureditev tirov in tirnih naprav ter peronske infrastrukture ter gradnjo izvennivojskih dostopov na perone z ureditvijo spremljajočih površin za funkcionalen dostop do infrastrukture. V tem okviru je bila izvedena tudi izgradnja nadvoza nad Dunajsko cesto (Nadgradnja železniške postaje Ljubljana - Faza A), kot pogoj za začetek del na osrednjem delu železniške postaje. </w:t>
      </w:r>
    </w:p>
    <w:p w14:paraId="4F05140F" w14:textId="06A17C1A" w:rsidR="00FB2C37" w:rsidRDefault="00FB2C37" w:rsidP="00FB2C37">
      <w:pPr>
        <w:pStyle w:val="Vir"/>
      </w:pPr>
      <w:r>
        <w:t xml:space="preserve">Ocenjena vrednost projekta za osrednji del železniške postaje (faza B + C) po noveliranem investicijskem programu, sprejetem 2. 8. 2024, znaša 200.630.776 evrov brez DDV oziroma 242.395.796 evrov z DDV (stalne cene januar 2024). Pogodbena vrednost za Nadgradnjo železniške postaje Ljubljana – fazi B in C znaša 199.940.514,41 evra brez DDV (izvajalska pogodba za izvedbo gradbenih del). </w:t>
      </w:r>
    </w:p>
    <w:p w14:paraId="18FE02EB" w14:textId="0EF17422" w:rsidR="00FB2C37" w:rsidRDefault="00FB2C37" w:rsidP="00FB2C37">
      <w:pPr>
        <w:pStyle w:val="Vir"/>
      </w:pPr>
      <w:r>
        <w:t>Družba Slovenske železnice, d.</w:t>
      </w:r>
      <w:r w:rsidR="00AB569E">
        <w:t xml:space="preserve"> </w:t>
      </w:r>
      <w:r>
        <w:t>o.</w:t>
      </w:r>
      <w:r w:rsidR="00AB569E">
        <w:t xml:space="preserve"> </w:t>
      </w:r>
      <w:r>
        <w:t>o. (SŽ) sodeluje kot investitor nove glavne avtobusne postaje v Ljubljani, s poslovnimi prostori in parkirno hišo. Objekt bo imel neposredno povezavo z železniško postajo Ljubljana v okviru dela javnega potniškega prometa. Severni terminal bo zgrajen ob Vilharjevi cesti, južni pa ob na lokaciji Trg OF vzhodno od objekta obstoječe železniške postaje. Ocenjena investicijska vrednost projekta znaša 72 milijonov evrov brez DDV.</w:t>
      </w:r>
    </w:p>
    <w:p w14:paraId="2222FBE5" w14:textId="0896E0ED" w:rsidR="00FB2C37" w:rsidRDefault="00FB2C37" w:rsidP="00FB2C37">
      <w:pPr>
        <w:pStyle w:val="Vir"/>
      </w:pPr>
      <w:r>
        <w:t>Mestna občina Ljubljana sodeluje kot investitor na širšem območju PCL za rekonstrukcijo cest in gradnjo gospodarske javne infrastrukture (GJI). Ceste, predvidene za rekonstrukcijo, so: Trg OF, Masarykova, Šmartinska, Vilharjeva, Železna, Topniška, Linhartova, Flajšmanova, Pokopališka, Šmartinska, Njegoševa cesta.</w:t>
      </w:r>
    </w:p>
    <w:p w14:paraId="5EC39452" w14:textId="3D582D8C" w:rsidR="00FB2C37" w:rsidRDefault="00FB2C37" w:rsidP="00FB2C37">
      <w:pPr>
        <w:pStyle w:val="Vir"/>
      </w:pPr>
      <w:r>
        <w:lastRenderedPageBreak/>
        <w:t xml:space="preserve">Zasebni investitor družba Mendota Invest je investitor v izgradnjo celotnega komercialnega dela projekta (projekt »Emonika«), ki vključuje trgovski in zabaviščni center, poslovno stolpnico, hotel in stanovanja. </w:t>
      </w:r>
    </w:p>
    <w:p w14:paraId="6A4B2F1E" w14:textId="77777777" w:rsidR="00FB2C37" w:rsidRDefault="00FB2C37" w:rsidP="00FB2C37">
      <w:pPr>
        <w:pStyle w:val="Vir"/>
      </w:pPr>
      <w:r>
        <w:t>V nadaljevanju je podana podrobnejša informacija o izvajanju projekta, pri čemer so posebej označene aktivnosti od zadnjega poročila:</w:t>
      </w:r>
    </w:p>
    <w:p w14:paraId="0F8B11EF" w14:textId="776A24AE" w:rsidR="00FB2C37" w:rsidRPr="00FB2C37" w:rsidRDefault="00FB2C37" w:rsidP="00FB2C37">
      <w:pPr>
        <w:pStyle w:val="Vir"/>
        <w:rPr>
          <w:u w:val="single"/>
        </w:rPr>
      </w:pPr>
      <w:r w:rsidRPr="00FB2C37">
        <w:rPr>
          <w:u w:val="single"/>
        </w:rPr>
        <w:t>Nadgradnja železniške postaje ter ureditev tirov in tirnih naprav in peronske infrastrukture</w:t>
      </w:r>
    </w:p>
    <w:p w14:paraId="5671ADF4" w14:textId="08CAC0C3" w:rsidR="00FB2C37" w:rsidRDefault="00FB2C37" w:rsidP="00FB2C37">
      <w:pPr>
        <w:pStyle w:val="Vir"/>
      </w:pPr>
      <w:r>
        <w:t xml:space="preserve">Julija 2020 je bil sprejet dokument identifikacije investicijskega projekta (DIIP) za 1. fazo nadgradnje železniške postaje Ljubljana, ki zajema ureditev tirov in tirnih naprav ter peronske infrastrukture in gradnjo izvennivojskih dostopov na perone z ureditvijo spremljajočih površin za funkcionalen dostop do infrastrukture na območju železniške postaje. </w:t>
      </w:r>
    </w:p>
    <w:p w14:paraId="622B553C" w14:textId="3AD77A5E" w:rsidR="00FB2C37" w:rsidRDefault="00FB2C37" w:rsidP="00FB2C37">
      <w:pPr>
        <w:pStyle w:val="Vir"/>
      </w:pPr>
      <w:r>
        <w:t xml:space="preserve">6. januarja 2021 je bila podpisana pogodba za Izdelavo projektne dokumentacije za nadgradnjo železniške infrastrukture na območju železniške postaje Ljubljana, izvedbeni načrti za fazi B in C (osrednji del železniške postaje) so bili izdelani in predani 2. junija 2023. Dne 24. oktobra2023 je bilo izdano gradbeno dovoljenje za izvennivojski dostop na perone - nadhod s postajno dvorano Železniška postaja Ljubljana. </w:t>
      </w:r>
    </w:p>
    <w:p w14:paraId="31935F89" w14:textId="22EDA281" w:rsidR="00FB2C37" w:rsidRDefault="00FB2C37" w:rsidP="00FB2C37">
      <w:pPr>
        <w:pStyle w:val="Vir"/>
      </w:pPr>
      <w:r>
        <w:t>Dne 1. decembra 2020 je bil podpisan sporazum za evropska sredstva iz programa Instrument za povezovanje Evrope – IPE (</w:t>
      </w:r>
      <w:proofErr w:type="spellStart"/>
      <w:r>
        <w:t>Copnnecting</w:t>
      </w:r>
      <w:proofErr w:type="spellEnd"/>
      <w:r>
        <w:t xml:space="preserve"> Europe </w:t>
      </w:r>
      <w:proofErr w:type="spellStart"/>
      <w:r>
        <w:t>Facility</w:t>
      </w:r>
      <w:proofErr w:type="spellEnd"/>
      <w:r>
        <w:t xml:space="preserve"> – CEF) za projekt na železniškem območju ljubljanskih železniških postaj. Iz tega naslova so odobrena sredstva v višini do 8,46 mio evrov, od tega je bilo 1,87 mio evrov namenjenih za izdelavo projektne dokumentacije za nadgradnjo železniške infrastrukture na območju železniške postaje Ljubljana. Črpanje sredstev še ni zaključeno, saj se projektiranje železniškega območja ljubljanskih postaj še izvaja s fazo ŽOLP 2, s katero se projektira tudi del železniške postaje Ljubljana - faza D (PZI podvoza Šmartinska in Potrčeva). Iz tega naslova je počrpanih 8,463 mio evrov. </w:t>
      </w:r>
    </w:p>
    <w:p w14:paraId="05944592" w14:textId="6000F3DF" w:rsidR="00FB2C37" w:rsidRDefault="00FB2C37" w:rsidP="00FB2C37">
      <w:pPr>
        <w:pStyle w:val="Vir"/>
      </w:pPr>
      <w:r>
        <w:t>Nadgradnja železniške postaje Ljubljana, ki obsega izgradnjo nadvoza nad Dunajsko cesto (faza A) in osrednji del železniške postaje (faza B in C) je sofinancirana iz sredstev Mehanizma za okrevanje in odpornost. V septembru 2024 so se na ta projekt, razporedila dodatna povratna sredstva NOO iz ostankov v okviru ukrepa povečanje zmogljivosti železniške infrastrukture. Skupaj je bilo tako predvidenih  205,72 mio evrov povratnih sredstev NOO za fazi B in C ter 33 mio evrov za fazo A. Vlada  je 27. 2. 2025 potrdila predlog za prenos projekta faza B in C v PEKP 21-27 kot rešitev za pospešitev koriščenja sredstev evropske kohezijske politike v letih 2025 in 2026 ter znižanja posojilne izpostavljenosti države. Predvidenih je 205,72 milijona evrov kohezijskih sredstev, od tega je delež sredstev EU 174,86 milijona evrov. V zaključni fazi je usklajevanje vloge z vsemi potrebni prilogami za dodelitev kohezijskih sredstev.</w:t>
      </w:r>
    </w:p>
    <w:p w14:paraId="6DFD73DC" w14:textId="1F98A2B5" w:rsidR="00FB2C37" w:rsidRDefault="00FB2C37" w:rsidP="00FB2C37">
      <w:pPr>
        <w:pStyle w:val="Vir"/>
      </w:pPr>
      <w:r>
        <w:t>Pogodba za gradnjo nadomestnega železniškega nadvoza čez Dunajsko cesto v Ljubljani v okviru nadgradnje železniške postaje Ljubljana je bila podpisana dne 20. 3. 2023. Uvedba v delo je bila izvedena dne 9. 6. 2023, rok dokončanja glavnih gradbenih del je v roku 18 mesecev od uvedbe v delo. V podpisovanju je aneks za podaljšanje izvedbe del do 31. 12. 2025. Zaradi zamika dodatne izvedbe odvodnjavanja podvoza Dunajske ceste je bilo gradbeno dovoljenje za izvedbo pridobljeno 20. 5.2025.</w:t>
      </w:r>
    </w:p>
    <w:p w14:paraId="14F3BAF1" w14:textId="77777777" w:rsidR="00FB2C37" w:rsidRDefault="00FB2C37" w:rsidP="00FB2C37">
      <w:pPr>
        <w:pStyle w:val="Vir"/>
      </w:pPr>
      <w:r>
        <w:t>Pogodba za Nadgradnjo železniške postaje Ljubljana – fazi B in C je bila podpisana 26. 9. 2024. Uvedba v delo je bila 30. 9. 2024, rok dokončanja vseh del in potrditev potrdila o prevzemu je 22 mesecev od uvedbe v delo (tj. 30. 7. 2026).</w:t>
      </w:r>
    </w:p>
    <w:p w14:paraId="6A450E4F" w14:textId="00E089DE" w:rsidR="00FB2C37" w:rsidRPr="00FB2C37" w:rsidRDefault="00FB2C37" w:rsidP="00FB2C37">
      <w:pPr>
        <w:pStyle w:val="Vir"/>
      </w:pPr>
      <w:r>
        <w:t>Vir: Ministrstvo za infrastrukturo</w:t>
      </w:r>
    </w:p>
    <w:p w14:paraId="20621073" w14:textId="77777777" w:rsidR="006D31FD" w:rsidRDefault="006D31FD" w:rsidP="006D31FD">
      <w:pPr>
        <w:pStyle w:val="Naslov2"/>
      </w:pPr>
      <w:r>
        <w:lastRenderedPageBreak/>
        <w:t>Seznanitev z Vmesnim poročilom o delu medresorske delovne skupine za pripravo sistemskih rešitev na področju stroškov sodnih postopkov</w:t>
      </w:r>
    </w:p>
    <w:p w14:paraId="2E43D87A" w14:textId="77777777" w:rsidR="006D31FD" w:rsidRDefault="006D31FD" w:rsidP="006D31FD">
      <w:r>
        <w:t>Vlada Republike Slovenije se je danes seznanila z Vmesnim poročilom o delu medresorske delovne skupine za pripravo sistemskih rešitev na področju stroškov sodnih postopkov.</w:t>
      </w:r>
    </w:p>
    <w:p w14:paraId="0E09EF59" w14:textId="77777777" w:rsidR="006D31FD" w:rsidRDefault="006D31FD" w:rsidP="006D31FD"/>
    <w:p w14:paraId="7BD4991B" w14:textId="39BC760F" w:rsidR="006D31FD" w:rsidRDefault="006D31FD" w:rsidP="006D31FD">
      <w:r>
        <w:t>Delovna skupina, ki jo je vlada ustanovila jeseni 2024, združuje predstavnike več ministrstev in pravosodnih organov. Njena naloga je oblikovati predloge tako na zakonodajni kot na izvedbeni ravni, z namenom znižanja stroškov sodnih postopkov in zagotavljanja njihove večje učinkovitosti.</w:t>
      </w:r>
    </w:p>
    <w:p w14:paraId="77041794" w14:textId="77777777" w:rsidR="009117B8" w:rsidRDefault="009117B8" w:rsidP="006D31FD"/>
    <w:p w14:paraId="2602AA61" w14:textId="24B60C56" w:rsidR="006D31FD" w:rsidRDefault="006D31FD" w:rsidP="006D31FD">
      <w:r>
        <w:t>V vmesnem poročilu so predstavljeni ključni izzivi, dosedanji rezultati ter načrt nadaljnjega dela skupine. Dokument vsebuje tudi analize in predloge, ki bodo služili kot podlaga za iskanje dolgoročnih in vzdržnih rešitev.</w:t>
      </w:r>
    </w:p>
    <w:p w14:paraId="502614C2" w14:textId="4F4F1198" w:rsidR="007F65BF" w:rsidRDefault="006D31FD" w:rsidP="006D31FD">
      <w:pPr>
        <w:pStyle w:val="Vir"/>
      </w:pPr>
      <w:r>
        <w:t>Vir: Ministrstvo za pravosodje</w:t>
      </w:r>
    </w:p>
    <w:p w14:paraId="33D6264C" w14:textId="77777777" w:rsidR="007F65BF" w:rsidRPr="007F65BF" w:rsidRDefault="007F65BF" w:rsidP="00636DE1">
      <w:pPr>
        <w:pStyle w:val="Naslov2"/>
      </w:pPr>
      <w:r w:rsidRPr="007F65BF">
        <w:t>Letno poročilo Slovenskega regionalno razvojnega sklada za leto 2024 in odločitev o razporejanju presežkov prihodkov nad odhodki</w:t>
      </w:r>
    </w:p>
    <w:p w14:paraId="30ED2651" w14:textId="755F02B4" w:rsidR="007F65BF" w:rsidRPr="007F65BF" w:rsidRDefault="007F65BF" w:rsidP="00636DE1">
      <w:r w:rsidRPr="007F65BF">
        <w:t>Vlada je sprejela Letno poročilo Slovenskega regionalno razvojnega sklada ( SRRS)  za leto 2024. Hkrati je odločila, da se:</w:t>
      </w:r>
    </w:p>
    <w:p w14:paraId="14E3B70A" w14:textId="02BA71B9" w:rsidR="007F65BF" w:rsidRPr="007F65BF" w:rsidRDefault="007F65BF" w:rsidP="00636DE1">
      <w:pPr>
        <w:pStyle w:val="Odstavekseznama"/>
        <w:numPr>
          <w:ilvl w:val="0"/>
          <w:numId w:val="21"/>
        </w:numPr>
      </w:pPr>
      <w:r w:rsidRPr="007F65BF">
        <w:t xml:space="preserve">presežek prihodkov nad odhodki iz leta 2024 v višini 5.149.533,97 </w:t>
      </w:r>
      <w:r w:rsidR="009117B8">
        <w:t>evra</w:t>
      </w:r>
      <w:r w:rsidRPr="007F65BF">
        <w:t xml:space="preserve"> nameni za financiranje delovanja SRRS v letu 2025,</w:t>
      </w:r>
    </w:p>
    <w:p w14:paraId="7EF1A44A" w14:textId="2F99AEB4" w:rsidR="007F65BF" w:rsidRPr="007F65BF" w:rsidRDefault="007F65BF" w:rsidP="00636DE1">
      <w:pPr>
        <w:pStyle w:val="Odstavekseznama"/>
        <w:numPr>
          <w:ilvl w:val="0"/>
          <w:numId w:val="21"/>
        </w:numPr>
      </w:pPr>
      <w:r w:rsidRPr="007F65BF">
        <w:t xml:space="preserve">preostanek sredstev iz leta 2023 v višini 2.085.370,24 </w:t>
      </w:r>
      <w:r w:rsidR="009117B8">
        <w:t>evra</w:t>
      </w:r>
      <w:r w:rsidRPr="007F65BF">
        <w:t xml:space="preserve"> razporedi v namensko premoženje in kapital SRRS.</w:t>
      </w:r>
    </w:p>
    <w:p w14:paraId="1738AACA" w14:textId="77777777" w:rsidR="007F65BF" w:rsidRPr="007F65BF" w:rsidRDefault="007F65BF" w:rsidP="00636DE1"/>
    <w:p w14:paraId="73FCBD41" w14:textId="643D4F5E" w:rsidR="007F65BF" w:rsidRPr="007F65BF" w:rsidRDefault="007F65BF" w:rsidP="00636DE1">
      <w:r w:rsidRPr="007F65BF">
        <w:t xml:space="preserve">Slovenski regionalno razvojni sklad (SRRS) celovito skrbi za izpopolnjevanje in uresničevanje ciljev na področju regionalne politike, politike razvoja podeželja in uravnoteženega razvoja dejavnosti na podeželju ter za izvajanje ukrepov endogene regionalne politike. V letu 2024 je SRRS v okviru 17 javnih razpisov razpisal 19 finančnih produktov. Na osnovi izdanih odločb o financiranju je bilo v letu 2024 sklenjenih 352 pogodb o financiranju. Skupna vrednost sklenjenih pogodb je bila 70,2 mio EUR. S temi sredstvi je SRRS omogočil izvedbo projektov v skupni višini 151,6 mio </w:t>
      </w:r>
      <w:r w:rsidR="009117B8">
        <w:t>evrov</w:t>
      </w:r>
      <w:r w:rsidRPr="007F65BF">
        <w:t>.</w:t>
      </w:r>
    </w:p>
    <w:p w14:paraId="5A841F77" w14:textId="7C65CBAB" w:rsidR="007F65BF" w:rsidRDefault="007F65BF" w:rsidP="00636DE1">
      <w:pPr>
        <w:pStyle w:val="Vir"/>
      </w:pPr>
      <w:r>
        <w:t>Vir: Ministrstvo za kohezijo in regionalni razvoj</w:t>
      </w:r>
    </w:p>
    <w:p w14:paraId="17A5D7E2" w14:textId="77777777" w:rsidR="00BB562F" w:rsidRPr="005E533F" w:rsidRDefault="00BB562F" w:rsidP="009E7DDA">
      <w:pPr>
        <w:pStyle w:val="Naslov2"/>
      </w:pPr>
      <w:r w:rsidRPr="005E533F">
        <w:t xml:space="preserve">Vlada o poročilu </w:t>
      </w:r>
      <w:r w:rsidRPr="005E533F">
        <w:rPr>
          <w:lang w:eastAsia="sl-SI"/>
        </w:rPr>
        <w:t xml:space="preserve">Ministrstva za javno upravo o realizaciji 4. in 5. točke </w:t>
      </w:r>
      <w:r w:rsidRPr="005E533F">
        <w:t xml:space="preserve">sklepa za </w:t>
      </w:r>
      <w:r w:rsidRPr="005E533F">
        <w:rPr>
          <w:lang w:eastAsia="sl-SI"/>
        </w:rPr>
        <w:t>»Pospešitev in zaključek postopkov po ZDEN ter ZPVAS na upravnih enotah«</w:t>
      </w:r>
    </w:p>
    <w:p w14:paraId="5283CD66" w14:textId="13A1416A" w:rsidR="00BB562F" w:rsidRPr="005E533F" w:rsidRDefault="00BB562F" w:rsidP="009E7DDA">
      <w:pPr>
        <w:rPr>
          <w:lang w:eastAsia="sl-SI"/>
        </w:rPr>
      </w:pPr>
      <w:r w:rsidRPr="005E533F">
        <w:t xml:space="preserve">Vlada </w:t>
      </w:r>
      <w:r w:rsidRPr="005E533F">
        <w:rPr>
          <w:lang w:eastAsia="sl-SI"/>
        </w:rPr>
        <w:t xml:space="preserve">se je seznanila </w:t>
      </w:r>
      <w:r w:rsidRPr="005E533F">
        <w:t xml:space="preserve">s poročilom </w:t>
      </w:r>
      <w:r w:rsidRPr="005E533F">
        <w:rPr>
          <w:lang w:eastAsia="sl-SI"/>
        </w:rPr>
        <w:t xml:space="preserve">Ministrstva za javno upravo o realizaciji 4. in 5. točke </w:t>
      </w:r>
      <w:r w:rsidRPr="005E533F">
        <w:t xml:space="preserve">sklepa Vlade RS, sprejetega 9. 1. 2014 za </w:t>
      </w:r>
      <w:r w:rsidRPr="005E533F">
        <w:rPr>
          <w:lang w:eastAsia="sl-SI"/>
        </w:rPr>
        <w:t xml:space="preserve">»Pospešitev in zaključek postopkov po Zakonu o denacionalizaciji (ZDEN) ter Zakonu o ponovni vzpostavitvi agrarnih skupnosti ter vrnitvi njihovega premoženja in pravic (ZPVAS) na upravnih enotah« v zvezi z vladnim sklepom o spremembi </w:t>
      </w:r>
      <w:proofErr w:type="spellStart"/>
      <w:r w:rsidRPr="005E533F">
        <w:rPr>
          <w:lang w:eastAsia="sl-SI"/>
        </w:rPr>
        <w:t>prvonavedenega</w:t>
      </w:r>
      <w:proofErr w:type="spellEnd"/>
      <w:r w:rsidRPr="005E533F">
        <w:rPr>
          <w:lang w:eastAsia="sl-SI"/>
        </w:rPr>
        <w:t xml:space="preserve"> sklepa sprejetega 18. 3. 2015 in vladnim sklepom </w:t>
      </w:r>
      <w:r w:rsidRPr="005E533F">
        <w:t>21. 4. 2021</w:t>
      </w:r>
      <w:r w:rsidRPr="005E533F">
        <w:rPr>
          <w:lang w:eastAsia="sl-SI"/>
        </w:rPr>
        <w:t>, za obdobje od 1. 1. 2025 do 30. 6. 2025.</w:t>
      </w:r>
    </w:p>
    <w:p w14:paraId="256B9228" w14:textId="77777777" w:rsidR="00BB562F" w:rsidRPr="005E533F" w:rsidRDefault="00BB562F" w:rsidP="009E7DDA">
      <w:pPr>
        <w:rPr>
          <w:lang w:eastAsia="sl-SI"/>
        </w:rPr>
      </w:pPr>
    </w:p>
    <w:p w14:paraId="2AD2C2AD" w14:textId="77777777" w:rsidR="00BB562F" w:rsidRPr="005E533F" w:rsidRDefault="00BB562F" w:rsidP="009E7DDA">
      <w:r w:rsidRPr="005E533F">
        <w:t>Ministrstvo za javno upravo (MJU) je na podlagi poročil upravnih enot, pristojnih ministrstev in Sklada kmetijskih zemljišč in gozdov Republike Slovenije (SKZG RS) za obdobje od 1.1. 2025 do 30. 6. 2025 pripravilo dvaindvajseto poročilo o realizaciji omenjenih točkah sklepa vlade.</w:t>
      </w:r>
    </w:p>
    <w:p w14:paraId="72833EE3" w14:textId="77777777" w:rsidR="00BB562F" w:rsidRPr="005E533F" w:rsidRDefault="00BB562F" w:rsidP="009E7DDA"/>
    <w:p w14:paraId="301074B7" w14:textId="77777777" w:rsidR="00BB562F" w:rsidRPr="005E533F" w:rsidRDefault="00BB562F" w:rsidP="009E7DDA">
      <w:bookmarkStart w:id="4" w:name="_Toc49258157"/>
      <w:r w:rsidRPr="005E533F">
        <w:t xml:space="preserve">Vlada je s sklepom 21. 4. 2021 pozvala MOP, MKGP, MGRT, MK in upravne enote (UE), da pospešijo reševanje upravnih zadev po ZDEN in ZPVAS na prvi stopnji ter v pritožbenih postopkih. </w:t>
      </w:r>
      <w:r>
        <w:t>Vlada je</w:t>
      </w:r>
      <w:r w:rsidRPr="005E533F">
        <w:t xml:space="preserve"> znova pozvala SKZG RS, da intenzivira svoje aktivnosti pri iskanju nadomestnih zemljišč v vseh tistih postopkih, ko je vodenje in nadaljevanje postopkov</w:t>
      </w:r>
      <w:r>
        <w:t xml:space="preserve"> na UE</w:t>
      </w:r>
      <w:r w:rsidRPr="005E533F">
        <w:t xml:space="preserve"> po ZDEN vezano na odločitve ter aktivnosti SKZG RS.</w:t>
      </w:r>
    </w:p>
    <w:p w14:paraId="025A59D7" w14:textId="77777777" w:rsidR="00BB562F" w:rsidRPr="005E533F" w:rsidRDefault="00BB562F" w:rsidP="009E7DDA"/>
    <w:p w14:paraId="5F3539E9" w14:textId="77777777" w:rsidR="00BB562F" w:rsidRPr="005E533F" w:rsidRDefault="00BB562F" w:rsidP="009E7DDA">
      <w:r w:rsidRPr="005E533F">
        <w:t>MJU je</w:t>
      </w:r>
      <w:r>
        <w:t xml:space="preserve"> </w:t>
      </w:r>
      <w:r w:rsidRPr="005E533F">
        <w:t>od upravnih enot zbralo podatke o številu nepravnomočno rešenih zadev na dan 30. 6. 2025. Po podatkih UE, kjer postopki še niso zaključeni, je bilo 30. 6. 2025 skupno 50 nepravnomočnih zadev, od tega 45 po ZDEN in 5 zadev po ZPVAS. Število nepravnomočnih zadev se je na upravnih enotah od 1. 1. 2025 (na ta datum je bilo skupno število 54, od tega po ZDEN 49, po ZPVAS pa 5 zadev) zmanjšalo za 4 zadeve, v vseh primerih po ZDEN.</w:t>
      </w:r>
    </w:p>
    <w:p w14:paraId="17FB9151" w14:textId="77777777" w:rsidR="00BB562F" w:rsidRPr="005E533F" w:rsidRDefault="00BB562F" w:rsidP="009E7DDA"/>
    <w:p w14:paraId="29028999" w14:textId="77777777" w:rsidR="00BB562F" w:rsidRPr="005E533F" w:rsidRDefault="00BB562F" w:rsidP="009E7DDA">
      <w:r w:rsidRPr="003C719B">
        <w:t>MJU je za prvo polletje leta 2025 od MKGP, MNVP ter MGTŠ zbralo podatke tudi o številu pritožbenih postopkov zoper odločbe UE na posameznem ministrstvu in sicer, za 1. 1. 2025 ter 30. 6. 2025; o</w:t>
      </w:r>
      <w:r w:rsidRPr="005E533F">
        <w:t xml:space="preserve"> številu izdanih odločb oziroma konkretnih upravnih aktov posameznega ministrstva v zvezi s pritožbami zoper odločbe UE v obdobju od 1.1. 2025 do 30. 6. 2025 in o številu izdanih meritornih odločb ter o številu izdanih odločb, s katerimi je bila zadeva posameznim upravnim enotam vrnjena v ponovni postopek ter odločanje v navedenem obdobju.</w:t>
      </w:r>
      <w:r>
        <w:t xml:space="preserve"> </w:t>
      </w:r>
    </w:p>
    <w:p w14:paraId="61657CC2" w14:textId="77777777" w:rsidR="00BB562F" w:rsidRDefault="00BB562F" w:rsidP="009E7DDA"/>
    <w:p w14:paraId="0D7017F0" w14:textId="77777777" w:rsidR="00BB562F" w:rsidRPr="00577F69" w:rsidRDefault="00BB562F" w:rsidP="009E7DDA">
      <w:pPr>
        <w:rPr>
          <w:rFonts w:cs="Arial"/>
          <w:noProof/>
        </w:rPr>
      </w:pPr>
      <w:r w:rsidRPr="00577F69">
        <w:rPr>
          <w:rFonts w:cs="Arial"/>
          <w:noProof/>
        </w:rPr>
        <w:t>1.</w:t>
      </w:r>
      <w:r>
        <w:rPr>
          <w:rFonts w:cs="Arial"/>
          <w:noProof/>
        </w:rPr>
        <w:t xml:space="preserve"> </w:t>
      </w:r>
      <w:r w:rsidRPr="00577F69">
        <w:rPr>
          <w:rFonts w:cs="Arial"/>
          <w:noProof/>
        </w:rPr>
        <w:t>1. 2025 so bili na MKGP zoper odločitve UE po ZDEN vodeni štirje pritožbeni postopki, 30. 6. 2025 pa deset pritožbenih postopkov.</w:t>
      </w:r>
      <w:r>
        <w:rPr>
          <w:rFonts w:cs="Arial"/>
          <w:noProof/>
        </w:rPr>
        <w:t xml:space="preserve"> </w:t>
      </w:r>
      <w:r w:rsidRPr="00577F69">
        <w:rPr>
          <w:rFonts w:cs="Arial"/>
          <w:noProof/>
        </w:rPr>
        <w:t>Po ZPVAS 1. 1. 2025 in 30.</w:t>
      </w:r>
      <w:r>
        <w:rPr>
          <w:rFonts w:cs="Arial"/>
          <w:noProof/>
        </w:rPr>
        <w:t xml:space="preserve"> </w:t>
      </w:r>
      <w:r w:rsidRPr="00577F69">
        <w:rPr>
          <w:rFonts w:cs="Arial"/>
          <w:noProof/>
        </w:rPr>
        <w:t>6. 2025 na MKGP ni bilo vodenega nobenega pritožbenega postopka zoper odločitve UE.</w:t>
      </w:r>
      <w:r>
        <w:rPr>
          <w:rFonts w:cs="Arial"/>
          <w:noProof/>
        </w:rPr>
        <w:t xml:space="preserve"> V istem obdobju sta bila izdana dva </w:t>
      </w:r>
      <w:r w:rsidRPr="00577F69">
        <w:rPr>
          <w:rFonts w:cs="Arial"/>
          <w:noProof/>
        </w:rPr>
        <w:t>konkretn</w:t>
      </w:r>
      <w:r>
        <w:rPr>
          <w:rFonts w:cs="Arial"/>
          <w:noProof/>
        </w:rPr>
        <w:t>a</w:t>
      </w:r>
      <w:r w:rsidRPr="00577F69">
        <w:rPr>
          <w:rFonts w:cs="Arial"/>
          <w:noProof/>
        </w:rPr>
        <w:t xml:space="preserve"> upravn</w:t>
      </w:r>
      <w:r>
        <w:rPr>
          <w:rFonts w:cs="Arial"/>
          <w:noProof/>
        </w:rPr>
        <w:t>a</w:t>
      </w:r>
      <w:r w:rsidRPr="00577F69">
        <w:rPr>
          <w:rFonts w:cs="Arial"/>
          <w:noProof/>
        </w:rPr>
        <w:t xml:space="preserve"> akt</w:t>
      </w:r>
      <w:r>
        <w:rPr>
          <w:rFonts w:cs="Arial"/>
          <w:noProof/>
        </w:rPr>
        <w:t>a</w:t>
      </w:r>
      <w:r w:rsidRPr="00577F69">
        <w:rPr>
          <w:rFonts w:cs="Arial"/>
          <w:noProof/>
        </w:rPr>
        <w:t xml:space="preserve"> po ZDEN v zvezi s pritožbami zoper odločbe UE. Po ZPVAS je bil v tem obdobju izdan en konkretni upravni akt.</w:t>
      </w:r>
    </w:p>
    <w:p w14:paraId="20531686" w14:textId="77777777" w:rsidR="00BB562F" w:rsidRPr="00577F69" w:rsidRDefault="00BB562F" w:rsidP="009E7DDA">
      <w:pPr>
        <w:rPr>
          <w:rFonts w:cs="Arial"/>
          <w:noProof/>
        </w:rPr>
      </w:pPr>
    </w:p>
    <w:p w14:paraId="2E93DF55" w14:textId="77777777" w:rsidR="00BB562F" w:rsidRPr="00577F69" w:rsidRDefault="00BB562F" w:rsidP="009E7DDA">
      <w:pPr>
        <w:rPr>
          <w:rFonts w:cs="Arial"/>
          <w:noProof/>
        </w:rPr>
      </w:pPr>
      <w:r w:rsidRPr="00577F69">
        <w:rPr>
          <w:rFonts w:cs="Arial"/>
          <w:noProof/>
        </w:rPr>
        <w:t xml:space="preserve">Po ZDEN je MKGP v </w:t>
      </w:r>
      <w:r>
        <w:rPr>
          <w:rFonts w:cs="Arial"/>
          <w:noProof/>
        </w:rPr>
        <w:t xml:space="preserve">omenjenem </w:t>
      </w:r>
      <w:r w:rsidRPr="00577F69">
        <w:rPr>
          <w:rFonts w:cs="Arial"/>
          <w:noProof/>
        </w:rPr>
        <w:t>obdobju v dveh primerih zavrnilo pritožbo zoper odločitev UE. Po ZPVAS je MKGP odpravilo prvostopni upravni akt in zadevo vrnilo organu prve stopnje v ponovni postopek.  MKGP v poročilu poudarja, da imajo od 12.9. 2022 v reševanju tri neposredno vložene pritožbe zaradi molka organa prve stopnje, ki jih obravnavajo v skladu z ZUP in trenutno čakajo na odgovor prve stopnje v zvezi z opravo posameznih dejanj v ugotovitvenem postopku, katere so jim naložili v zvezi s temi pritožbami.</w:t>
      </w:r>
      <w:r>
        <w:rPr>
          <w:rFonts w:cs="Arial"/>
          <w:noProof/>
        </w:rPr>
        <w:t xml:space="preserve"> </w:t>
      </w:r>
    </w:p>
    <w:p w14:paraId="79EB92BF" w14:textId="77777777" w:rsidR="00BB562F" w:rsidRPr="00577F69" w:rsidRDefault="00BB562F" w:rsidP="009E7DDA">
      <w:pPr>
        <w:rPr>
          <w:rFonts w:cs="Arial"/>
          <w:noProof/>
          <w:shd w:val="clear" w:color="auto" w:fill="FFFFFF"/>
        </w:rPr>
      </w:pPr>
    </w:p>
    <w:p w14:paraId="5D69A58B" w14:textId="77777777" w:rsidR="00BB562F" w:rsidRPr="00577F69" w:rsidRDefault="00BB562F" w:rsidP="009E7DDA">
      <w:pPr>
        <w:rPr>
          <w:rFonts w:cs="Arial"/>
          <w:noProof/>
        </w:rPr>
      </w:pPr>
      <w:r w:rsidRPr="00577F69">
        <w:rPr>
          <w:rFonts w:cs="Arial"/>
          <w:noProof/>
        </w:rPr>
        <w:t>MNVP je imelo na dan 1.</w:t>
      </w:r>
      <w:r>
        <w:rPr>
          <w:rFonts w:cs="Arial"/>
          <w:noProof/>
        </w:rPr>
        <w:t xml:space="preserve"> </w:t>
      </w:r>
      <w:r w:rsidRPr="00577F69">
        <w:rPr>
          <w:rFonts w:cs="Arial"/>
          <w:noProof/>
        </w:rPr>
        <w:t>1.</w:t>
      </w:r>
      <w:r>
        <w:rPr>
          <w:rFonts w:cs="Arial"/>
          <w:noProof/>
        </w:rPr>
        <w:t xml:space="preserve"> </w:t>
      </w:r>
      <w:r w:rsidRPr="00577F69">
        <w:rPr>
          <w:rFonts w:cs="Arial"/>
          <w:noProof/>
        </w:rPr>
        <w:t>2025 evidentiranih pet pritožbenih postopkov, 30. 6. 2025 pa dva pritožbena postopka.</w:t>
      </w:r>
      <w:r>
        <w:rPr>
          <w:rFonts w:cs="Arial"/>
          <w:noProof/>
        </w:rPr>
        <w:t xml:space="preserve"> </w:t>
      </w:r>
      <w:r w:rsidRPr="00577F69">
        <w:rPr>
          <w:rFonts w:cs="Arial"/>
          <w:noProof/>
        </w:rPr>
        <w:t>Od 1.</w:t>
      </w:r>
      <w:r>
        <w:rPr>
          <w:rFonts w:cs="Arial"/>
          <w:noProof/>
        </w:rPr>
        <w:t xml:space="preserve"> </w:t>
      </w:r>
      <w:r w:rsidRPr="00577F69">
        <w:rPr>
          <w:rFonts w:cs="Arial"/>
          <w:noProof/>
        </w:rPr>
        <w:t>1. 2025 do 30. 6. 2025 je MNVP odločilo v štirih primerih po ZDEN. V treh primerih je bila odločitev meritorna, v enem primeru pa je bila zadeva vrnjena UE v ponovni postopek.</w:t>
      </w:r>
    </w:p>
    <w:p w14:paraId="39009E96" w14:textId="77777777" w:rsidR="00BB562F" w:rsidRPr="00577F69" w:rsidRDefault="00BB562F" w:rsidP="009E7DDA">
      <w:pPr>
        <w:rPr>
          <w:rFonts w:cs="Arial"/>
          <w:noProof/>
        </w:rPr>
      </w:pPr>
    </w:p>
    <w:p w14:paraId="67D0B935" w14:textId="77777777" w:rsidR="00BB562F" w:rsidRPr="00577F69" w:rsidRDefault="00BB562F" w:rsidP="009E7DDA">
      <w:pPr>
        <w:rPr>
          <w:rFonts w:cs="Arial"/>
          <w:noProof/>
        </w:rPr>
      </w:pPr>
      <w:r w:rsidRPr="00577F69">
        <w:rPr>
          <w:rFonts w:cs="Arial"/>
          <w:noProof/>
        </w:rPr>
        <w:t>MGTŠ je imelo na dan 1.</w:t>
      </w:r>
      <w:r>
        <w:rPr>
          <w:rFonts w:cs="Arial"/>
          <w:noProof/>
        </w:rPr>
        <w:t xml:space="preserve"> </w:t>
      </w:r>
      <w:r w:rsidRPr="00577F69">
        <w:rPr>
          <w:rFonts w:cs="Arial"/>
          <w:noProof/>
        </w:rPr>
        <w:t>1. 2025 v obravnavi  dva pritožbena postopka, 30. 6. 2025 pa prav tako dva pritožbena postopka.</w:t>
      </w:r>
      <w:r>
        <w:rPr>
          <w:rFonts w:cs="Arial"/>
          <w:noProof/>
        </w:rPr>
        <w:t xml:space="preserve"> </w:t>
      </w:r>
      <w:r w:rsidRPr="00577F69">
        <w:rPr>
          <w:noProof/>
        </w:rPr>
        <w:t>V obdobju med 1.</w:t>
      </w:r>
      <w:r>
        <w:rPr>
          <w:noProof/>
        </w:rPr>
        <w:t xml:space="preserve"> </w:t>
      </w:r>
      <w:r w:rsidRPr="00577F69">
        <w:rPr>
          <w:noProof/>
        </w:rPr>
        <w:t>1.</w:t>
      </w:r>
      <w:r>
        <w:rPr>
          <w:noProof/>
        </w:rPr>
        <w:t xml:space="preserve"> </w:t>
      </w:r>
      <w:r w:rsidRPr="00577F69">
        <w:rPr>
          <w:noProof/>
        </w:rPr>
        <w:t>2025 in 30.</w:t>
      </w:r>
      <w:r>
        <w:rPr>
          <w:noProof/>
        </w:rPr>
        <w:t xml:space="preserve"> </w:t>
      </w:r>
      <w:r w:rsidRPr="00577F69">
        <w:rPr>
          <w:noProof/>
        </w:rPr>
        <w:t>6.</w:t>
      </w:r>
      <w:r>
        <w:rPr>
          <w:noProof/>
        </w:rPr>
        <w:t xml:space="preserve"> </w:t>
      </w:r>
      <w:r w:rsidRPr="00577F69">
        <w:rPr>
          <w:noProof/>
        </w:rPr>
        <w:t>2025 so bile rešene tri zadeve v zvezi s pritožbami zoper odločbe UE po ZDEN. V vseh zadevah je bila pritožba zavrnjena in potrjena odločitev organa prve stopnje.</w:t>
      </w:r>
    </w:p>
    <w:p w14:paraId="4D5E027D" w14:textId="77777777" w:rsidR="00BB562F" w:rsidRPr="00577F69" w:rsidRDefault="00BB562F" w:rsidP="009E7DDA">
      <w:pPr>
        <w:rPr>
          <w:rFonts w:cs="Arial"/>
          <w:i/>
          <w:iCs/>
          <w:noProof/>
        </w:rPr>
      </w:pPr>
    </w:p>
    <w:p w14:paraId="2A926641" w14:textId="77777777" w:rsidR="00BB562F" w:rsidRPr="00577F69" w:rsidRDefault="00BB562F" w:rsidP="009E7DDA">
      <w:pPr>
        <w:rPr>
          <w:rFonts w:cs="Arial"/>
          <w:noProof/>
        </w:rPr>
      </w:pPr>
      <w:r w:rsidRPr="00577F69">
        <w:rPr>
          <w:noProof/>
        </w:rPr>
        <w:t>V poročevalskem obdobju so se na področju denacionalizacije na MGTŠ na novo odprle tri zadeve.</w:t>
      </w:r>
    </w:p>
    <w:p w14:paraId="4D699438" w14:textId="77777777" w:rsidR="00BB562F" w:rsidRPr="00577F69" w:rsidRDefault="00BB562F" w:rsidP="009E7DDA">
      <w:pPr>
        <w:rPr>
          <w:rFonts w:cs="Arial"/>
          <w:noProof/>
          <w:sz w:val="18"/>
          <w:szCs w:val="18"/>
        </w:rPr>
      </w:pPr>
    </w:p>
    <w:p w14:paraId="6668028E" w14:textId="77777777" w:rsidR="00BB562F" w:rsidRPr="00577F69" w:rsidRDefault="00BB562F" w:rsidP="009E7DDA">
      <w:pPr>
        <w:rPr>
          <w:rFonts w:cs="Arial"/>
          <w:noProof/>
        </w:rPr>
      </w:pPr>
      <w:r w:rsidRPr="00577F69">
        <w:rPr>
          <w:rFonts w:cs="Arial"/>
          <w:noProof/>
        </w:rPr>
        <w:t>Glede primerov, ko posamezno ministrstvo ni odločilo meritorno v pritožbenem postopku zoper posamezno odločitev UE po ZDEN, je MNVP pojasnilo, da je v enem primeru odločitev UE odpravilo in zadevo vrnilo v ponovni postopek iz razloga nejasnosti, ki se nanašajo na pravno podlago podržavljenja ter dejstvo, da imajo dediči denacionalizacijskih upravičencev del podržavljene parcele danes v posesti in ne v lasti, upravni organ pa je zahtevo za vrnitev v naravi zavrnil.</w:t>
      </w:r>
    </w:p>
    <w:p w14:paraId="3F36F61A" w14:textId="77777777" w:rsidR="00BB562F" w:rsidRPr="005E533F" w:rsidRDefault="00BB562F" w:rsidP="009E7DDA"/>
    <w:p w14:paraId="3A8C083B" w14:textId="77777777" w:rsidR="00BB562F" w:rsidRPr="005E533F" w:rsidRDefault="00BB562F" w:rsidP="009E7DDA">
      <w:r w:rsidRPr="005E533F">
        <w:t>Aktivnosti SKZG RS glede zagotavljanja nadomestnih zemljišč so v obdobju od 1. 1. 2025 do 30. 6. 2025 potekale na UE Mozirje (ena zadeva), UE Radovljica (ena zadeva), UE Kranj (ena zadeva)</w:t>
      </w:r>
      <w:r w:rsidRPr="005E533F">
        <w:rPr>
          <w:i/>
          <w:iCs/>
        </w:rPr>
        <w:t xml:space="preserve"> </w:t>
      </w:r>
      <w:r w:rsidRPr="005E533F">
        <w:t>in UE Murska Sobota (ena zadeva).</w:t>
      </w:r>
    </w:p>
    <w:p w14:paraId="29248F89" w14:textId="77777777" w:rsidR="00BB562F" w:rsidRPr="005E533F" w:rsidRDefault="00BB562F" w:rsidP="009E7DDA">
      <w:pPr>
        <w:rPr>
          <w:i/>
          <w:iCs/>
        </w:rPr>
      </w:pPr>
    </w:p>
    <w:p w14:paraId="7AA334E9" w14:textId="77777777" w:rsidR="00BB562F" w:rsidRPr="005E533F" w:rsidRDefault="00BB562F" w:rsidP="009E7DDA">
      <w:r w:rsidRPr="005E533F">
        <w:t>SKZG RS v tem obdobju ni posredoval upravičencem nobenega predloga sporazuma</w:t>
      </w:r>
      <w:r w:rsidRPr="005E533F">
        <w:rPr>
          <w:i/>
          <w:iCs/>
        </w:rPr>
        <w:t xml:space="preserve"> </w:t>
      </w:r>
      <w:r w:rsidRPr="005E533F">
        <w:t xml:space="preserve"> o dodelitvi nadomestnih zemljišč, prav tako z upravičenci ni bil sklenjen noben predmetni sporazum. </w:t>
      </w:r>
      <w:r w:rsidRPr="005E533F">
        <w:br/>
      </w:r>
      <w:r w:rsidRPr="005E533F">
        <w:br/>
      </w:r>
      <w:r w:rsidRPr="005E533F">
        <w:lastRenderedPageBreak/>
        <w:t>UE v obdobju od 1. 1. 2025 do 30. 6. 2025 niso izdale nobene odločbe po ZDEN o dodelitvi nadomestnih zemljišč.</w:t>
      </w:r>
      <w:bookmarkEnd w:id="4"/>
    </w:p>
    <w:p w14:paraId="6231CD0C" w14:textId="2506D5B8" w:rsidR="00BB562F" w:rsidRPr="009E7DDA" w:rsidRDefault="009E7DDA" w:rsidP="009E7DDA">
      <w:pPr>
        <w:pStyle w:val="Vir"/>
      </w:pPr>
      <w:r w:rsidRPr="009E7DDA">
        <w:t>Vir: Ministrstvo za javno upravo</w:t>
      </w:r>
    </w:p>
    <w:p w14:paraId="3F55658A" w14:textId="77777777" w:rsidR="007F65BF" w:rsidRPr="00123900" w:rsidRDefault="007F65BF" w:rsidP="00636DE1">
      <w:pPr>
        <w:pStyle w:val="Naslov2"/>
        <w:rPr>
          <w:lang w:eastAsia="sl-SI"/>
        </w:rPr>
      </w:pPr>
      <w:r w:rsidRPr="00123900">
        <w:t xml:space="preserve">Vlada </w:t>
      </w:r>
      <w:r w:rsidRPr="00123900">
        <w:rPr>
          <w:lang w:eastAsia="sl-SI"/>
        </w:rPr>
        <w:t>se je seznanila s Poročilom Nacionalnega sveta za bralno pismenost o uresničevanju Nacionalne strategije za razvoj bralne pismenosti za obdobje 2019—2030 za leto 2024</w:t>
      </w:r>
    </w:p>
    <w:p w14:paraId="2816C9A0" w14:textId="77777777" w:rsidR="007F65BF" w:rsidRPr="00123900" w:rsidRDefault="007F65BF" w:rsidP="00636DE1">
      <w:pPr>
        <w:rPr>
          <w:rFonts w:cs="Arial"/>
          <w:szCs w:val="20"/>
        </w:rPr>
      </w:pPr>
      <w:r w:rsidRPr="005B5E3C">
        <w:rPr>
          <w:rFonts w:cs="Arial"/>
          <w:szCs w:val="20"/>
        </w:rPr>
        <w:t xml:space="preserve">Vlada je 19. 12. 2019 sprejela </w:t>
      </w:r>
      <w:r w:rsidRPr="00884678">
        <w:rPr>
          <w:rFonts w:cs="Arial"/>
          <w:szCs w:val="20"/>
        </w:rPr>
        <w:t>Nacionalno strategijo za razvoj bralne pismenosti za obdobje 2019–2030</w:t>
      </w:r>
      <w:r>
        <w:rPr>
          <w:rFonts w:cs="Arial"/>
          <w:szCs w:val="20"/>
        </w:rPr>
        <w:t xml:space="preserve">. </w:t>
      </w:r>
      <w:r>
        <w:t xml:space="preserve">Sledilo je </w:t>
      </w:r>
      <w:r w:rsidRPr="00671BA4">
        <w:t>imenovanje 15</w:t>
      </w:r>
      <w:r>
        <w:t>-</w:t>
      </w:r>
      <w:r w:rsidRPr="00671BA4">
        <w:t>članskega medresorsko zasnovanega Nacionalnega sveta za bralno pismenost</w:t>
      </w:r>
      <w:r>
        <w:t>,</w:t>
      </w:r>
      <w:r>
        <w:rPr>
          <w:szCs w:val="20"/>
        </w:rPr>
        <w:t xml:space="preserve"> dne 11. 2. 2021,</w:t>
      </w:r>
      <w:r>
        <w:rPr>
          <w:rFonts w:cs="Arial"/>
          <w:iCs/>
          <w:szCs w:val="20"/>
        </w:rPr>
        <w:t xml:space="preserve"> </w:t>
      </w:r>
      <w:r>
        <w:t xml:space="preserve">za obdobje štirih let z opredeljenimi </w:t>
      </w:r>
      <w:r w:rsidRPr="00671BA4">
        <w:t>naslednj</w:t>
      </w:r>
      <w:r>
        <w:t>imi</w:t>
      </w:r>
      <w:r w:rsidRPr="00671BA4">
        <w:t xml:space="preserve"> nalog</w:t>
      </w:r>
      <w:r>
        <w:t>ami</w:t>
      </w:r>
      <w:r w:rsidRPr="00671BA4">
        <w:t>:</w:t>
      </w:r>
      <w:r>
        <w:rPr>
          <w:rFonts w:cs="Arial"/>
          <w:szCs w:val="20"/>
        </w:rPr>
        <w:t xml:space="preserve"> </w:t>
      </w:r>
      <w:r w:rsidRPr="00671BA4">
        <w:t xml:space="preserve">spodbujanje bralne pismenosti in bralne kulture v okviru normativnih in strateških aktov, ki </w:t>
      </w:r>
      <w:r w:rsidRPr="00320308">
        <w:t>vključujejo to področje</w:t>
      </w:r>
      <w:r>
        <w:t xml:space="preserve">; </w:t>
      </w:r>
      <w:r w:rsidRPr="00671BA4">
        <w:t>usklajevanje nalog in pristojnosti med vladnimi resorji pri pripravi akcijskega načrta</w:t>
      </w:r>
      <w:r>
        <w:t xml:space="preserve">; </w:t>
      </w:r>
      <w:r w:rsidRPr="00671BA4">
        <w:t>promocija nacionalne strategije ter njena uveljavitev v strokovni in širši javnosti</w:t>
      </w:r>
      <w:r>
        <w:t xml:space="preserve">; </w:t>
      </w:r>
      <w:r w:rsidRPr="00671BA4">
        <w:t>seznanjanje z raznovrstnim gradivom in strokovnimi podlagami, ki vplivajo na uresničevanje Nacionalne strategije za razvoj bralne pismenosti</w:t>
      </w:r>
      <w:r>
        <w:t xml:space="preserve">, </w:t>
      </w:r>
      <w:r w:rsidRPr="00671BA4">
        <w:t>spremljanje in spodbujanje uresničevanja Nacionalne strategije za razvoj bralne pismenosti</w:t>
      </w:r>
      <w:r>
        <w:rPr>
          <w:rFonts w:cs="Arial"/>
          <w:szCs w:val="20"/>
        </w:rPr>
        <w:t xml:space="preserve">, </w:t>
      </w:r>
      <w:r w:rsidRPr="00671BA4">
        <w:t>oziroma akcijskega načrta ter priprava ugotovitev in predlogov za nadaljnje delo</w:t>
      </w:r>
      <w:r>
        <w:t xml:space="preserve"> in pa </w:t>
      </w:r>
      <w:r w:rsidRPr="00671BA4">
        <w:t xml:space="preserve">priprava letnega poročila </w:t>
      </w:r>
      <w:r>
        <w:t>ter</w:t>
      </w:r>
      <w:r w:rsidRPr="00671BA4">
        <w:t xml:space="preserve"> poročanje vladi o uresničevanju nacionalne strategije.</w:t>
      </w:r>
    </w:p>
    <w:p w14:paraId="0D41C9C2" w14:textId="77777777" w:rsidR="007F65BF" w:rsidRDefault="007F65BF" w:rsidP="00636DE1"/>
    <w:p w14:paraId="2FE5C7A8" w14:textId="77777777" w:rsidR="007F65BF" w:rsidRDefault="007F65BF" w:rsidP="00636DE1">
      <w:pPr>
        <w:rPr>
          <w:rFonts w:cs="Arial"/>
          <w:iCs/>
          <w:szCs w:val="20"/>
          <w:lang w:eastAsia="sl-SI"/>
        </w:rPr>
      </w:pPr>
      <w:r>
        <w:t xml:space="preserve">Nacionalni svet je ves čas svojega delovanja spremljal in se seznanjal z razvojem bralne pismenosti in bralne kulture ter usklajeval ukrepe znotraj resorjev, ki aktivno prispevajo k uresničevanju </w:t>
      </w:r>
      <w:r>
        <w:rPr>
          <w:rFonts w:cs="Arial"/>
          <w:noProof/>
          <w:color w:val="000000"/>
          <w:szCs w:val="20"/>
          <w:lang w:eastAsia="sl-SI"/>
        </w:rPr>
        <w:t>strateških ciljev, opredeljenih v Nacionalni strategiji</w:t>
      </w:r>
      <w:r>
        <w:t>.</w:t>
      </w:r>
    </w:p>
    <w:p w14:paraId="1D294A01" w14:textId="77777777" w:rsidR="007F65BF" w:rsidRPr="000B52F8" w:rsidRDefault="007F65BF" w:rsidP="00636DE1"/>
    <w:p w14:paraId="72370971" w14:textId="679B7D4D" w:rsidR="007F65BF" w:rsidRPr="00636DE1" w:rsidRDefault="007F65BF" w:rsidP="00636DE1">
      <w:pPr>
        <w:rPr>
          <w:rFonts w:cs="Arial"/>
          <w:iCs/>
          <w:szCs w:val="20"/>
          <w:lang w:eastAsia="sl-SI"/>
        </w:rPr>
      </w:pPr>
      <w:r>
        <w:t>Skladno s svojimi nalogami je Nacionalni svet pripravil P</w:t>
      </w:r>
      <w:r w:rsidRPr="00B7019B">
        <w:rPr>
          <w:rFonts w:cs="Arial"/>
          <w:iCs/>
          <w:szCs w:val="20"/>
        </w:rPr>
        <w:t>oročilo o uresničevanju Nacionalne strategije</w:t>
      </w:r>
      <w:r>
        <w:rPr>
          <w:rFonts w:cs="Arial"/>
          <w:iCs/>
          <w:szCs w:val="20"/>
        </w:rPr>
        <w:t xml:space="preserve"> </w:t>
      </w:r>
      <w:r w:rsidRPr="00B7019B">
        <w:rPr>
          <w:rFonts w:cs="Arial"/>
          <w:iCs/>
          <w:szCs w:val="20"/>
        </w:rPr>
        <w:t xml:space="preserve">za razvoj bralne pismenosti </w:t>
      </w:r>
      <w:r w:rsidRPr="00314EEF">
        <w:rPr>
          <w:rFonts w:cs="Arial"/>
          <w:noProof/>
          <w:color w:val="000000"/>
          <w:szCs w:val="20"/>
          <w:lang w:eastAsia="sl-SI"/>
        </w:rPr>
        <w:t xml:space="preserve">za </w:t>
      </w:r>
      <w:r>
        <w:rPr>
          <w:rFonts w:cs="Arial"/>
          <w:noProof/>
          <w:color w:val="000000"/>
          <w:szCs w:val="20"/>
          <w:lang w:eastAsia="sl-SI"/>
        </w:rPr>
        <w:t xml:space="preserve">obdobje 2019—2030 za leto 2024 s poudarkom na aktivnostih glede spodbujanja bralne pismenosti in bralne kulture tudi v drugih resorjih, pa tudi priporočila za delo v prihodnje. </w:t>
      </w:r>
    </w:p>
    <w:p w14:paraId="3214BF7D" w14:textId="53C1C59E" w:rsidR="00BB562F" w:rsidRDefault="007F65BF" w:rsidP="009E7DDA">
      <w:pPr>
        <w:pStyle w:val="Vir"/>
      </w:pPr>
      <w:r>
        <w:t>Vir: Ministrstvo za vzgojo in izobraževanje</w:t>
      </w:r>
    </w:p>
    <w:p w14:paraId="52632437" w14:textId="7930D9FD" w:rsidR="00BB562F" w:rsidRPr="009E7DDA" w:rsidRDefault="00BB562F" w:rsidP="009E7DDA">
      <w:pPr>
        <w:pStyle w:val="Naslov2"/>
      </w:pPr>
      <w:r>
        <w:t>Vlada sprejela poročila o odpravi posledic škode zaradi naravnih nesreč v letu 2023</w:t>
      </w:r>
    </w:p>
    <w:p w14:paraId="40714213" w14:textId="77777777" w:rsidR="00BB562F" w:rsidRDefault="00BB562F" w:rsidP="009E7DDA">
      <w:r w:rsidRPr="00590409">
        <w:t xml:space="preserve">Vlada je sprejela </w:t>
      </w:r>
      <w:r>
        <w:t>poročila</w:t>
      </w:r>
      <w:r w:rsidRPr="00590409">
        <w:t xml:space="preserve"> Ministrstva za kmetijstvo, gozdarstvo in prehrano</w:t>
      </w:r>
      <w:r>
        <w:t xml:space="preserve"> (MKGP)</w:t>
      </w:r>
      <w:r w:rsidRPr="00590409">
        <w:t xml:space="preserve"> o</w:t>
      </w:r>
      <w:r>
        <w:t xml:space="preserve"> odpravi posledic škode zaradi poplav, zemeljskih plazov in pozebe v letu 2023. </w:t>
      </w:r>
    </w:p>
    <w:p w14:paraId="1E52AA58" w14:textId="77777777" w:rsidR="009E7DDA" w:rsidRDefault="009E7DDA" w:rsidP="009E7DDA"/>
    <w:p w14:paraId="5400A28D" w14:textId="50F9E853" w:rsidR="00BB562F" w:rsidRDefault="00BB562F" w:rsidP="009E7DDA">
      <w:r>
        <w:t xml:space="preserve">Vlada je sprejela: Poročilo MKGP o </w:t>
      </w:r>
      <w:r w:rsidRPr="00590409">
        <w:t>izvedbi Programa odprave posledic škode v gospodarstvu, ki se nanaša na škodo v primarni kmetijski proizvodnji zaradi poplav od 3. do 6. avgusta 2023</w:t>
      </w:r>
      <w:r>
        <w:t xml:space="preserve">; </w:t>
      </w:r>
      <w:r w:rsidRPr="00590409">
        <w:t xml:space="preserve">Poročilo </w:t>
      </w:r>
      <w:r>
        <w:t xml:space="preserve">MKGP </w:t>
      </w:r>
      <w:r w:rsidRPr="00590409">
        <w:t>o izvedbi Programa odprave posledic škode v kmetijstvu zaradi pozebe od 3. do 7. aprila 2023, neurij s točo od 10. maja do 1. avgusta 2023 in poplav od 3. do 6. avgusta in od 28. do 31. avgusta 2023</w:t>
      </w:r>
      <w:r>
        <w:t xml:space="preserve"> ter </w:t>
      </w:r>
      <w:r w:rsidRPr="00590409">
        <w:t xml:space="preserve">Poročilo </w:t>
      </w:r>
      <w:r>
        <w:t>MKGP</w:t>
      </w:r>
      <w:r w:rsidRPr="00590409">
        <w:t xml:space="preserve"> o izvedbi Programa odprave posledic škode v gospodarstvu, ki se nanaša na škodo v sektorju ribištva in akvakulture, zaradi poplav in zemeljskih plazov 4. avgusta 2023.</w:t>
      </w:r>
      <w:r>
        <w:t xml:space="preserve"> </w:t>
      </w:r>
      <w:r w:rsidRPr="00590409">
        <w:t xml:space="preserve">Vlada se je </w:t>
      </w:r>
      <w:r>
        <w:t xml:space="preserve">prav tako </w:t>
      </w:r>
      <w:r w:rsidRPr="00590409">
        <w:t>seznanila s Poročilom Komisije za odpravo posledic naravnih nesreč v kmetijstvu o porabi sredstev za odpravo posledic škode v kmetijstvu v letu 2024 zaradi naravnih nesreč v letu 2023.</w:t>
      </w:r>
    </w:p>
    <w:p w14:paraId="7C5821C4" w14:textId="353F0973" w:rsidR="009E7DDA" w:rsidRPr="00590409" w:rsidRDefault="009E7DDA" w:rsidP="009E7DDA">
      <w:pPr>
        <w:pStyle w:val="Vir"/>
      </w:pPr>
      <w:r>
        <w:t>Vir: Ministrstvo za kmetijstvo, gozdarstvo in prehrano</w:t>
      </w:r>
    </w:p>
    <w:p w14:paraId="0E10060A" w14:textId="1F3C430C" w:rsidR="00BB562F" w:rsidRPr="009E7DDA" w:rsidRDefault="00BB562F" w:rsidP="009E7DDA">
      <w:pPr>
        <w:pStyle w:val="Naslov2"/>
      </w:pPr>
      <w:r>
        <w:t>Vlada se je seznanila s poročilom o delu Komisije za odpravo posledic škode v kmetijstvu za leto 2024</w:t>
      </w:r>
    </w:p>
    <w:p w14:paraId="17C473C5" w14:textId="77777777" w:rsidR="00BB562F" w:rsidRPr="003C6218" w:rsidRDefault="00BB562F" w:rsidP="009E7DDA">
      <w:r>
        <w:t xml:space="preserve">Komisija za odpravo posledic škode v kmetijstvu je v skladu </w:t>
      </w:r>
      <w:r w:rsidRPr="003C6218">
        <w:t xml:space="preserve">s četrtim odstavkom </w:t>
      </w:r>
      <w:r>
        <w:t>osmega</w:t>
      </w:r>
      <w:r w:rsidRPr="003C6218">
        <w:t xml:space="preserve"> člena Zakona o odpravi posledic naravnih nesreč</w:t>
      </w:r>
      <w:r>
        <w:t xml:space="preserve"> </w:t>
      </w:r>
      <w:r w:rsidRPr="003C6218">
        <w:t>o svojem delu izd</w:t>
      </w:r>
      <w:r>
        <w:t>ala</w:t>
      </w:r>
      <w:r w:rsidRPr="003C6218">
        <w:t xml:space="preserve"> letno poročilo in ga predloži</w:t>
      </w:r>
      <w:r>
        <w:t>la Ministrstvu za kmetijstvo, gozdarstvo in prehrano (MKGP)</w:t>
      </w:r>
      <w:r w:rsidRPr="003C6218">
        <w:t xml:space="preserve">, ta pa </w:t>
      </w:r>
      <w:r>
        <w:t xml:space="preserve">je </w:t>
      </w:r>
      <w:r w:rsidRPr="003C6218">
        <w:t>s poročilom seznani</w:t>
      </w:r>
      <w:r>
        <w:t>l v</w:t>
      </w:r>
      <w:r w:rsidRPr="003C6218">
        <w:t>lado</w:t>
      </w:r>
      <w:r>
        <w:t xml:space="preserve">. </w:t>
      </w:r>
    </w:p>
    <w:p w14:paraId="19FF0FFD" w14:textId="77777777" w:rsidR="009E7DDA" w:rsidRDefault="009E7DDA" w:rsidP="009E7DDA"/>
    <w:p w14:paraId="669A00A4" w14:textId="5E526524" w:rsidR="00BB562F" w:rsidRPr="003C6218" w:rsidRDefault="00BB562F" w:rsidP="009E7DDA">
      <w:r w:rsidRPr="003C6218">
        <w:lastRenderedPageBreak/>
        <w:t>Komisija za odpravo posledic škode v kmetijstvu je</w:t>
      </w:r>
      <w:r>
        <w:t xml:space="preserve"> </w:t>
      </w:r>
      <w:r w:rsidRPr="003C6218">
        <w:t>Poročilo o delu Komisije za odpravo posledic škode v kmetijstvu za leto 202</w:t>
      </w:r>
      <w:r>
        <w:t xml:space="preserve">4 sprejela na svoji dopisni seji, ki je trajala </w:t>
      </w:r>
      <w:r w:rsidRPr="003C6218">
        <w:t>od torka, 10. 6. 2025, do srede, 11. 6. 2025</w:t>
      </w:r>
      <w:r>
        <w:t xml:space="preserve">. </w:t>
      </w:r>
    </w:p>
    <w:p w14:paraId="5EE0EEB4" w14:textId="2D8A8E9C" w:rsidR="00BB562F" w:rsidRDefault="009E7DDA" w:rsidP="009E7DDA">
      <w:pPr>
        <w:pStyle w:val="Vir"/>
      </w:pPr>
      <w:r>
        <w:t>Vir: Ministrstvo za kmetijstvo, gozdarstvo in prehrano</w:t>
      </w:r>
    </w:p>
    <w:p w14:paraId="7F92F1DA" w14:textId="4E9D4835" w:rsidR="00BB562F" w:rsidRPr="009E7DDA" w:rsidRDefault="00BB562F" w:rsidP="009E7DDA">
      <w:pPr>
        <w:pStyle w:val="Naslov2"/>
      </w:pPr>
      <w:r>
        <w:t>Vlada se je seznanila s Podnebnim poročilom o stanju v kmetijstvu za leto 2024</w:t>
      </w:r>
    </w:p>
    <w:p w14:paraId="43552870" w14:textId="77777777" w:rsidR="00BB562F" w:rsidRDefault="00BB562F" w:rsidP="009E7DDA">
      <w:r w:rsidRPr="006D47A7">
        <w:t>Vlada</w:t>
      </w:r>
      <w:r>
        <w:t xml:space="preserve"> </w:t>
      </w:r>
      <w:r w:rsidRPr="006D47A7">
        <w:t xml:space="preserve">se je seznanila s Podnebnim poročilom o stanju v kmetijstvu za leto 2024 in ga pošlje Državnemu zboru. </w:t>
      </w:r>
    </w:p>
    <w:p w14:paraId="7E6E64E7" w14:textId="77777777" w:rsidR="009E7DDA" w:rsidRDefault="009E7DDA" w:rsidP="009E7DDA"/>
    <w:p w14:paraId="34FD2E6C" w14:textId="14786ED8" w:rsidR="00BB562F" w:rsidRPr="006D47A7" w:rsidRDefault="00BB562F" w:rsidP="009E7DDA">
      <w:r w:rsidRPr="006D47A7">
        <w:t xml:space="preserve">Podnebno poročilo o stanju v kmetijstvu v letu 2024 prikazuje aktivnosti kmetijstva na področju blaženja podnebnim sprememb in prilagajanje nanje, ter aktivnosti na področju energije, ki se uporablja v kmetijstvu. Zato so v poročilu </w:t>
      </w:r>
      <w:r w:rsidR="009E7DDA">
        <w:t>z</w:t>
      </w:r>
      <w:r w:rsidRPr="006D47A7">
        <w:t xml:space="preserve">brani podatki na področju blaženja podnebnih sprememb v kmetijstvu, kjer so vključeni podatki o emisijah toplogrednih plinov v kmetijstvu, podatki o rabi zemljišč, sprememba rabe zemljišč in gozdarstvo (sektor LULUCF), stanje kmetijskih tal, raba in poraba gnojil v kmetijstvu, energije v kmetijstvu z vidika podnebnih sprememb in še poglavje o prilagajanju kmetijstva podnebnim spremembam. V nadaljevanju poročila je podana še analiza stanja – ocena ranljivosti kmetijstva na podnebne spremembe, spremljanje izvajanja ukrepov, podana so priporočila, ostale aktivnosti na področju blaženja in prilagajanja kmetijstva na podnebne spremembe, obvladovanje tveganj v kmetijstvu, raziskave, strokovne naloge v rastlinski proizvodnji in aktivnosti Javne službe kmetijskega svetovanja. </w:t>
      </w:r>
    </w:p>
    <w:p w14:paraId="3C89762B" w14:textId="77777777" w:rsidR="009E7DDA" w:rsidRDefault="009E7DDA" w:rsidP="009E7DDA"/>
    <w:p w14:paraId="6FEAC7FD" w14:textId="6B412085" w:rsidR="00BB562F" w:rsidRPr="006D47A7" w:rsidRDefault="00BB562F" w:rsidP="009E7DDA">
      <w:r w:rsidRPr="006D47A7">
        <w:t>V poročilu je prikazano trenutno stanje na posameznih področjih in predstavlja osnovo za nadaljnje redno letno spremljanje podatkov oziroma trendov. Poročilo je pripravil Kmetijski inštitut Slovenije (KIS) skupaj z Gozdarskim inštitutom Slovenije (GIS) in Geološkim zavodom Slovenije (</w:t>
      </w:r>
      <w:proofErr w:type="spellStart"/>
      <w:r w:rsidRPr="006D47A7">
        <w:t>GeoZS</w:t>
      </w:r>
      <w:proofErr w:type="spellEnd"/>
      <w:r w:rsidRPr="006D47A7">
        <w:t xml:space="preserve">), gradiva in podatke pa so prispevale tudi strokovne službe Ministrstva za kmetijstvo, gozdarstvo in prehrano (MKGP) in Kmetijsko gozdarske zbornice Slovenije (KGZS). </w:t>
      </w:r>
    </w:p>
    <w:p w14:paraId="5AE9F593" w14:textId="77777777" w:rsidR="009E7DDA" w:rsidRDefault="009E7DDA" w:rsidP="009E7DDA">
      <w:pPr>
        <w:pStyle w:val="Vir"/>
      </w:pPr>
      <w:r>
        <w:t>Vir: Ministrstvo za kmetijstvo, gozdarstvo in prehrano</w:t>
      </w:r>
    </w:p>
    <w:p w14:paraId="4A0E283B" w14:textId="46B2ECD4" w:rsidR="00BB562F" w:rsidRPr="009E7DDA" w:rsidRDefault="00BB562F" w:rsidP="009E7DDA">
      <w:pPr>
        <w:pStyle w:val="Naslov2"/>
      </w:pPr>
      <w:r>
        <w:t>Vlada je sprejela predlog mnenja o zahtevi za oceno ustavnosti Zakona o Skladu kmetijskih zemljišč in gozdov</w:t>
      </w:r>
    </w:p>
    <w:p w14:paraId="1C2A30E2" w14:textId="77777777" w:rsidR="00BB562F" w:rsidRPr="00A17634" w:rsidRDefault="00BB562F" w:rsidP="009E7DDA">
      <w:r w:rsidRPr="00A17634">
        <w:t xml:space="preserve">Vlada je sprejela </w:t>
      </w:r>
      <w:r>
        <w:t>m</w:t>
      </w:r>
      <w:r w:rsidRPr="00A17634">
        <w:t xml:space="preserve">nenje glede </w:t>
      </w:r>
      <w:r>
        <w:t>Z</w:t>
      </w:r>
      <w:r w:rsidRPr="00A17634">
        <w:t>ahteve Državnega sveta za oceno ustavnosti 14. člena Zakona o Skladu kmetijskih zemljišč in gozdov Republike Slovenije</w:t>
      </w:r>
      <w:r>
        <w:t>. Oceno ustavnosti je Državni svet vložil 1. julija 2025.</w:t>
      </w:r>
    </w:p>
    <w:p w14:paraId="6F89E246" w14:textId="77777777" w:rsidR="009E7DDA" w:rsidRDefault="009E7DDA" w:rsidP="009E7DDA"/>
    <w:p w14:paraId="19A21297" w14:textId="49E84AC9" w:rsidR="00BB562F" w:rsidRDefault="00BB562F" w:rsidP="009E7DDA">
      <w:r w:rsidRPr="00A17634">
        <w:t xml:space="preserve">Ustavno sodišče Republike Slovenije je že v svoji odločbi </w:t>
      </w:r>
      <w:r w:rsidRPr="008A2B5F">
        <w:t>U-I-78/93</w:t>
      </w:r>
      <w:r>
        <w:t xml:space="preserve"> </w:t>
      </w:r>
      <w:r w:rsidRPr="00A17634">
        <w:t xml:space="preserve">z dne 18. </w:t>
      </w:r>
      <w:r>
        <w:t>oktobra</w:t>
      </w:r>
      <w:r w:rsidRPr="00A17634">
        <w:t xml:space="preserve"> 1995 ugotovilo, da določbe prvega, drugega, četrtega in petega odstavka 14. člena Zakona o Skladu kmetijskih zemljišč in gozdov Republike Slovenije niso v neskladju z Ustavo Republike Slovenije. Vlada meni, da niso podane okoliščine za (ponovno) presojo ustavnosti 14. člena ZSKZ, saj predlagatelj v svoji zahtevi ne navaja novih dejstev ali dokazov, prav tako niso nastale nove okoliščine, ki bi vplivale na drugačno odločitev. Primeri lovskih družin in njihovih zvez ne predstavljajo nove situacije, ki bi upravičevala tovrstno odstopanje.</w:t>
      </w:r>
    </w:p>
    <w:p w14:paraId="5C8DB265" w14:textId="60D17239" w:rsidR="007F65BF" w:rsidRPr="0083368A" w:rsidRDefault="009E7DDA" w:rsidP="00122822">
      <w:pPr>
        <w:pStyle w:val="Vir"/>
        <w:rPr>
          <w:color w:val="000000" w:themeColor="text1"/>
        </w:rPr>
      </w:pPr>
      <w:r w:rsidRPr="0083368A">
        <w:rPr>
          <w:color w:val="000000" w:themeColor="text1"/>
        </w:rPr>
        <w:t>Vir: Ministrstvo za kmetijstvo, gozdarstvo in prehrano</w:t>
      </w:r>
    </w:p>
    <w:p w14:paraId="15B6BB43" w14:textId="77777777" w:rsidR="0083368A" w:rsidRPr="0083368A" w:rsidRDefault="0083368A" w:rsidP="0083368A">
      <w:pPr>
        <w:pStyle w:val="Naslov2"/>
      </w:pPr>
      <w:r w:rsidRPr="0083368A">
        <w:t>Postopno opuščanje uvoza ruskega zemeljskega plina in izboljšanje spremljanja morebitnih energetskih odvisnosti</w:t>
      </w:r>
    </w:p>
    <w:p w14:paraId="4C609B75" w14:textId="77777777" w:rsidR="0083368A" w:rsidRPr="0083368A" w:rsidRDefault="0083368A" w:rsidP="0083368A">
      <w:pPr>
        <w:rPr>
          <w:color w:val="000000" w:themeColor="text1"/>
        </w:rPr>
      </w:pPr>
      <w:r w:rsidRPr="0083368A">
        <w:rPr>
          <w:color w:val="000000" w:themeColor="text1"/>
        </w:rPr>
        <w:lastRenderedPageBreak/>
        <w:t>Vlada je določila predlog stališča Slovenije do predloga predlog uredbe Evropskega parlamenta in Sveta o postopnem opuščanju uvoza ruskega zemeljskega plina, izboljšanju spremljanja morebitnih energetskih odvisnosti in spremembi Uredbe (EU) 2017/1938.</w:t>
      </w:r>
    </w:p>
    <w:p w14:paraId="3138C679" w14:textId="77777777" w:rsidR="0083368A" w:rsidRPr="0083368A" w:rsidRDefault="0083368A" w:rsidP="0083368A">
      <w:pPr>
        <w:rPr>
          <w:color w:val="000000" w:themeColor="text1"/>
        </w:rPr>
      </w:pPr>
    </w:p>
    <w:p w14:paraId="6A22EA2B" w14:textId="77777777" w:rsidR="0083368A" w:rsidRPr="0083368A" w:rsidRDefault="0083368A" w:rsidP="0083368A">
      <w:pPr>
        <w:rPr>
          <w:color w:val="000000" w:themeColor="text1"/>
        </w:rPr>
      </w:pPr>
      <w:r w:rsidRPr="0083368A">
        <w:rPr>
          <w:color w:val="000000" w:themeColor="text1"/>
        </w:rPr>
        <w:t>Slovenija podpira predlog Evropskega parlamenta in Sveta. Za Slovenijo je najbolj pomembno, da ostanejo plinska vozlišča in rafinerije v Sredozemlju ustrezno likvidni. To je pomembno tako z vidika varnosti oskrbe z energenti, kot tudi z vidika preprečevanja cenovnih šokov. Ker imajo lahko predlagani ukrepi širše pravne, tržne, gospodarske in družbene posledice, Slovenija pozdravlja pripravo celovite ocene vplivov. Slovenija podpira tudi napore za izboljšanje spremljanja na področju uvoza plina in nafte iz Ruske federacije in predvideno sodelovanje pristojnih organov pri izvajanju uredbe na nacionalni in EU ravni.</w:t>
      </w:r>
    </w:p>
    <w:p w14:paraId="587E6822" w14:textId="77777777" w:rsidR="0083368A" w:rsidRPr="0083368A" w:rsidRDefault="0083368A" w:rsidP="0083368A">
      <w:pPr>
        <w:rPr>
          <w:color w:val="000000" w:themeColor="text1"/>
        </w:rPr>
      </w:pPr>
    </w:p>
    <w:p w14:paraId="046DCB81" w14:textId="77777777" w:rsidR="0083368A" w:rsidRPr="0083368A" w:rsidRDefault="0083368A" w:rsidP="0083368A">
      <w:pPr>
        <w:rPr>
          <w:color w:val="000000" w:themeColor="text1"/>
        </w:rPr>
      </w:pPr>
      <w:r w:rsidRPr="0083368A">
        <w:rPr>
          <w:color w:val="000000" w:themeColor="text1"/>
        </w:rPr>
        <w:t xml:space="preserve">Vlada ugotavlja, da se s predlogom uredbe ne posega v spremembo obstoječih splošnih pravil in carinskih postopkov, ki jih carinski organi izvajajo za vnos blaga na carinsko območje unije v skladu z veljavno carinsko zakonodajo Evropske unije (EU), tj. Carinskim zakonikom unije. Glede na navedeno Slovenija predlogu uredbe z vidika vsebine, ki se nanaša na carinsko področje, predvsem pa na carinske postopke in pristojnosti carinskih organov, ne nasprotuje. </w:t>
      </w:r>
    </w:p>
    <w:p w14:paraId="0324BD9A" w14:textId="77777777" w:rsidR="0083368A" w:rsidRPr="0083368A" w:rsidRDefault="0083368A" w:rsidP="0083368A">
      <w:pPr>
        <w:rPr>
          <w:color w:val="000000" w:themeColor="text1"/>
        </w:rPr>
      </w:pPr>
    </w:p>
    <w:p w14:paraId="338A7717" w14:textId="77777777" w:rsidR="0083368A" w:rsidRPr="0083368A" w:rsidRDefault="0083368A" w:rsidP="0083368A">
      <w:pPr>
        <w:rPr>
          <w:color w:val="000000" w:themeColor="text1"/>
        </w:rPr>
      </w:pPr>
      <w:r w:rsidRPr="0083368A">
        <w:rPr>
          <w:color w:val="000000" w:themeColor="text1"/>
        </w:rPr>
        <w:t>Slovenija se z zahtevama o pripravi načrtov za diverzifikacijo oskrbe z nafto in zemeljskim plinom načeloma sicer strinja, se bo pa v času pogajanj zavzemala, da se od izpolnitve teh zahtev smiselno izvzame tiste države članice, katerih oskrba ni več odvisna od neposrednih pogodb o dobavi energentov med domačimi dobavitelji ter subjekti iz Ruske federacije, oz. ki zaradi neobstoja plinskih vozlišč in rafinerij na njihovem teritoriju nad izvorom energentov nimajo nadzora.</w:t>
      </w:r>
    </w:p>
    <w:p w14:paraId="62078566" w14:textId="77777777" w:rsidR="0083368A" w:rsidRPr="0083368A" w:rsidRDefault="0083368A" w:rsidP="0083368A">
      <w:pPr>
        <w:rPr>
          <w:color w:val="000000" w:themeColor="text1"/>
        </w:rPr>
      </w:pPr>
    </w:p>
    <w:p w14:paraId="559574F1" w14:textId="77777777" w:rsidR="0083368A" w:rsidRPr="0083368A" w:rsidRDefault="0083368A" w:rsidP="0083368A">
      <w:pPr>
        <w:rPr>
          <w:color w:val="000000" w:themeColor="text1"/>
        </w:rPr>
      </w:pPr>
      <w:r w:rsidRPr="0083368A">
        <w:rPr>
          <w:color w:val="000000" w:themeColor="text1"/>
        </w:rPr>
        <w:t>Slovenija ob tem poudarja, da je za učinkovito izvajanje ukrepov te uredbe ter v izogib morebitnim pravnim posledicam ukrepov nujna pravna jasnost in robustnost samih ukrepov kot tudi pravnih podlag.</w:t>
      </w:r>
    </w:p>
    <w:p w14:paraId="6F9FD468" w14:textId="61B4280D" w:rsidR="006118A9" w:rsidRPr="0083368A" w:rsidRDefault="0083368A" w:rsidP="0083368A">
      <w:pPr>
        <w:pStyle w:val="Vir"/>
      </w:pPr>
      <w:r w:rsidRPr="0083368A">
        <w:t>Vir: Ministrstvo za okolje, podnebje in energijo</w:t>
      </w:r>
    </w:p>
    <w:p w14:paraId="1F7B802C" w14:textId="77777777" w:rsidR="006118A9" w:rsidRPr="00051123" w:rsidRDefault="006118A9" w:rsidP="00E23209">
      <w:pPr>
        <w:pStyle w:val="Naslov2"/>
      </w:pPr>
      <w:r w:rsidRPr="00337DAA">
        <w:t>Vlada sprejela usmerit</w:t>
      </w:r>
      <w:r>
        <w:t>ve</w:t>
      </w:r>
      <w:r w:rsidRPr="00337DAA">
        <w:t xml:space="preserve"> k </w:t>
      </w:r>
      <w:r>
        <w:t xml:space="preserve">trem </w:t>
      </w:r>
      <w:r w:rsidRPr="00337DAA">
        <w:t>predlog</w:t>
      </w:r>
      <w:r>
        <w:t>om</w:t>
      </w:r>
      <w:r w:rsidRPr="00337DAA">
        <w:t xml:space="preserve"> uredb Evropskega parlamenta </w:t>
      </w:r>
      <w:r>
        <w:t>in Sveta s področja obrambe</w:t>
      </w:r>
    </w:p>
    <w:p w14:paraId="352FEEBA" w14:textId="702FFE46" w:rsidR="006118A9" w:rsidRPr="007F403B" w:rsidRDefault="006118A9" w:rsidP="00E23209">
      <w:r w:rsidRPr="007F403B">
        <w:t xml:space="preserve">Evropska komisija je 17. junija 2025 objavila omnibus zbirko o obrambni pripravljenosti, celovit sveženj, ki narekuje prehod na miselnost obrambne pripravljenosti in omogoča takojšnje povečanje naložb v višini 800 milijard </w:t>
      </w:r>
      <w:r w:rsidR="0074411E">
        <w:t>evrov</w:t>
      </w:r>
      <w:r w:rsidRPr="007F403B">
        <w:t>, ki se pričakujejo v naslednjih štirih letih. Da bi Evropa dosegla obrambno pripravljenost, mora zagotoviti sposobnost držav članic in obrambne industrije, da pridobijo in vzdržujejo vire, zmogljivosti in infrastrukturo, ki so potrebni za učinkovito in prožno odzivanje na krize ter odvračanje groženj z verodostojno pripravljenostjo.</w:t>
      </w:r>
    </w:p>
    <w:p w14:paraId="0AE63050" w14:textId="77777777" w:rsidR="006118A9" w:rsidRPr="007F403B" w:rsidRDefault="006118A9" w:rsidP="00E23209">
      <w:pPr>
        <w:rPr>
          <w:u w:val="single"/>
        </w:rPr>
      </w:pPr>
    </w:p>
    <w:p w14:paraId="3BD81F44" w14:textId="77777777" w:rsidR="006118A9" w:rsidRPr="00337DAA" w:rsidRDefault="006118A9" w:rsidP="00E23209">
      <w:pPr>
        <w:rPr>
          <w:sz w:val="22"/>
          <w:szCs w:val="22"/>
        </w:rPr>
      </w:pPr>
      <w:r w:rsidRPr="007F403B">
        <w:t>Predlog Komisije vključuje razširitev obstoječih določb v obrambni zakonodaji in Evropskem obrambnem skladu ter v zakonodaji, ki se ne nanaša na obrambo, da bi odpravili regulativne ovire ter olajšali obrambno pripravljenost in industrijsko krepitev E</w:t>
      </w:r>
      <w:r>
        <w:t>vropske unije</w:t>
      </w:r>
      <w:r w:rsidRPr="007F403B">
        <w:t xml:space="preserve">. </w:t>
      </w:r>
    </w:p>
    <w:p w14:paraId="6D344200" w14:textId="77777777" w:rsidR="006118A9" w:rsidRDefault="006118A9" w:rsidP="00E23209"/>
    <w:p w14:paraId="08D4F316" w14:textId="74F0322A" w:rsidR="006118A9" w:rsidRDefault="006118A9" w:rsidP="00E23209">
      <w:r>
        <w:t xml:space="preserve">Vsi zakonodajni akti vsebujejo podobne določbe, katerih namen je zmanjšati breme za države članice in industrijo ali jim zagotoviti pomoč pri izpolnjevanju obveznosti, ki so jim naložene z ustreznimi akti, da bi se takšna zakonodaja lažje uporabljala in </w:t>
      </w:r>
      <w:r w:rsidR="00C70746">
        <w:t xml:space="preserve">bi </w:t>
      </w:r>
      <w:r>
        <w:t>bila manj obremenjujoča.</w:t>
      </w:r>
    </w:p>
    <w:p w14:paraId="5DC9CB0A" w14:textId="6B8CC7FB" w:rsidR="007F65BF" w:rsidRDefault="00E23209" w:rsidP="00E23209">
      <w:pPr>
        <w:pStyle w:val="Vir"/>
      </w:pPr>
      <w:r>
        <w:t>Vir: Ministrstvo za obrambo</w:t>
      </w:r>
    </w:p>
    <w:p w14:paraId="7DA68F1C" w14:textId="77777777" w:rsidR="00322209" w:rsidRDefault="008C2851" w:rsidP="00322209">
      <w:pPr>
        <w:pStyle w:val="Naslov2"/>
      </w:pPr>
      <w:r w:rsidRPr="004700C6">
        <w:t>Informacija o nameravanem podpisu Sporazuma med Republiko Slovenijo in Evropsko vesoljsko agencijo</w:t>
      </w:r>
    </w:p>
    <w:p w14:paraId="54885FF2" w14:textId="79CD127D" w:rsidR="008C2851" w:rsidRPr="00322209" w:rsidRDefault="008C2851" w:rsidP="00322209">
      <w:pPr>
        <w:rPr>
          <w:color w:val="A6A6A6" w:themeColor="background1" w:themeShade="A6"/>
        </w:rPr>
      </w:pPr>
      <w:r w:rsidRPr="004700C6">
        <w:lastRenderedPageBreak/>
        <w:t xml:space="preserve">Vlada se je seznanila z informacijo o nameravanem podpisu Sporazuma pogodbenice prosilke med Republiko Slovenijo in Evropsko vesoljsko agencijo </w:t>
      </w:r>
      <w:r>
        <w:t xml:space="preserve">(ESA) </w:t>
      </w:r>
      <w:r w:rsidRPr="004700C6">
        <w:t>za pomoč pri nacionalnih vesoljskih projektih.</w:t>
      </w:r>
    </w:p>
    <w:p w14:paraId="0ED597FD" w14:textId="77777777" w:rsidR="008C2851" w:rsidRDefault="008C2851" w:rsidP="00322209">
      <w:pPr>
        <w:rPr>
          <w:rFonts w:cs="Arial"/>
          <w:b/>
          <w:bCs/>
          <w:szCs w:val="20"/>
        </w:rPr>
      </w:pPr>
    </w:p>
    <w:p w14:paraId="33348CEB" w14:textId="2A3F61F7" w:rsidR="008C2851" w:rsidRDefault="008C2851" w:rsidP="00322209">
      <w:pPr>
        <w:rPr>
          <w:rFonts w:cs="Arial"/>
          <w:bCs/>
        </w:rPr>
      </w:pPr>
      <w:r w:rsidRPr="00A548FA">
        <w:rPr>
          <w:rFonts w:cs="Arial"/>
          <w:lang w:eastAsia="sl-SI"/>
        </w:rPr>
        <w:t>Slovenija sodeluje v javnih razpisih ESE, namenjenih pomoči pri nacionalnih vesoljskih projektih</w:t>
      </w:r>
      <w:r>
        <w:rPr>
          <w:rFonts w:cs="Arial"/>
          <w:lang w:eastAsia="sl-SI"/>
        </w:rPr>
        <w:t xml:space="preserve">, </w:t>
      </w:r>
      <w:r w:rsidRPr="00A548FA">
        <w:rPr>
          <w:rFonts w:cs="Arial"/>
          <w:lang w:eastAsia="sl-SI"/>
        </w:rPr>
        <w:t xml:space="preserve">s ciljem krepitve slovenskega vesoljskega sektorja. </w:t>
      </w:r>
      <w:r>
        <w:rPr>
          <w:rFonts w:cs="Arial"/>
          <w:lang w:eastAsia="sl-SI"/>
        </w:rPr>
        <w:t xml:space="preserve">Leta 2025 je Slovenija postala polnopravna </w:t>
      </w:r>
      <w:r w:rsidRPr="00A548FA">
        <w:rPr>
          <w:rFonts w:cs="Arial"/>
          <w:bCs/>
        </w:rPr>
        <w:t>članica ESE</w:t>
      </w:r>
      <w:r>
        <w:rPr>
          <w:rFonts w:cs="Arial"/>
          <w:bCs/>
        </w:rPr>
        <w:t xml:space="preserve">, s tem pa je pridružitveni sporazum in pravni okvir za izvajanje razpisov iz leta 2020 nehal veljati. Zato je za izvedbo nadaljnjih razpisov z ESO </w:t>
      </w:r>
      <w:r w:rsidR="00DB5FB7">
        <w:rPr>
          <w:rFonts w:cs="Arial"/>
          <w:bCs/>
        </w:rPr>
        <w:t>treba</w:t>
      </w:r>
      <w:r>
        <w:rPr>
          <w:rFonts w:cs="Arial"/>
          <w:bCs/>
        </w:rPr>
        <w:t xml:space="preserve"> skleniti </w:t>
      </w:r>
      <w:r w:rsidRPr="00A548FA">
        <w:rPr>
          <w:rFonts w:cs="Arial"/>
          <w:bCs/>
        </w:rPr>
        <w:t>Sporazum pogodbenice prosilke med Republiko Slovenijo in Evropsko vesoljsko agencijo za pomoč pri nacionalnih vesoljskih projektih</w:t>
      </w:r>
      <w:r>
        <w:rPr>
          <w:rFonts w:cs="Arial"/>
          <w:bCs/>
        </w:rPr>
        <w:t xml:space="preserve">. </w:t>
      </w:r>
      <w:r w:rsidRPr="00A548FA">
        <w:rPr>
          <w:rFonts w:cs="Arial"/>
          <w:lang w:eastAsia="sl-SI"/>
        </w:rPr>
        <w:t>Sporazum določa izvedbeni, vsebinski in finančni okvir za izvajanje javni</w:t>
      </w:r>
      <w:r>
        <w:rPr>
          <w:rFonts w:cs="Arial"/>
          <w:lang w:eastAsia="sl-SI"/>
        </w:rPr>
        <w:t xml:space="preserve">h </w:t>
      </w:r>
      <w:r w:rsidRPr="00A548FA">
        <w:rPr>
          <w:rFonts w:cs="Arial"/>
          <w:lang w:eastAsia="sl-SI"/>
        </w:rPr>
        <w:t>razpisov v zvezi z dejavnost</w:t>
      </w:r>
      <w:r>
        <w:rPr>
          <w:rFonts w:cs="Arial"/>
          <w:lang w:eastAsia="sl-SI"/>
        </w:rPr>
        <w:t>mi</w:t>
      </w:r>
      <w:r w:rsidRPr="00A548FA">
        <w:rPr>
          <w:rFonts w:cs="Arial"/>
          <w:lang w:eastAsia="sl-SI"/>
        </w:rPr>
        <w:t xml:space="preserve"> pogodbenice prosilke</w:t>
      </w:r>
      <w:r>
        <w:rPr>
          <w:rFonts w:cs="Arial"/>
          <w:lang w:eastAsia="sl-SI"/>
        </w:rPr>
        <w:t>.</w:t>
      </w:r>
      <w:r w:rsidRPr="00BB4735">
        <w:rPr>
          <w:rFonts w:cs="Arial"/>
          <w:bCs/>
        </w:rPr>
        <w:t xml:space="preserve"> </w:t>
      </w:r>
      <w:r w:rsidRPr="00A548FA">
        <w:rPr>
          <w:rFonts w:cs="Arial"/>
          <w:bCs/>
        </w:rPr>
        <w:t xml:space="preserve">Slovenija je nadaljevanje teh razpisov predvidela tudi v okviru polnopravnega članstva. </w:t>
      </w:r>
    </w:p>
    <w:p w14:paraId="020EDC35" w14:textId="77777777" w:rsidR="008C2851" w:rsidRDefault="008C2851" w:rsidP="00322209">
      <w:pPr>
        <w:rPr>
          <w:rFonts w:cs="Arial"/>
          <w:bCs/>
        </w:rPr>
      </w:pPr>
    </w:p>
    <w:p w14:paraId="0F227FA6" w14:textId="77777777" w:rsidR="008C2851" w:rsidRPr="005B1E8B" w:rsidRDefault="008C2851" w:rsidP="00322209">
      <w:pPr>
        <w:rPr>
          <w:rFonts w:cs="Arial"/>
          <w:bCs/>
        </w:rPr>
      </w:pPr>
      <w:r>
        <w:rPr>
          <w:rFonts w:cs="Arial"/>
          <w:bCs/>
        </w:rPr>
        <w:t>Ti r</w:t>
      </w:r>
      <w:r w:rsidRPr="005B1E8B">
        <w:rPr>
          <w:rFonts w:cs="Arial"/>
          <w:bCs/>
        </w:rPr>
        <w:t xml:space="preserve">azpisi so namenjeni samo podjetjem ter akademskim in raziskovalnim organizacijam s sedežem v Sloveniji. Namen razpisov je krepitev slovenskega vesoljskega sektorja in spodbujanje vključitve obstoječih ter novih podjetij in organizacij, ki še niso aktivni na področju vesoljskih tehnologij. S tem se krepi slovenski vesoljski sektor in omogoča doseganje dolgoročnih ciljev na področju vesolja. Slovenija je do sedaj izvedla pet </w:t>
      </w:r>
      <w:r>
        <w:rPr>
          <w:rFonts w:cs="Arial"/>
          <w:bCs/>
        </w:rPr>
        <w:t>tovrstnih</w:t>
      </w:r>
      <w:r w:rsidRPr="005B1E8B">
        <w:rPr>
          <w:rFonts w:cs="Arial"/>
          <w:bCs/>
        </w:rPr>
        <w:t xml:space="preserve"> razpisov, zadnjega junija 2024.  </w:t>
      </w:r>
    </w:p>
    <w:p w14:paraId="3987C518" w14:textId="77777777" w:rsidR="008C2851" w:rsidRDefault="008C2851" w:rsidP="00322209">
      <w:pPr>
        <w:rPr>
          <w:rFonts w:cs="Arial"/>
          <w:lang w:eastAsia="sl-SI"/>
        </w:rPr>
      </w:pPr>
    </w:p>
    <w:p w14:paraId="28A106A2" w14:textId="77777777" w:rsidR="008C2851" w:rsidRDefault="008C2851" w:rsidP="00322209">
      <w:pPr>
        <w:rPr>
          <w:rFonts w:cs="Arial"/>
          <w:lang w:eastAsia="sl-SI"/>
        </w:rPr>
      </w:pPr>
      <w:r>
        <w:rPr>
          <w:rFonts w:cs="Arial"/>
          <w:lang w:eastAsia="sl-SI"/>
        </w:rPr>
        <w:t>Podpis sporazuma je možen po potrditvi</w:t>
      </w:r>
      <w:r w:rsidRPr="00A548FA">
        <w:rPr>
          <w:rFonts w:cs="Arial"/>
          <w:lang w:eastAsia="sl-SI"/>
        </w:rPr>
        <w:t xml:space="preserve"> </w:t>
      </w:r>
      <w:r>
        <w:rPr>
          <w:rFonts w:cs="Arial"/>
          <w:lang w:eastAsia="sl-SI"/>
        </w:rPr>
        <w:t>s</w:t>
      </w:r>
      <w:r w:rsidRPr="00A548FA">
        <w:rPr>
          <w:rFonts w:cs="Arial"/>
          <w:lang w:eastAsia="sl-SI"/>
        </w:rPr>
        <w:t xml:space="preserve">porazuma s strani </w:t>
      </w:r>
      <w:r>
        <w:rPr>
          <w:rFonts w:cs="Arial"/>
          <w:lang w:eastAsia="sl-SI"/>
        </w:rPr>
        <w:t>v</w:t>
      </w:r>
      <w:r w:rsidRPr="00A548FA">
        <w:rPr>
          <w:rFonts w:cs="Arial"/>
          <w:lang w:eastAsia="sl-SI"/>
        </w:rPr>
        <w:t>lade</w:t>
      </w:r>
      <w:r>
        <w:rPr>
          <w:rFonts w:cs="Arial"/>
          <w:lang w:eastAsia="sl-SI"/>
        </w:rPr>
        <w:t>. Sporazum bo sklenjen za pet let, z možnostjo podaljšanja.</w:t>
      </w:r>
      <w:r w:rsidRPr="00A548FA">
        <w:rPr>
          <w:rFonts w:cs="Arial"/>
          <w:lang w:eastAsia="sl-SI"/>
        </w:rPr>
        <w:t xml:space="preserve"> </w:t>
      </w:r>
    </w:p>
    <w:p w14:paraId="43018C43" w14:textId="53930198" w:rsidR="007F65BF" w:rsidRDefault="008C2851" w:rsidP="00D55DE7">
      <w:pPr>
        <w:pStyle w:val="Vir"/>
      </w:pPr>
      <w:r>
        <w:t>Vir: Ministrstvo za gospodarstvo, turizem in šport</w:t>
      </w:r>
    </w:p>
    <w:p w14:paraId="38B402B7" w14:textId="77777777" w:rsidR="00002C26" w:rsidRDefault="00002C26" w:rsidP="00DB5FB7">
      <w:pPr>
        <w:pStyle w:val="Naslov2"/>
        <w:rPr>
          <w:lang w:eastAsia="sl-SI"/>
        </w:rPr>
      </w:pPr>
      <w:r>
        <w:rPr>
          <w:lang w:eastAsia="sl-SI"/>
        </w:rPr>
        <w:t>Dogovor</w:t>
      </w:r>
      <w:r w:rsidRPr="00985C57">
        <w:rPr>
          <w:lang w:eastAsia="sl-SI"/>
        </w:rPr>
        <w:t xml:space="preserve"> o podaljšanju uporabe memoranduma o soglasju o odstranjevanju min v Bosni in Hercegovini v okviru Ustanove za krepitev človekove varnosti (ITF</w:t>
      </w:r>
      <w:r>
        <w:rPr>
          <w:lang w:eastAsia="sl-SI"/>
        </w:rPr>
        <w:t>)</w:t>
      </w:r>
    </w:p>
    <w:p w14:paraId="59281B67" w14:textId="0D0F1D14" w:rsidR="00002C26" w:rsidRDefault="00002C26" w:rsidP="00DB5FB7">
      <w:pPr>
        <w:rPr>
          <w:lang w:eastAsia="sl-SI"/>
        </w:rPr>
      </w:pPr>
      <w:r w:rsidRPr="00985C57">
        <w:rPr>
          <w:lang w:eastAsia="sl-SI"/>
        </w:rPr>
        <w:t xml:space="preserve">Vlada se je seznanila z </w:t>
      </w:r>
      <w:r w:rsidR="008F14BB">
        <w:rPr>
          <w:lang w:eastAsia="sl-SI"/>
        </w:rPr>
        <w:t>i</w:t>
      </w:r>
      <w:r w:rsidRPr="00985C57">
        <w:rPr>
          <w:lang w:eastAsia="sl-SI"/>
        </w:rPr>
        <w:t>nformacijo o sklenitvi Dogovora med Ministrstvom za zunanje in evropske zadeve Republike Slovenije in Ministrstvom za zunanje zadeve Bosne in Hercegovine o podaljšanju uporabe memoranduma o soglasju o odstranjevanju min v Bosni in Hercegovini v okviru Ustanove za krepitev človekove varnosti (ITF), podpisanega v Sarajevu 11. decembra 1998.</w:t>
      </w:r>
    </w:p>
    <w:p w14:paraId="72B02C56" w14:textId="77777777" w:rsidR="00002C26" w:rsidRDefault="00002C26" w:rsidP="00DB5FB7">
      <w:pPr>
        <w:rPr>
          <w:rFonts w:eastAsia="Calibri"/>
          <w:lang w:eastAsia="sl-SI"/>
        </w:rPr>
      </w:pPr>
      <w:r w:rsidRPr="00985C57">
        <w:rPr>
          <w:rFonts w:eastAsia="Calibri"/>
          <w:lang w:eastAsia="sl-SI"/>
        </w:rPr>
        <w:t>Uporaba memoranduma je podaljšana do 9. 6. 2027</w:t>
      </w:r>
    </w:p>
    <w:p w14:paraId="56E9C099" w14:textId="5F6159B5" w:rsidR="007F65BF" w:rsidRPr="00DB5FB7" w:rsidRDefault="00002C26" w:rsidP="00DB5FB7">
      <w:pPr>
        <w:pStyle w:val="Vir"/>
        <w:rPr>
          <w:rFonts w:eastAsia="Calibri"/>
          <w:lang w:eastAsia="sl-SI"/>
        </w:rPr>
      </w:pPr>
      <w:r w:rsidRPr="00CD3830">
        <w:rPr>
          <w:rFonts w:eastAsia="Calibri"/>
          <w:lang w:eastAsia="sl-SI"/>
        </w:rPr>
        <w:t>Vir: Ministrstvo za zunanje in evropske zadeve</w:t>
      </w:r>
    </w:p>
    <w:p w14:paraId="607DE482" w14:textId="77777777" w:rsidR="00E75C86" w:rsidRPr="00ED7AC7" w:rsidRDefault="00E75C86" w:rsidP="00E75C86">
      <w:pPr>
        <w:spacing w:line="240" w:lineRule="auto"/>
        <w:jc w:val="both"/>
        <w:rPr>
          <w:b/>
          <w:iCs/>
          <w:sz w:val="22"/>
          <w:szCs w:val="22"/>
          <w:lang w:eastAsia="sl-SI"/>
        </w:rPr>
      </w:pPr>
      <w:r w:rsidRPr="00ED7AC7">
        <w:rPr>
          <w:b/>
          <w:iCs/>
          <w:sz w:val="22"/>
          <w:szCs w:val="22"/>
          <w:lang w:eastAsia="sl-SI"/>
        </w:rPr>
        <w:t>V</w:t>
      </w:r>
      <w:r w:rsidRPr="002328D2">
        <w:rPr>
          <w:rStyle w:val="Naslov2Znak"/>
        </w:rPr>
        <w:t>lada seznanjena z namero sodelovanja Švedske in Francije v mednarodni šoli SHAPE</w:t>
      </w:r>
    </w:p>
    <w:p w14:paraId="58B42A1D" w14:textId="77777777" w:rsidR="00E75C86" w:rsidRPr="00ED7AC7" w:rsidRDefault="00E75C86" w:rsidP="00E75C86">
      <w:pPr>
        <w:spacing w:line="240" w:lineRule="auto"/>
        <w:jc w:val="both"/>
        <w:rPr>
          <w:b/>
          <w:iCs/>
          <w:sz w:val="22"/>
          <w:szCs w:val="22"/>
          <w:lang w:eastAsia="sl-SI"/>
        </w:rPr>
      </w:pPr>
    </w:p>
    <w:p w14:paraId="12C0810A" w14:textId="56D41706" w:rsidR="00E75C86" w:rsidRPr="00ED7AC7" w:rsidRDefault="00E75C86" w:rsidP="002328D2">
      <w:pPr>
        <w:rPr>
          <w:lang w:eastAsia="sl-SI"/>
        </w:rPr>
      </w:pPr>
      <w:r w:rsidRPr="00ED7AC7">
        <w:rPr>
          <w:lang w:eastAsia="sl-SI"/>
        </w:rPr>
        <w:t>Vlada se je seznanila z Informacijo o nameravanem podpisu Note o pristopu za Ministrstvo za obrambo Kraljevine Švedske k sodelovanju pri Memorandumu o soglasju o organiziranosti, upravljanju in financiranju mednarodne šole SHAPE in Note o pristopu za Ministra za obrambo Francoske republike k sodelovanju pri Memorandumu o soglasju o organiziranosti, upravljanju in financiranju mednarodne šole SHAPE.</w:t>
      </w:r>
    </w:p>
    <w:p w14:paraId="7E2322B0" w14:textId="77777777" w:rsidR="00E75C86" w:rsidRPr="00ED7AC7" w:rsidRDefault="00E75C86" w:rsidP="002328D2"/>
    <w:p w14:paraId="24F6B3C6" w14:textId="77777777" w:rsidR="00E75C86" w:rsidRDefault="00E75C86" w:rsidP="002328D2">
      <w:pPr>
        <w:rPr>
          <w:lang w:eastAsia="sl-SI"/>
        </w:rPr>
      </w:pPr>
      <w:r w:rsidRPr="00ED7AC7">
        <w:rPr>
          <w:lang w:eastAsia="sl-SI"/>
        </w:rPr>
        <w:t>Memorandum</w:t>
      </w:r>
      <w:r w:rsidRPr="00ED7AC7">
        <w:t xml:space="preserve"> </w:t>
      </w:r>
      <w:r w:rsidRPr="00ED7AC7">
        <w:rPr>
          <w:lang w:eastAsia="sl-SI"/>
        </w:rPr>
        <w:t xml:space="preserve">o soglasju o organiziranosti, upravljanju in financiranju mednarodne šole SHAPE (SIS) je bil 13. februarja 2023 sklenjen med posameznimi državami članicami Nata in Vrhovnim poveljstvom zavezniških sil v Evropi (SHAPE), slovenska stran je memorandum podpisala 3. marca 2021. Memorandum opredeljuje delovanje in financiranje mednarodne šole, namenjene šoloobveznim otrokom pripadnikov držav članic Nata v SHAPE, podrobneje pa ureja medsebojne obveznosti udeležencev za zagotavljanje materialnih pogojev za delovanje šole, njihovo sodelovanje v odboru šole, pogoje sprejema v šolo in način financiranja. </w:t>
      </w:r>
    </w:p>
    <w:p w14:paraId="275B73E5" w14:textId="77777777" w:rsidR="00E75C86" w:rsidRPr="00ED7AC7" w:rsidRDefault="00E75C86" w:rsidP="002328D2">
      <w:pPr>
        <w:rPr>
          <w:lang w:eastAsia="sl-SI"/>
        </w:rPr>
      </w:pPr>
    </w:p>
    <w:p w14:paraId="7A79DE2C" w14:textId="77777777" w:rsidR="00E75C86" w:rsidRPr="00ED7AC7" w:rsidRDefault="00E75C86" w:rsidP="002328D2">
      <w:pPr>
        <w:rPr>
          <w:lang w:eastAsia="sl-SI"/>
        </w:rPr>
      </w:pPr>
      <w:r w:rsidRPr="00ED7AC7">
        <w:rPr>
          <w:bCs/>
        </w:rPr>
        <w:lastRenderedPageBreak/>
        <w:t>Francija je strateška partnerica Republike Slovenije in se postopoma vrača k vsem aktivnostim v Nato, Švedska pa kot nova članica vstopa v vse segmente Nata.</w:t>
      </w:r>
      <w:r w:rsidRPr="00ED7AC7">
        <w:t xml:space="preserve"> Noti o pristopu začneta učinkovati, ko jo kot zadnji podpisnik podpiše predstavnik SHAPE.</w:t>
      </w:r>
    </w:p>
    <w:p w14:paraId="68600EB2" w14:textId="77777777" w:rsidR="00FD13BC" w:rsidRDefault="00FD13BC" w:rsidP="002328D2">
      <w:pPr>
        <w:rPr>
          <w:bCs/>
        </w:rPr>
      </w:pPr>
    </w:p>
    <w:p w14:paraId="304D30DA" w14:textId="218437DE" w:rsidR="00E75C86" w:rsidRPr="00ED7AC7" w:rsidRDefault="00E75C86" w:rsidP="002328D2">
      <w:pPr>
        <w:rPr>
          <w:bCs/>
        </w:rPr>
      </w:pPr>
      <w:r w:rsidRPr="00ED7AC7">
        <w:rPr>
          <w:bCs/>
        </w:rPr>
        <w:t>Za slovensko stran podpis note o pristopu nima finančnih posledic.</w:t>
      </w:r>
    </w:p>
    <w:p w14:paraId="3A1B07AE" w14:textId="3BAD7D26" w:rsidR="007F65BF" w:rsidRDefault="00FD13BC" w:rsidP="00EA5734">
      <w:pPr>
        <w:pStyle w:val="Vir"/>
      </w:pPr>
      <w:r>
        <w:t>Vir</w:t>
      </w:r>
      <w:r w:rsidR="00EA5734">
        <w:t>: Ministrstvo za obrambo</w:t>
      </w:r>
    </w:p>
    <w:p w14:paraId="5CD9CAAF" w14:textId="16ABD89E" w:rsidR="009373C8" w:rsidRDefault="009373C8" w:rsidP="009373C8">
      <w:pPr>
        <w:pStyle w:val="Naslov2"/>
      </w:pPr>
      <w:r>
        <w:t>Seznanitev vlade z desetim nacionalnim poročilom po Konvenciji o jedrski varnosti</w:t>
      </w:r>
    </w:p>
    <w:p w14:paraId="2C873214" w14:textId="77777777" w:rsidR="009373C8" w:rsidRDefault="009373C8" w:rsidP="009373C8">
      <w:r>
        <w:t>Vlada Republike Slovenije je na današnji seji seznanila z deseto nacionalno poročilo po Konvenciji o jedrski varnosti, ki zajema obdobje od leta 2022 do 2024.</w:t>
      </w:r>
    </w:p>
    <w:p w14:paraId="5998EC7A" w14:textId="77777777" w:rsidR="009373C8" w:rsidRDefault="009373C8" w:rsidP="009373C8"/>
    <w:p w14:paraId="5AB4DB89" w14:textId="77777777" w:rsidR="009373C8" w:rsidRDefault="009373C8" w:rsidP="009373C8">
      <w:r>
        <w:t>Poročilo je osredotočeno na opis jedrske varnosti Nuklearne elektrarne Krško, za katero Uprava Republike Slovenije za jedrsko varnost (URSJV) ocenjuje, da je v obravnavanem obdobju obratovala varno. Oktobra 2023 je sicer prišlo do puščanja na cevovodu sistema za varnostno vbrizgavanje, kar je povzročilo 43-dnevno načrtovano zaustavitev, vendar varnost obratovanja ob tem ni bila ogrožena.</w:t>
      </w:r>
    </w:p>
    <w:p w14:paraId="67570117" w14:textId="77777777" w:rsidR="009373C8" w:rsidRDefault="009373C8" w:rsidP="009373C8"/>
    <w:p w14:paraId="0FD1C5E5" w14:textId="77777777" w:rsidR="009373C8" w:rsidRDefault="009373C8" w:rsidP="009373C8">
      <w:r>
        <w:t>V obdobju poročanja je bila zaključena vrsta pomembnih projektov:</w:t>
      </w:r>
    </w:p>
    <w:p w14:paraId="7DA1A34D" w14:textId="33B5FC45" w:rsidR="009373C8" w:rsidRDefault="009373C8" w:rsidP="009373C8">
      <w:pPr>
        <w:pStyle w:val="Odstavekseznama"/>
        <w:numPr>
          <w:ilvl w:val="0"/>
          <w:numId w:val="36"/>
        </w:numPr>
      </w:pPr>
      <w:r>
        <w:t>prehod elektrarne v obdobje dolgoročnega obratovanja (LTO) do leta 2043,</w:t>
      </w:r>
    </w:p>
    <w:p w14:paraId="3D02BB42" w14:textId="68385A6A" w:rsidR="009373C8" w:rsidRDefault="009373C8" w:rsidP="009373C8">
      <w:pPr>
        <w:pStyle w:val="Odstavekseznama"/>
        <w:numPr>
          <w:ilvl w:val="0"/>
          <w:numId w:val="36"/>
        </w:numPr>
      </w:pPr>
      <w:r>
        <w:t>uspešen tretji Občasni varnostni pregled (PSR),</w:t>
      </w:r>
    </w:p>
    <w:p w14:paraId="2CD6973D" w14:textId="61930492" w:rsidR="009373C8" w:rsidRDefault="009373C8" w:rsidP="009373C8">
      <w:pPr>
        <w:pStyle w:val="Odstavekseznama"/>
        <w:numPr>
          <w:ilvl w:val="0"/>
          <w:numId w:val="36"/>
        </w:numPr>
      </w:pPr>
      <w:r>
        <w:t>pridobitev okoljevarstvenega soglasja na podlagi čezmejne presoje vplivov na okolje,</w:t>
      </w:r>
    </w:p>
    <w:p w14:paraId="3F74C4D8" w14:textId="1E498E1B" w:rsidR="009373C8" w:rsidRDefault="009373C8" w:rsidP="009373C8">
      <w:pPr>
        <w:pStyle w:val="Odstavekseznama"/>
        <w:numPr>
          <w:ilvl w:val="0"/>
          <w:numId w:val="36"/>
        </w:numPr>
      </w:pPr>
      <w:r>
        <w:t>izgradnja suhega skladišča za izrabljeno gorivo (SFDS), v katerega je bil avgusta 2023 prenesen prvi komplet izrabljenih gorivnih elementov,</w:t>
      </w:r>
    </w:p>
    <w:p w14:paraId="7DB06975" w14:textId="6D2D0E2D" w:rsidR="009373C8" w:rsidRDefault="009373C8" w:rsidP="009373C8">
      <w:pPr>
        <w:pStyle w:val="Odstavekseznama"/>
        <w:numPr>
          <w:ilvl w:val="0"/>
          <w:numId w:val="36"/>
        </w:numPr>
      </w:pPr>
      <w:r>
        <w:t>zaključek izgradnje odlagališča nizko- in srednjeradioaktivnih odpadkov.</w:t>
      </w:r>
    </w:p>
    <w:p w14:paraId="73CAA948" w14:textId="77777777" w:rsidR="009373C8" w:rsidRDefault="009373C8" w:rsidP="009373C8">
      <w:r>
        <w:t>Leta 2024 je bila sprejeta tudi Resolucija o dolgoročni miroljubni rabi jedrske energije, ki podpira načrtovani projekt nove jedrske elektrarne JEK2 ter nadaljnje preučevanje možnosti izgradnje malih modularnih reaktorjev (SMR).</w:t>
      </w:r>
    </w:p>
    <w:p w14:paraId="40CD320E" w14:textId="77777777" w:rsidR="009373C8" w:rsidRDefault="009373C8" w:rsidP="009373C8"/>
    <w:p w14:paraId="1B062984" w14:textId="77777777" w:rsidR="009373C8" w:rsidRDefault="009373C8" w:rsidP="009373C8">
      <w:r>
        <w:t>Poročilo posebej izpostavlja dva izziva, ki ju je Slovenija poudarila že na prejšnjem pregledovalnem sestanku pogodbenic:</w:t>
      </w:r>
    </w:p>
    <w:p w14:paraId="56736C0B" w14:textId="4176477F" w:rsidR="009373C8" w:rsidRDefault="009373C8" w:rsidP="009373C8">
      <w:pPr>
        <w:pStyle w:val="Odstavekseznama"/>
        <w:numPr>
          <w:ilvl w:val="0"/>
          <w:numId w:val="37"/>
        </w:numPr>
      </w:pPr>
      <w:r>
        <w:t>potreba po dolgoročni krepitvi kadrovskih virov za jedrski program,</w:t>
      </w:r>
    </w:p>
    <w:p w14:paraId="2504B997" w14:textId="713BAED4" w:rsidR="009373C8" w:rsidRDefault="009373C8" w:rsidP="009373C8">
      <w:pPr>
        <w:pStyle w:val="Odstavekseznama"/>
        <w:numPr>
          <w:ilvl w:val="0"/>
          <w:numId w:val="37"/>
        </w:numPr>
      </w:pPr>
      <w:r>
        <w:t>pravočasna posodobitev regulativnega okvira za nove tehnologije.</w:t>
      </w:r>
    </w:p>
    <w:p w14:paraId="4150964B" w14:textId="77777777" w:rsidR="009373C8" w:rsidRDefault="009373C8" w:rsidP="009373C8">
      <w:r>
        <w:t>Deseto nacionalno poročilo obsega tudi druga področja, pomembna za zagotavljanje jedrske varnosti: učinkovito javno komuniciranje, stabilno financiranje, sodoben upravni okvir z zakonodajo, zmanjševanje sevalne obremenitve, pripravljenost na izredne dogodke, preverjanje varnosti, nadzor projektiranja ter obvladovanje resnih nesreč.</w:t>
      </w:r>
    </w:p>
    <w:p w14:paraId="14A1998B" w14:textId="4BA29D2D" w:rsidR="009373C8" w:rsidRPr="009373C8" w:rsidRDefault="009373C8" w:rsidP="009373C8">
      <w:pPr>
        <w:pStyle w:val="Vir"/>
      </w:pPr>
      <w:r>
        <w:t>Vir: Ministrstvo za naravne vire in prostor</w:t>
      </w:r>
    </w:p>
    <w:p w14:paraId="0915F7F1" w14:textId="0E1A960F" w:rsidR="007F65BF" w:rsidRPr="007F65BF" w:rsidRDefault="007F65BF" w:rsidP="00636DE1">
      <w:pPr>
        <w:pStyle w:val="Naslov2"/>
      </w:pPr>
      <w:r w:rsidRPr="007F65BF">
        <w:t>Vlada ne podpira državnega dneva spomina na žrtve komunističnega nasilja</w:t>
      </w:r>
    </w:p>
    <w:p w14:paraId="5D137E18" w14:textId="48F8C069" w:rsidR="007F65BF" w:rsidRPr="007F65BF" w:rsidRDefault="007F65BF" w:rsidP="00636DE1">
      <w:r w:rsidRPr="007F65BF">
        <w:t xml:space="preserve">Vlada je sprejela Mnenje o Predlogu zakona o dopolnitvi Zakona o praznikih in dela prostih dnevih v Republiki Sloveniji, ki ga je Državnemu zboru predložila skupina poslank in poslancev (prvopodpisani Janez Cigler Kralj), in ga pošlje Državnemu zboru Republike Slovenije. </w:t>
      </w:r>
    </w:p>
    <w:p w14:paraId="4FD940A6" w14:textId="77777777" w:rsidR="007F65BF" w:rsidRPr="007F65BF" w:rsidRDefault="007F65BF" w:rsidP="00636DE1"/>
    <w:p w14:paraId="5C9209A7" w14:textId="77777777" w:rsidR="007F65BF" w:rsidRPr="007F65BF" w:rsidRDefault="007F65BF" w:rsidP="00636DE1">
      <w:r w:rsidRPr="007F65BF">
        <w:t>Skupina poslank in poslancev predlaga, da se doda nov člen, ki v zakon vnaša nov institut - poseben spominski dan, poimenovan »državni dan spomina na žrtve komunističnega nasilja«, ki bi se obeleževal vsako leto 17. maja in ne bi bil dela prost dan.</w:t>
      </w:r>
    </w:p>
    <w:p w14:paraId="313FF710" w14:textId="77777777" w:rsidR="00636DE1" w:rsidRDefault="00636DE1" w:rsidP="00636DE1"/>
    <w:p w14:paraId="69893457" w14:textId="51D4FB9F" w:rsidR="007F65BF" w:rsidRPr="007F65BF" w:rsidRDefault="007F65BF" w:rsidP="00636DE1">
      <w:r w:rsidRPr="007F65BF">
        <w:t xml:space="preserve">Predlog zakona ne predvideva novega praznika ali dela prostega dne, ampak v Zakon o praznikih in dela prostih dnevih v Republiki Sloveniji vnaša nov institut, saj je predlagan nov člen, ki se nanaša na </w:t>
      </w:r>
      <w:r w:rsidRPr="007F65BF">
        <w:lastRenderedPageBreak/>
        <w:t xml:space="preserve">obeleževanje spominskega dne, kar bi bilo primernejše urejati z ustreznim sklepom vlade, upoštevaje predhodno javno in strokovno razpravo ter odnos naših državljanov glede vsebine in datuma, ki mu je treba dati posebno obeležje, pri čemer </w:t>
      </w:r>
      <w:r w:rsidR="00636DE1">
        <w:t>vlada</w:t>
      </w:r>
      <w:r w:rsidRPr="007F65BF">
        <w:t xml:space="preserve"> tudi ugotavlja, da v Republiki Sloveniji ne obeležujemo dneva spomina na žrtve fašizma in nacizma.</w:t>
      </w:r>
    </w:p>
    <w:p w14:paraId="2EC62DED" w14:textId="77777777" w:rsidR="00636DE1" w:rsidRDefault="00636DE1" w:rsidP="00636DE1"/>
    <w:p w14:paraId="4FA9E44B" w14:textId="41D4640C" w:rsidR="007F65BF" w:rsidRPr="007F65BF" w:rsidRDefault="007F65BF" w:rsidP="00636DE1">
      <w:r w:rsidRPr="007F65BF">
        <w:t>Vlada predlagano dopolnitev Zakona o praznikih in dela prostih dnevih v Republiki Sloveniji ne podpira in meni, da ni primeren za nadaljnjo obravnavo.</w:t>
      </w:r>
    </w:p>
    <w:p w14:paraId="57890676" w14:textId="182CF0F3" w:rsidR="007F65BF" w:rsidRPr="00C138BF" w:rsidRDefault="007F65BF" w:rsidP="00D55DE7">
      <w:pPr>
        <w:pStyle w:val="Vir"/>
        <w:rPr>
          <w:color w:val="000000" w:themeColor="text1"/>
        </w:rPr>
      </w:pPr>
      <w:r w:rsidRPr="00C138BF">
        <w:rPr>
          <w:color w:val="000000" w:themeColor="text1"/>
        </w:rPr>
        <w:t>Vir: Ministrstvo za delo, družino, socialne zadeve in enake možnosti</w:t>
      </w:r>
    </w:p>
    <w:p w14:paraId="22FE6E52" w14:textId="77777777" w:rsidR="00C138BF" w:rsidRPr="00C138BF" w:rsidRDefault="00C138BF" w:rsidP="00C138BF">
      <w:pPr>
        <w:pStyle w:val="Naslov2"/>
      </w:pPr>
      <w:r w:rsidRPr="00C138BF">
        <w:t xml:space="preserve">Odgovor na sprejeti sklep Odbora Državnega zbora za infrastrukturo, okolje in prostor ob obravnavi točke »Prihodnost vodne energije v Sloveniji«  </w:t>
      </w:r>
    </w:p>
    <w:p w14:paraId="747E9BAD" w14:textId="6740AE10" w:rsidR="00676418" w:rsidRDefault="00676418" w:rsidP="00676418">
      <w:pPr>
        <w:pStyle w:val="Vir"/>
      </w:pPr>
      <w:r>
        <w:t>Vlada je sprejela Odgovor na sprejeti sklep Odbora Državnega zbora za infrastrukturo, okolje in prostor ob obravnavi točke »Prihodnost vodne energije v Sloveniji«, ki vlado poziva, da pospeši postopke, ki bodo pripomogli k izgradnji HE Mokrice, in vsake tri mesece poroča pristojnemu odboru Državnega zbora.</w:t>
      </w:r>
    </w:p>
    <w:p w14:paraId="5099FA1D" w14:textId="2A320CB6" w:rsidR="00676418" w:rsidRDefault="00676418" w:rsidP="00676418">
      <w:pPr>
        <w:pStyle w:val="Vir"/>
      </w:pPr>
      <w:r>
        <w:t xml:space="preserve">V odgovoru, ki obravnava ukrepanje v obdobju med 1. aprilom 2025 in 30. junijem 2025 je pojasnjeno, da je Ministrstvo za okolje, podnebje in energijo v ponovnem postopku prevlade javne koristi energetike - obnovljivih virov energije nad javno koristjo ohranjanja narave, v zvezi z integralnim postopkom izdaje gradbenega dovoljenja za objekt HE Mokrice, pridobilo strokovna mnenja institucij in stranskih udeležencev na dopolnjeno dokumentacijo presoje vplivov na okolje (PVO) ter dopolnjen dodatek za presojo sprejemljivosti vplivov na varovana območja. </w:t>
      </w:r>
    </w:p>
    <w:p w14:paraId="3D9EC8AF" w14:textId="77777777" w:rsidR="00676418" w:rsidRDefault="00676418" w:rsidP="00676418">
      <w:pPr>
        <w:pStyle w:val="Vir"/>
      </w:pPr>
      <w:r>
        <w:t>Ministrstvo za okolje, podnebje in energijo dokumentacijo vzporedno pregleduje. Pri tem je ugotovilo, da sta Zavod za varstvo narave in Zavod za ribištvo podala deloma različna mnenja, zato bo v nadaljevanju postopka treba vključiti neodvisnega izvedenca, ki bo strokovno presodil ustreznost predložene dokumentacije. Ministrstvo za naravne vire in prostor je v obdobju poročanja pripravljalo tudi Uredbo o podrobnejših pogojih za ugotavljanje izjem pri doseganju ciljev s področja stanja voda pri posegih v vode, ki jo je Vlada Republike Slovenije sprejela julija 2025.</w:t>
      </w:r>
    </w:p>
    <w:p w14:paraId="7473F1D1" w14:textId="2EA2FBB3" w:rsidR="007F7644" w:rsidRPr="00C138BF" w:rsidRDefault="00C138BF" w:rsidP="00676418">
      <w:pPr>
        <w:pStyle w:val="Vir"/>
      </w:pPr>
      <w:r w:rsidRPr="00C138BF">
        <w:t>Vir: Ministrstvo za okolje, podnebje in energijo</w:t>
      </w:r>
    </w:p>
    <w:p w14:paraId="6C8F361D" w14:textId="77777777" w:rsidR="007F7644" w:rsidRPr="007F7644" w:rsidRDefault="007F7644" w:rsidP="007F7644">
      <w:pPr>
        <w:pStyle w:val="Naslov2"/>
      </w:pPr>
      <w:r w:rsidRPr="007F7644">
        <w:t>Vlada sprejela odgovor na pisno poslansko vprašanje poslanca Jožeta Tanka v zvezi s prodajo nepremičnin na javnih dražbah</w:t>
      </w:r>
    </w:p>
    <w:p w14:paraId="4057B623" w14:textId="77777777" w:rsidR="007F7644" w:rsidRPr="007F7644" w:rsidRDefault="007F7644" w:rsidP="007F7644">
      <w:pPr>
        <w:rPr>
          <w:color w:val="000000" w:themeColor="text1"/>
        </w:rPr>
      </w:pPr>
      <w:r w:rsidRPr="007F7644">
        <w:rPr>
          <w:color w:val="000000" w:themeColor="text1"/>
        </w:rPr>
        <w:t>Vlada Republike Slovenije je sprejela odgovor na pisno poslansko vprašanje poslanca Jožeta Tanka v zvezi s prodajo nepremičnin na javnih dražbah in ga posreduje Državnemu zboru Republike Slovenije.</w:t>
      </w:r>
    </w:p>
    <w:p w14:paraId="7FF33BDF" w14:textId="77777777" w:rsidR="007F7644" w:rsidRPr="007F7644" w:rsidRDefault="007F7644" w:rsidP="007F7644">
      <w:pPr>
        <w:rPr>
          <w:color w:val="000000" w:themeColor="text1"/>
        </w:rPr>
      </w:pPr>
    </w:p>
    <w:p w14:paraId="314CCE14" w14:textId="77777777" w:rsidR="007F7644" w:rsidRPr="007F7644" w:rsidRDefault="007F7644" w:rsidP="007F7644">
      <w:pPr>
        <w:rPr>
          <w:color w:val="000000" w:themeColor="text1"/>
        </w:rPr>
      </w:pPr>
      <w:r w:rsidRPr="007F7644">
        <w:rPr>
          <w:color w:val="000000" w:themeColor="text1"/>
        </w:rPr>
        <w:t xml:space="preserve">Poslanec Jože Tanko je na Vlado Republike Slovenije naslovil pisno poslansko vprašanje v zvezi s prodajo nepremičnin na javnih dražbah in sicer v zvezi s primeri, ko je bila nepremičnina dolžnika v postopku prodaje zaradi poplačila sorazmerno nizke terjatve upnika. </w:t>
      </w:r>
    </w:p>
    <w:p w14:paraId="6A8A96AD" w14:textId="77777777" w:rsidR="007F7644" w:rsidRPr="007F7644" w:rsidRDefault="007F7644" w:rsidP="007F7644">
      <w:pPr>
        <w:rPr>
          <w:color w:val="000000" w:themeColor="text1"/>
        </w:rPr>
      </w:pPr>
    </w:p>
    <w:p w14:paraId="61C35AA4" w14:textId="07090205" w:rsidR="007F7644" w:rsidRPr="007F7644" w:rsidRDefault="007F7644" w:rsidP="007F7644">
      <w:pPr>
        <w:rPr>
          <w:color w:val="000000" w:themeColor="text1"/>
        </w:rPr>
      </w:pPr>
      <w:r w:rsidRPr="007F7644">
        <w:rPr>
          <w:color w:val="000000" w:themeColor="text1"/>
        </w:rPr>
        <w:t>V odgovoru so poslancu posredovani podatki iz vpisnikov izvršilnih sodišč, ki jih je pripravilo Vrhovno sodišče Republike Slovenije, pri čemer je bilo dodatno pojasnjeno, da so v okviru podatkov o prodaji nepremičnin zajete vse vrste nepremičnin</w:t>
      </w:r>
      <w:r>
        <w:rPr>
          <w:color w:val="000000" w:themeColor="text1"/>
        </w:rPr>
        <w:t xml:space="preserve">, </w:t>
      </w:r>
      <w:r w:rsidRPr="007F7644">
        <w:rPr>
          <w:color w:val="000000" w:themeColor="text1"/>
        </w:rPr>
        <w:t>prodanih na javnih dražbah in ne samo stanovanja oziroma stanovanjske hiše. Zahtevanih podatkov o tem, ali so v navedenih primerih dolžniki ostali v stanovanjih kot najemniki ali so bili deložirani, sodišča v izvršilnih vpisnikih ne vodijo.</w:t>
      </w:r>
    </w:p>
    <w:p w14:paraId="1E791FB8" w14:textId="77777777" w:rsidR="007F7644" w:rsidRPr="007F7644" w:rsidRDefault="007F7644" w:rsidP="007F7644">
      <w:pPr>
        <w:rPr>
          <w:color w:val="000000" w:themeColor="text1"/>
        </w:rPr>
      </w:pPr>
    </w:p>
    <w:p w14:paraId="27C29D07" w14:textId="77777777" w:rsidR="007F7644" w:rsidRPr="007F7644" w:rsidRDefault="007F7644" w:rsidP="007F7644">
      <w:pPr>
        <w:rPr>
          <w:color w:val="000000" w:themeColor="text1"/>
        </w:rPr>
      </w:pPr>
      <w:r w:rsidRPr="007F7644">
        <w:rPr>
          <w:color w:val="000000" w:themeColor="text1"/>
        </w:rPr>
        <w:t xml:space="preserve">V zvezi z vprašanjem, ali bi lahko v teh primerih kako drugače zagotovili izterjavo terjatev Vlada poslancu odgovarja, da sodišče sicer dovoli izvršbo za poplačilo denarne terjatve s tistim sredstvom in na tistih predmetih, ki so navedeni v predlogu za izvršbo, vendar lahko sodišče na predlog dolžnika </w:t>
      </w:r>
      <w:r w:rsidRPr="007F7644">
        <w:rPr>
          <w:color w:val="000000" w:themeColor="text1"/>
        </w:rPr>
        <w:lastRenderedPageBreak/>
        <w:t>omeji dovoljeno izvršbo tako, da se ta opravi samo na nekatera sredstva oziroma na nekatere predmete, če zadoščajo za poplačilo terjatve. Lahko pa na predlog dolžnika tudi določi za izvršbo drugo sredstvo namesto tistega, ki ga je predlagal upnik, če to zadošča za poplačilo terjatve.</w:t>
      </w:r>
    </w:p>
    <w:p w14:paraId="700EDE72" w14:textId="77777777" w:rsidR="007F7644" w:rsidRPr="007F7644" w:rsidRDefault="007F7644" w:rsidP="007F7644">
      <w:pPr>
        <w:rPr>
          <w:color w:val="000000" w:themeColor="text1"/>
        </w:rPr>
      </w:pPr>
    </w:p>
    <w:p w14:paraId="0578B181" w14:textId="3A3E0C9F" w:rsidR="007F7644" w:rsidRPr="007F7644" w:rsidRDefault="007F7644" w:rsidP="007F7644">
      <w:pPr>
        <w:rPr>
          <w:color w:val="000000" w:themeColor="text1"/>
        </w:rPr>
      </w:pPr>
      <w:r w:rsidRPr="007F7644">
        <w:rPr>
          <w:color w:val="000000" w:themeColor="text1"/>
        </w:rPr>
        <w:t xml:space="preserve">Vlada v odgovoru poslancu tudi pojasnjuje vzvode za zagotavljanje kakovosti dela sodnikov in posledično nadzora nad njihovim delom, pri čemer pa bi priprava smernic, pri katerih bi sodelovala </w:t>
      </w:r>
      <w:r w:rsidR="0037613B">
        <w:rPr>
          <w:color w:val="000000" w:themeColor="text1"/>
        </w:rPr>
        <w:t>v</w:t>
      </w:r>
      <w:r w:rsidRPr="007F7644">
        <w:rPr>
          <w:color w:val="000000" w:themeColor="text1"/>
        </w:rPr>
        <w:t xml:space="preserve">lada, pomenila nedovoljen poseg v neodvisno delo sodišč. </w:t>
      </w:r>
      <w:r w:rsidR="0037613B">
        <w:rPr>
          <w:color w:val="000000" w:themeColor="text1"/>
        </w:rPr>
        <w:t>V</w:t>
      </w:r>
      <w:r w:rsidRPr="007F7644">
        <w:rPr>
          <w:color w:val="000000" w:themeColor="text1"/>
        </w:rPr>
        <w:t xml:space="preserve"> odgovoru</w:t>
      </w:r>
      <w:r w:rsidR="0037613B">
        <w:rPr>
          <w:color w:val="000000" w:themeColor="text1"/>
        </w:rPr>
        <w:t xml:space="preserve"> pa je </w:t>
      </w:r>
      <w:r w:rsidRPr="007F7644">
        <w:rPr>
          <w:color w:val="000000" w:themeColor="text1"/>
        </w:rPr>
        <w:t xml:space="preserve">pojasnjeno, da si bo </w:t>
      </w:r>
      <w:r w:rsidR="0037613B">
        <w:rPr>
          <w:color w:val="000000" w:themeColor="text1"/>
        </w:rPr>
        <w:t>v</w:t>
      </w:r>
      <w:r w:rsidRPr="007F7644">
        <w:rPr>
          <w:color w:val="000000" w:themeColor="text1"/>
        </w:rPr>
        <w:t>lada tudi v prihodnje prizadevala za uravnoteženo in sorazmerno varstvo pravic strank v izvršilnih postopkih.</w:t>
      </w:r>
    </w:p>
    <w:p w14:paraId="616D136D" w14:textId="2DE3AAB1" w:rsidR="007F7644" w:rsidRPr="007F7644" w:rsidRDefault="007F7644" w:rsidP="007F7644">
      <w:pPr>
        <w:pStyle w:val="Vir"/>
      </w:pPr>
      <w:r w:rsidRPr="007F7644">
        <w:t>Vir: Ministrstvo za pravosodje</w:t>
      </w:r>
    </w:p>
    <w:p w14:paraId="77DBE3A7" w14:textId="45241A88" w:rsidR="007F65BF" w:rsidRPr="00411953" w:rsidRDefault="007F65BF" w:rsidP="00411953">
      <w:pPr>
        <w:pStyle w:val="Naslov2"/>
      </w:pPr>
      <w:r w:rsidRPr="00411953">
        <w:t xml:space="preserve">Predlog zakona o izvajanju uredbe (EU) o določitvi harmoniziranih pravil o umetni inteligenci </w:t>
      </w:r>
    </w:p>
    <w:p w14:paraId="49B967EB" w14:textId="2D9A4AC7" w:rsidR="007F65BF" w:rsidRDefault="00411953" w:rsidP="007F65BF">
      <w:r w:rsidRPr="00411953">
        <w:t>Vlada Republike Slovenije je sprejela predlog</w:t>
      </w:r>
      <w:r w:rsidR="00546A27">
        <w:t xml:space="preserve"> </w:t>
      </w:r>
      <w:r w:rsidRPr="00411953">
        <w:t>Zakona o izvajanju evropskega Akta o umetni inteligenci, prvega celovitega pravnega okvira na tem področju, katerega namen je izboljšati delovanje notranjega trga z uvedbo enotnih pravil  za razvoj, uporabo in delovanje sistemov umetne inteligence v Evropski uniji. Cilj zakona je prilagoditev nacionalne zakonodaje določbam Akta o umetni inteligenci oziroma določitev pristojnih organov za izvajanje in nadzor nad pravili iz Akta ter določitev prekrškov in kazni. Navedeno je na nacionalnem nivoju potrebno določiti zaradi spodbujanja inovacij ter varovanja zdravja, varnosti in temeljnih pravic ljudi. Predlog zakona tako med drugim določa nadzorne organe in njihove pristojnost,  pristojni organ za  vzpostavitev regulativnih peskovnikov za varno testiranje novih rešitev na področju umetne inteligence. Uvaja tudi možnost imenovanja komisarja za etiko umetne inteligence. Slovenija se s tem uvršča med vodilne članice EU, ki področje umetne inteligence celovito urejajo – tako z vidika tehnološke infrastrukture kot prilagajanja zakonodaje Aktu o umetni inteligenci.</w:t>
      </w:r>
    </w:p>
    <w:p w14:paraId="5A77BAA5" w14:textId="2DE929F0" w:rsidR="00790B41" w:rsidRPr="006D6353" w:rsidRDefault="00790B41" w:rsidP="00790B41">
      <w:pPr>
        <w:pStyle w:val="Vir"/>
        <w:rPr>
          <w:color w:val="000000" w:themeColor="text1"/>
        </w:rPr>
      </w:pPr>
      <w:r w:rsidRPr="006D6353">
        <w:rPr>
          <w:color w:val="000000" w:themeColor="text1"/>
        </w:rPr>
        <w:t xml:space="preserve">Vir: Ministrstvo za </w:t>
      </w:r>
      <w:r w:rsidR="00C46C23">
        <w:rPr>
          <w:color w:val="000000" w:themeColor="text1"/>
        </w:rPr>
        <w:t>digitalno preobrazbo</w:t>
      </w:r>
    </w:p>
    <w:p w14:paraId="10DFEA67" w14:textId="48C39AB8" w:rsidR="00C8714D" w:rsidRPr="00E009E7" w:rsidRDefault="00C8714D" w:rsidP="00322209">
      <w:pPr>
        <w:pStyle w:val="Naslov2"/>
      </w:pPr>
      <w:r w:rsidRPr="00E009E7">
        <w:t xml:space="preserve">Začetek </w:t>
      </w:r>
      <w:r>
        <w:t>pripravljalnih aktivnosti</w:t>
      </w:r>
      <w:r w:rsidR="00EA5734">
        <w:t>,</w:t>
      </w:r>
      <w:r>
        <w:t xml:space="preserve"> potrebnih za ustanovitev </w:t>
      </w:r>
      <w:r w:rsidRPr="00E009E7">
        <w:t xml:space="preserve">nove javne univerze s sedežem v Novem mestu  </w:t>
      </w:r>
    </w:p>
    <w:p w14:paraId="01A7923E" w14:textId="54644E79" w:rsidR="00C8714D" w:rsidRDefault="00C8714D" w:rsidP="00322209">
      <w:r w:rsidRPr="000F7865">
        <w:rPr>
          <w:lang w:eastAsia="sl-SI"/>
        </w:rPr>
        <w:t xml:space="preserve">Vlada je sprejela sklep, </w:t>
      </w:r>
      <w:r w:rsidRPr="00DB56B1">
        <w:rPr>
          <w:lang w:eastAsia="sl-SI"/>
        </w:rPr>
        <w:t>s katerim je pristopila k pripravljalnim aktivnostim</w:t>
      </w:r>
      <w:r w:rsidR="00EA5734">
        <w:rPr>
          <w:lang w:eastAsia="sl-SI"/>
        </w:rPr>
        <w:t>,</w:t>
      </w:r>
      <w:r w:rsidRPr="00DB56B1">
        <w:rPr>
          <w:lang w:eastAsia="sl-SI"/>
        </w:rPr>
        <w:t xml:space="preserve"> potrebnim</w:t>
      </w:r>
      <w:r w:rsidR="00643B4D">
        <w:rPr>
          <w:lang w:eastAsia="sl-SI"/>
        </w:rPr>
        <w:t>i</w:t>
      </w:r>
      <w:r w:rsidRPr="00DB56B1">
        <w:rPr>
          <w:lang w:eastAsia="sl-SI"/>
        </w:rPr>
        <w:t xml:space="preserve"> za ustanovitev</w:t>
      </w:r>
      <w:r w:rsidRPr="000F7865">
        <w:rPr>
          <w:lang w:eastAsia="sl-SI"/>
        </w:rPr>
        <w:t xml:space="preserve"> nove javne univerze sedežem v Novem mestu.</w:t>
      </w:r>
      <w:r w:rsidRPr="00BA76E4">
        <w:rPr>
          <w:lang w:eastAsia="sl-SI"/>
        </w:rPr>
        <w:t xml:space="preserve"> </w:t>
      </w:r>
      <w:r w:rsidRPr="006048AA">
        <w:rPr>
          <w:lang w:eastAsia="sl-SI"/>
        </w:rPr>
        <w:t>Ministra, pristojnega za visoko šolstvo, dr. Igorja Papiča, je vlada pooblastila, da v ta namen izvede vse potrebne postopke, ki bodo pripeljali do akreditacije in vzpostavitve delovanja novega javnega visokošolskega zavoda.</w:t>
      </w:r>
      <w:bookmarkStart w:id="5" w:name="_Hlk204000120"/>
      <w:r>
        <w:rPr>
          <w:lang w:eastAsia="sl-SI"/>
        </w:rPr>
        <w:t xml:space="preserve"> </w:t>
      </w:r>
      <w:r w:rsidRPr="006048AA">
        <w:rPr>
          <w:lang w:eastAsia="sl-SI"/>
        </w:rPr>
        <w:t xml:space="preserve">To vključuje tudi pripravo </w:t>
      </w:r>
      <w:r w:rsidRPr="006048AA">
        <w:t>predloga sporazuma o prenosu ustanoviteljstva, pravic in</w:t>
      </w:r>
      <w:r>
        <w:t xml:space="preserve"> </w:t>
      </w:r>
      <w:r w:rsidRPr="006048AA">
        <w:t>obveznosti zasebnih visokošolskih zavodov Univerze v Novem mestu, Fakultete za industrijski inženiring Novo mesto in Fakultete za organizacijske študije na</w:t>
      </w:r>
      <w:r>
        <w:t xml:space="preserve"> Republiko Slovenijo</w:t>
      </w:r>
      <w:r w:rsidRPr="006048AA">
        <w:t xml:space="preserve"> ter predloga akta o ustanovitvi. </w:t>
      </w:r>
      <w:bookmarkEnd w:id="5"/>
      <w:r w:rsidRPr="006048AA">
        <w:t xml:space="preserve">Pripravljeno vlogo bo morala pred vložitvijo na NAKVIS potrditi vlada. </w:t>
      </w:r>
    </w:p>
    <w:p w14:paraId="14A1FD96" w14:textId="77777777" w:rsidR="00C8714D" w:rsidRDefault="00C8714D" w:rsidP="00322209"/>
    <w:p w14:paraId="2FB864AA" w14:textId="47BAF3E4" w:rsidR="00C8714D" w:rsidRPr="00322209" w:rsidRDefault="00C8714D" w:rsidP="00322209">
      <w:r w:rsidRPr="006048AA">
        <w:t>Po pridobitvi akreditacije bo končni akt o ustanovitvi sprejel Državni zbor Republike Slovenije.</w:t>
      </w:r>
    </w:p>
    <w:p w14:paraId="7A24F153" w14:textId="6D7B9938" w:rsidR="007F65BF" w:rsidRDefault="00C8714D" w:rsidP="00322209">
      <w:pPr>
        <w:pStyle w:val="Vir"/>
        <w:rPr>
          <w:color w:val="000000" w:themeColor="text1"/>
        </w:rPr>
      </w:pPr>
      <w:r w:rsidRPr="006D6353">
        <w:rPr>
          <w:color w:val="000000" w:themeColor="text1"/>
        </w:rPr>
        <w:t>Vir: Ministrstvo za visoko šolstvo, znanost in inovacije</w:t>
      </w:r>
    </w:p>
    <w:p w14:paraId="1BA7A45B" w14:textId="77777777" w:rsidR="00C72E3D" w:rsidRDefault="00C72E3D" w:rsidP="00C72E3D">
      <w:pPr>
        <w:pStyle w:val="Naslov2"/>
      </w:pPr>
      <w:r>
        <w:t>Vlada se je seznanila s pripravo proračunov za 2026 in 2027</w:t>
      </w:r>
    </w:p>
    <w:p w14:paraId="7A3D9A22" w14:textId="34526E1F" w:rsidR="00C72E3D" w:rsidRDefault="00C72E3D" w:rsidP="00C72E3D">
      <w:r>
        <w:t>Vlada se je danes seznanila s stanjem in aktivnostmi v zvezi s pripravo sprememb državnega proračuna za leto 2026 in proračuna za leto 2027, ki ju mora potrditi do konca septembra in nato do 1. oktobra posredovati državnemu zboru. Pri pripravi proračunov sledimo srednjeročnemu cilju vzdržnosti javnega dolga in ohranjanja primanjkljaja sektorja država pod mejo treh odstotkov bruto domačega proizvoda, vsebinsko pa ključne prioritete ostajajo na področju gospodarstva in konkurenčnosti, popoplavne obnove, varnosti in obrambe, dostopnosti stanovanj ter izvajanja Načrta za okrevanje in odpornost ter Večletnega finančnega okvira 2021-2027.</w:t>
      </w:r>
    </w:p>
    <w:p w14:paraId="7ED30C77" w14:textId="6BA371F2" w:rsidR="00C72E3D" w:rsidRDefault="00C72E3D" w:rsidP="00C72E3D">
      <w:pPr>
        <w:pStyle w:val="Vir"/>
      </w:pPr>
      <w:r w:rsidRPr="00C72E3D">
        <w:lastRenderedPageBreak/>
        <w:t>Vir: Ministrstvo za finance</w:t>
      </w:r>
    </w:p>
    <w:p w14:paraId="334E5B9B" w14:textId="2D4B2916" w:rsidR="007F65BF" w:rsidRDefault="006D6353" w:rsidP="006D6353">
      <w:pPr>
        <w:pStyle w:val="Naslov2"/>
      </w:pPr>
      <w:bookmarkStart w:id="6" w:name="_Hlk206587630"/>
      <w:r w:rsidRPr="006D6353">
        <w:t>S</w:t>
      </w:r>
      <w:r w:rsidR="007F65BF" w:rsidRPr="006D6353">
        <w:t>oglasj</w:t>
      </w:r>
      <w:r w:rsidRPr="006D6353">
        <w:t>e</w:t>
      </w:r>
      <w:r w:rsidR="007F65BF" w:rsidRPr="006D6353">
        <w:t xml:space="preserve"> </w:t>
      </w:r>
      <w:r>
        <w:t xml:space="preserve">vlade </w:t>
      </w:r>
      <w:r w:rsidR="007F65BF" w:rsidRPr="006D6353">
        <w:t>k izvedbi oglaševalske kampanje Sistem javnega obveščanja in alarmiranja – SI ALARM</w:t>
      </w:r>
      <w:bookmarkEnd w:id="6"/>
    </w:p>
    <w:p w14:paraId="69DEBCCC" w14:textId="5A447F24" w:rsidR="006133CB" w:rsidRDefault="006D6353" w:rsidP="006133CB">
      <w:pPr>
        <w:rPr>
          <w:color w:val="000000" w:themeColor="text1"/>
        </w:rPr>
      </w:pPr>
      <w:r w:rsidRPr="006D6353">
        <w:rPr>
          <w:color w:val="000000" w:themeColor="text1"/>
        </w:rPr>
        <w:t>Vlada je dala soglasje k izvedbi oglaševalske kampanje 'Sistem javnega obveščanja in alarmiranja – SI ALARM'. Osnovni namen tega sistema je izboljšanje zaščite ljudi in premoženja v primeru naravnih in drugih nesreč. Sistem SI-ALARM bo omogočal hitro pošiljanje nujnih opozorilnih sporočil v obliki tako imenovanega potisnega sporočila na mobilne telefone uporabnikov na določenem geografskem območju. Testiranje sistema bo 27.</w:t>
      </w:r>
      <w:r w:rsidR="00F97E7C">
        <w:rPr>
          <w:color w:val="000000" w:themeColor="text1"/>
        </w:rPr>
        <w:t xml:space="preserve"> </w:t>
      </w:r>
      <w:r w:rsidRPr="006D6353">
        <w:rPr>
          <w:color w:val="000000" w:themeColor="text1"/>
        </w:rPr>
        <w:t>s</w:t>
      </w:r>
      <w:r w:rsidR="00F97E7C">
        <w:rPr>
          <w:color w:val="000000" w:themeColor="text1"/>
        </w:rPr>
        <w:t>ep</w:t>
      </w:r>
      <w:r w:rsidRPr="006D6353">
        <w:rPr>
          <w:color w:val="000000" w:themeColor="text1"/>
        </w:rPr>
        <w:t xml:space="preserve">tembra 2025 ob 12. uri. </w:t>
      </w:r>
      <w:r w:rsidR="006133CB">
        <w:rPr>
          <w:color w:val="000000" w:themeColor="text1"/>
        </w:rPr>
        <w:t xml:space="preserve">Testno sporočilo si lahko ogledate na </w:t>
      </w:r>
      <w:hyperlink r:id="rId13" w:history="1">
        <w:r w:rsidR="006133CB" w:rsidRPr="006133CB">
          <w:rPr>
            <w:rStyle w:val="Hiperpovezava"/>
          </w:rPr>
          <w:t>https://arhiv.mm.gov.si/vlada/organi/urszr/PWAS_SI-mala.mp4</w:t>
        </w:r>
      </w:hyperlink>
      <w:r w:rsidR="006133CB">
        <w:rPr>
          <w:color w:val="000000" w:themeColor="text1"/>
        </w:rPr>
        <w:t>.</w:t>
      </w:r>
    </w:p>
    <w:p w14:paraId="3A72EDF0" w14:textId="77777777" w:rsidR="006133CB" w:rsidRPr="006133CB" w:rsidRDefault="006133CB" w:rsidP="006133CB">
      <w:pPr>
        <w:rPr>
          <w:color w:val="000000" w:themeColor="text1"/>
        </w:rPr>
      </w:pPr>
    </w:p>
    <w:p w14:paraId="449D7D5F" w14:textId="20FDE0B6" w:rsidR="006D6353" w:rsidRDefault="006D6353" w:rsidP="006D6353">
      <w:pPr>
        <w:rPr>
          <w:color w:val="000000" w:themeColor="text1"/>
        </w:rPr>
      </w:pPr>
      <w:r w:rsidRPr="006D6353">
        <w:rPr>
          <w:color w:val="000000" w:themeColor="text1"/>
        </w:rPr>
        <w:t>Več si preberite na</w:t>
      </w:r>
      <w:r>
        <w:rPr>
          <w:color w:val="000000" w:themeColor="text1"/>
        </w:rPr>
        <w:t>:</w:t>
      </w:r>
    </w:p>
    <w:p w14:paraId="42F1862F" w14:textId="407C50FD" w:rsidR="006D6353" w:rsidRDefault="00C46C23" w:rsidP="006D6353">
      <w:pPr>
        <w:rPr>
          <w:color w:val="000000" w:themeColor="text1"/>
        </w:rPr>
      </w:pPr>
      <w:hyperlink r:id="rId14" w:history="1">
        <w:r w:rsidR="006D6353" w:rsidRPr="006D6353">
          <w:rPr>
            <w:rStyle w:val="Hiperpovezava"/>
            <w:i/>
            <w:iCs/>
          </w:rPr>
          <w:t xml:space="preserve">Sistem javnega obveščanja in alarmiranja po javnih mobilnih omrežjih | </w:t>
        </w:r>
        <w:proofErr w:type="spellStart"/>
        <w:r w:rsidR="006D6353" w:rsidRPr="006D6353">
          <w:rPr>
            <w:rStyle w:val="Hiperpovezava"/>
            <w:i/>
            <w:iCs/>
          </w:rPr>
          <w:t>GOV.SI</w:t>
        </w:r>
        <w:proofErr w:type="spellEnd"/>
      </w:hyperlink>
    </w:p>
    <w:p w14:paraId="1D8B30ED" w14:textId="77777777" w:rsidR="006D6353" w:rsidRPr="00596B2E" w:rsidRDefault="006D6353" w:rsidP="006D6353">
      <w:pPr>
        <w:pStyle w:val="Vir"/>
      </w:pPr>
      <w:r w:rsidRPr="00596B2E">
        <w:t>Vir: Ministrstvo za digitalno preobrazbo</w:t>
      </w:r>
    </w:p>
    <w:p w14:paraId="3380D6A5" w14:textId="357F242B" w:rsidR="007F65BF" w:rsidRPr="00596B2E" w:rsidRDefault="007F65BF" w:rsidP="00596B2E">
      <w:pPr>
        <w:pStyle w:val="Naslov2"/>
      </w:pPr>
      <w:r w:rsidRPr="00596B2E">
        <w:t>Seznanitev</w:t>
      </w:r>
      <w:r w:rsidR="00596B2E" w:rsidRPr="00596B2E">
        <w:t xml:space="preserve"> vlade</w:t>
      </w:r>
      <w:r w:rsidRPr="00596B2E">
        <w:t xml:space="preserve"> z izvedb</w:t>
      </w:r>
      <w:r w:rsidR="00596B2E" w:rsidRPr="00596B2E">
        <w:t>o</w:t>
      </w:r>
      <w:r w:rsidRPr="00596B2E">
        <w:t>, postopki in sofinanciranjem aktivnosti v okviru vzpostavitve, nadgradnje in operativnega delovanja superračunalnika, vključno s tovarno umetne inteligence (SLAIF)</w:t>
      </w:r>
    </w:p>
    <w:p w14:paraId="2C574C40" w14:textId="77777777" w:rsidR="00596B2E" w:rsidRDefault="00596B2E" w:rsidP="00596B2E">
      <w:pPr>
        <w:rPr>
          <w:color w:val="000000" w:themeColor="text1"/>
        </w:rPr>
      </w:pPr>
      <w:r w:rsidRPr="00596B2E">
        <w:rPr>
          <w:color w:val="000000" w:themeColor="text1"/>
        </w:rPr>
        <w:t xml:space="preserve">Vlada Republike Slovenije se je na današnji seji seznanila s predvidenimi postopki za formalnopravno urejanje, sofinanciranje in izvedbo aktivnosti vzpostavitve, nadgradnje in operativnega delovanja superračunalnika, vključno s tovarno umetne inteligence. </w:t>
      </w:r>
    </w:p>
    <w:p w14:paraId="3CE950F2" w14:textId="77777777" w:rsidR="00596B2E" w:rsidRDefault="00596B2E" w:rsidP="00596B2E">
      <w:pPr>
        <w:rPr>
          <w:color w:val="000000" w:themeColor="text1"/>
        </w:rPr>
      </w:pPr>
    </w:p>
    <w:p w14:paraId="63B9DAD8" w14:textId="2C15018D" w:rsidR="00596B2E" w:rsidRPr="00596B2E" w:rsidRDefault="00596B2E" w:rsidP="00596B2E">
      <w:pPr>
        <w:rPr>
          <w:color w:val="000000" w:themeColor="text1"/>
        </w:rPr>
      </w:pPr>
      <w:r w:rsidRPr="00596B2E">
        <w:rPr>
          <w:color w:val="000000" w:themeColor="text1"/>
        </w:rPr>
        <w:t xml:space="preserve">Ministra za visoko šolstvo, znanost in inovacije je pooblastila za podpis administrativnega sporazuma s Skupnim podjetjem EuroHPC, ki bo podlaga za prenos sredstev Skupnemu podjetju EuroHPC za pridobitev visokozmogljivega računalnika, optimiziranega za umetno inteligenco, ki se bo vzpostavil v okviru projekta SLAIF, ter za udejanjenje slovenskega sofinanciranja italijanskega superračunalnika CINECA HPC “Leonardo AI </w:t>
      </w:r>
      <w:proofErr w:type="spellStart"/>
      <w:r w:rsidRPr="00596B2E">
        <w:rPr>
          <w:color w:val="000000" w:themeColor="text1"/>
        </w:rPr>
        <w:t>project</w:t>
      </w:r>
      <w:proofErr w:type="spellEnd"/>
      <w:r w:rsidRPr="00596B2E">
        <w:rPr>
          <w:color w:val="000000" w:themeColor="text1"/>
        </w:rPr>
        <w:t>”.</w:t>
      </w:r>
    </w:p>
    <w:p w14:paraId="0709E976" w14:textId="385BE266" w:rsidR="00596B2E" w:rsidRDefault="00596B2E" w:rsidP="00596B2E">
      <w:pPr>
        <w:pStyle w:val="Vir"/>
      </w:pPr>
      <w:r w:rsidRPr="00596B2E">
        <w:t>Vir: Ministrstvo za digitalno preobrazbo</w:t>
      </w:r>
    </w:p>
    <w:p w14:paraId="00D5295D" w14:textId="77777777" w:rsidR="00EA5748" w:rsidRDefault="00EA5748" w:rsidP="00EA5748">
      <w:pPr>
        <w:pStyle w:val="Naslov2"/>
      </w:pPr>
      <w:r>
        <w:t>Vlada o proračunskih prerazporeditvah</w:t>
      </w:r>
    </w:p>
    <w:p w14:paraId="23FEEDC1" w14:textId="77777777" w:rsidR="00B14C0C" w:rsidRDefault="00B14C0C" w:rsidP="00B14C0C">
      <w:pPr>
        <w:pStyle w:val="Vir"/>
      </w:pPr>
      <w:r>
        <w:t xml:space="preserve">Vlada je danes odločila o prerazporeditvah pravic porabe v letošnjem državnem proračunu. </w:t>
      </w:r>
    </w:p>
    <w:p w14:paraId="76BD33D2" w14:textId="4A274A39" w:rsidR="00B14C0C" w:rsidRDefault="00B14C0C" w:rsidP="00B14C0C">
      <w:pPr>
        <w:pStyle w:val="Vir"/>
      </w:pPr>
      <w:r>
        <w:t xml:space="preserve">Med drugim bo Ministrstvo za finance na Urad Vlade Republike Slovenije za narodnosti prerazporedilo sredstva v višini 10 milijonov evrov za sofinanciranje radijskih in televizijskih programov za italijansko in madžarsko narodno skupnost za leto 2025. </w:t>
      </w:r>
    </w:p>
    <w:p w14:paraId="5B8F0521" w14:textId="07B35453" w:rsidR="00B14C0C" w:rsidRDefault="00B14C0C" w:rsidP="00B14C0C">
      <w:pPr>
        <w:pStyle w:val="Vir"/>
      </w:pPr>
      <w:r>
        <w:t>Ministrstvo za kohezijo in regionalni razvoj bo na Ministrstvo za okolje, podnebje in energijo prerazporedilo pravice porabe v višini približno 4,5 milijona evrov, namenjene izvajanju ukrepa podpore »Povečanje energetske učinkovitosti in spodbujanje energije v alpskih regijah«.</w:t>
      </w:r>
    </w:p>
    <w:p w14:paraId="2ACB2A1E" w14:textId="44E68BD3" w:rsidR="00EA5748" w:rsidRPr="00EA5748" w:rsidRDefault="00EA5748" w:rsidP="00EA5748">
      <w:pPr>
        <w:pStyle w:val="Vir"/>
      </w:pPr>
      <w:r>
        <w:t>Vir: Ministrstvo za finance</w:t>
      </w:r>
    </w:p>
    <w:p w14:paraId="59D2208D" w14:textId="77777777" w:rsidR="009C501E" w:rsidRPr="009E7DDA" w:rsidRDefault="009C501E" w:rsidP="009C501E">
      <w:pPr>
        <w:pStyle w:val="Naslov2"/>
        <w:rPr>
          <w:color w:val="A6A6A6" w:themeColor="background1" w:themeShade="A6"/>
        </w:rPr>
      </w:pPr>
      <w:r w:rsidRPr="00D311AD">
        <w:t>Stališče R</w:t>
      </w:r>
      <w:r>
        <w:t>epublike Slovenije</w:t>
      </w:r>
      <w:r w:rsidRPr="00D311AD">
        <w:t xml:space="preserve"> k </w:t>
      </w:r>
      <w:r>
        <w:t>p</w:t>
      </w:r>
      <w:r w:rsidRPr="00D311AD">
        <w:t xml:space="preserve">redlogu </w:t>
      </w:r>
      <w:r>
        <w:t xml:space="preserve">evropske </w:t>
      </w:r>
      <w:r w:rsidRPr="00D311AD">
        <w:t xml:space="preserve">direktive </w:t>
      </w:r>
      <w:r>
        <w:t xml:space="preserve">in uredbe </w:t>
      </w:r>
      <w:r w:rsidRPr="0067758A">
        <w:t>glede razširitve nekaterih blažilnih ukrepov na mala podjetja s srednje veliko tržno kapitalizacijo (SMC) ter nadaljnjih ukrepov za poenostavitev</w:t>
      </w:r>
    </w:p>
    <w:p w14:paraId="6D37B223" w14:textId="77777777" w:rsidR="009C501E" w:rsidRDefault="009C501E" w:rsidP="009C501E">
      <w:r>
        <w:t>Republika Slovenija</w:t>
      </w:r>
      <w:r w:rsidRPr="00ED2475">
        <w:t xml:space="preserve"> </w:t>
      </w:r>
      <w:r>
        <w:t xml:space="preserve">podpira </w:t>
      </w:r>
      <w:r w:rsidRPr="00ED2475">
        <w:t>predlog direktive</w:t>
      </w:r>
      <w:r>
        <w:t xml:space="preserve"> </w:t>
      </w:r>
      <w:r w:rsidRPr="00ED2475">
        <w:t xml:space="preserve">Evropskega parlamenta in Sveta </w:t>
      </w:r>
      <w:bookmarkStart w:id="7" w:name="_Hlk206581632"/>
      <w:r w:rsidRPr="00ED2475">
        <w:t xml:space="preserve">glede razširitve nekaterih blažilnih ukrepov, ki so </w:t>
      </w:r>
      <w:r>
        <w:t xml:space="preserve">že </w:t>
      </w:r>
      <w:r w:rsidRPr="00ED2475">
        <w:t xml:space="preserve">na voljo malim in srednje velikim podjetjem (MSP), na mala </w:t>
      </w:r>
      <w:r w:rsidRPr="00ED2475">
        <w:lastRenderedPageBreak/>
        <w:t>podjetja s srednje veliko tržno kapitalizacijo (</w:t>
      </w:r>
      <w:r w:rsidRPr="0097303F">
        <w:t xml:space="preserve">angleško </w:t>
      </w:r>
      <w:proofErr w:type="spellStart"/>
      <w:r w:rsidRPr="0097303F">
        <w:t>small</w:t>
      </w:r>
      <w:proofErr w:type="spellEnd"/>
      <w:r w:rsidRPr="0097303F">
        <w:t>-</w:t>
      </w:r>
      <w:proofErr w:type="spellStart"/>
      <w:r w:rsidRPr="0097303F">
        <w:t>mid</w:t>
      </w:r>
      <w:proofErr w:type="spellEnd"/>
      <w:r w:rsidRPr="0097303F">
        <w:t xml:space="preserve"> </w:t>
      </w:r>
      <w:proofErr w:type="spellStart"/>
      <w:r w:rsidRPr="0097303F">
        <w:t>caps</w:t>
      </w:r>
      <w:proofErr w:type="spellEnd"/>
      <w:r w:rsidRPr="00ED2475">
        <w:t xml:space="preserve"> </w:t>
      </w:r>
      <w:r>
        <w:t xml:space="preserve">- </w:t>
      </w:r>
      <w:r w:rsidRPr="00ED2475">
        <w:t>SMC) ter nadaljnjih ukrepov za poenostavitev</w:t>
      </w:r>
      <w:bookmarkEnd w:id="7"/>
      <w:r w:rsidRPr="00ED2475">
        <w:t>.</w:t>
      </w:r>
      <w:r>
        <w:t xml:space="preserve"> Hkrati pa </w:t>
      </w:r>
      <w:r w:rsidRPr="0021185E">
        <w:t>Republika Slovenija načeloma podpira sprejem predloga uredbe</w:t>
      </w:r>
      <w:r>
        <w:t xml:space="preserve"> glede razširitve ukrepov </w:t>
      </w:r>
      <w:r w:rsidRPr="0021185E">
        <w:t>z zadržkom glede spremembe Uredbe (EU) 2016/679 (</w:t>
      </w:r>
      <w:r>
        <w:t xml:space="preserve">angleško </w:t>
      </w:r>
      <w:r w:rsidRPr="0097303F">
        <w:t xml:space="preserve">General Data </w:t>
      </w:r>
      <w:proofErr w:type="spellStart"/>
      <w:r w:rsidRPr="0097303F">
        <w:t>Protection</w:t>
      </w:r>
      <w:proofErr w:type="spellEnd"/>
      <w:r w:rsidRPr="0097303F">
        <w:t xml:space="preserve"> </w:t>
      </w:r>
      <w:proofErr w:type="spellStart"/>
      <w:r w:rsidRPr="0097303F">
        <w:t>Regulation</w:t>
      </w:r>
      <w:proofErr w:type="spellEnd"/>
      <w:r w:rsidRPr="0097303F">
        <w:t xml:space="preserve"> -</w:t>
      </w:r>
      <w:r>
        <w:t xml:space="preserve"> </w:t>
      </w:r>
      <w:r w:rsidRPr="0021185E">
        <w:t>GDPR).</w:t>
      </w:r>
    </w:p>
    <w:p w14:paraId="0CB9DEA8" w14:textId="77777777" w:rsidR="009C501E" w:rsidRPr="00ED2475" w:rsidRDefault="009C501E" w:rsidP="009C501E"/>
    <w:p w14:paraId="519F82E9" w14:textId="77777777" w:rsidR="009C501E" w:rsidRPr="00ED2475" w:rsidRDefault="009C501E" w:rsidP="009C501E">
      <w:r w:rsidRPr="00ED2475">
        <w:t>Evropska komisija je 21. maja 2025 predstavila sveženj ukrepov za poenostavitev zakonodaje EU, znan kot »Omnibus IV«. V Omnibus IV je predlagana nova kategorija</w:t>
      </w:r>
      <w:r>
        <w:t xml:space="preserve"> podjetji, mala podjetja s srednje veliko tržno kapitalizacijo </w:t>
      </w:r>
      <w:r w:rsidRPr="00ED2475">
        <w:t xml:space="preserve">(SMC). To so podjetja z manj kot 750 zaposlenimi in prometom do 150 milijonov evrov ali </w:t>
      </w:r>
      <w:r>
        <w:t>letno bilančno vsoto, ki ne presega</w:t>
      </w:r>
      <w:r w:rsidRPr="00ED2475">
        <w:t xml:space="preserve"> 129 milijonov evrov.</w:t>
      </w:r>
    </w:p>
    <w:p w14:paraId="6F6E011A" w14:textId="77777777" w:rsidR="009C501E" w:rsidRDefault="009C501E" w:rsidP="009C501E"/>
    <w:p w14:paraId="6A2D4831" w14:textId="77777777" w:rsidR="009C501E" w:rsidRDefault="009C501E" w:rsidP="009C501E">
      <w:r w:rsidRPr="00BF0210">
        <w:t>Glavni cilj Omnibus IV je podpreti mala podjetja s srednje veliko tržno kapitalizacijo, ki se spopadajo s podobnimi izzivi kot MSP. S tem jim želijo olajšati poslovanje in poglobitev notranj</w:t>
      </w:r>
      <w:r>
        <w:t>ega</w:t>
      </w:r>
      <w:r w:rsidRPr="00BF0210">
        <w:t xml:space="preserve"> trg</w:t>
      </w:r>
      <w:r>
        <w:t>a</w:t>
      </w:r>
      <w:r w:rsidRPr="00BF0210">
        <w:t xml:space="preserve">. </w:t>
      </w:r>
    </w:p>
    <w:p w14:paraId="6637627B" w14:textId="77777777" w:rsidR="009C501E" w:rsidRPr="008C0420" w:rsidRDefault="009C501E" w:rsidP="009C501E"/>
    <w:p w14:paraId="75C9EAFD" w14:textId="77777777" w:rsidR="009C501E" w:rsidRPr="008C0420" w:rsidRDefault="009C501E" w:rsidP="009C501E">
      <w:r w:rsidRPr="008C0420">
        <w:t>Predlog direktive spreminja Direktivo 2014/65/EU o trgih finančnih instrumentov in Direktivo 2022/2557/EU o odpornosti kritičnih subjektov.</w:t>
      </w:r>
    </w:p>
    <w:p w14:paraId="5E48D1BC" w14:textId="77777777" w:rsidR="009C501E" w:rsidRPr="008C0420" w:rsidRDefault="009C501E" w:rsidP="009C501E"/>
    <w:p w14:paraId="4D3B9F00" w14:textId="0EADBB7F" w:rsidR="009C501E" w:rsidRPr="008C0420" w:rsidRDefault="009C501E" w:rsidP="009C501E">
      <w:r w:rsidRPr="008C0420">
        <w:t>S predlogom uredbe pa se zaradi širitve blažilnih ukrepov spreminjajo tudi:</w:t>
      </w:r>
    </w:p>
    <w:p w14:paraId="034FA2B0" w14:textId="77777777" w:rsidR="009C501E" w:rsidRPr="009E7DDA" w:rsidRDefault="009C501E" w:rsidP="009C501E">
      <w:pPr>
        <w:pStyle w:val="Odstavekseznama"/>
        <w:numPr>
          <w:ilvl w:val="0"/>
          <w:numId w:val="31"/>
        </w:numPr>
        <w:rPr>
          <w:u w:val="single"/>
        </w:rPr>
      </w:pPr>
      <w:r w:rsidRPr="008C0420">
        <w:t xml:space="preserve">Splošna uredba o varstvu podatkov – Uredba (EU) 2016/679 (GDPR) </w:t>
      </w:r>
    </w:p>
    <w:p w14:paraId="2120EBB1" w14:textId="77777777" w:rsidR="009C501E" w:rsidRPr="009E7DDA" w:rsidRDefault="009C501E" w:rsidP="009C501E">
      <w:pPr>
        <w:pStyle w:val="Odstavekseznama"/>
        <w:numPr>
          <w:ilvl w:val="0"/>
          <w:numId w:val="31"/>
        </w:numPr>
        <w:rPr>
          <w:u w:val="single"/>
        </w:rPr>
      </w:pPr>
      <w:r w:rsidRPr="008C0420">
        <w:t xml:space="preserve">Uredba o zaščiti proti dampinškemu uvozu – Uredba (EU) 2016/1036 </w:t>
      </w:r>
      <w:bookmarkStart w:id="8" w:name="_Hlk204775850"/>
    </w:p>
    <w:bookmarkEnd w:id="8"/>
    <w:p w14:paraId="06FEB029" w14:textId="77777777" w:rsidR="009C501E" w:rsidRPr="009E7DDA" w:rsidRDefault="009C501E" w:rsidP="009C501E">
      <w:pPr>
        <w:pStyle w:val="Odstavekseznama"/>
        <w:numPr>
          <w:ilvl w:val="0"/>
          <w:numId w:val="31"/>
        </w:numPr>
        <w:rPr>
          <w:u w:val="single"/>
        </w:rPr>
      </w:pPr>
      <w:r w:rsidRPr="008C0420">
        <w:t xml:space="preserve">Uredba o zaščiti proti subvencioniranemu uvozu – Uredba (EU) 2016/1037 </w:t>
      </w:r>
    </w:p>
    <w:p w14:paraId="73B8CA9E" w14:textId="77777777" w:rsidR="009C501E" w:rsidRPr="009E7DDA" w:rsidRDefault="009C501E" w:rsidP="009C501E">
      <w:pPr>
        <w:pStyle w:val="Odstavekseznama"/>
        <w:numPr>
          <w:ilvl w:val="0"/>
          <w:numId w:val="31"/>
        </w:numPr>
        <w:rPr>
          <w:u w:val="single"/>
        </w:rPr>
      </w:pPr>
      <w:r w:rsidRPr="008C0420">
        <w:t xml:space="preserve">Uredba o prospektu – Uredba (EU) 2017/1129 </w:t>
      </w:r>
    </w:p>
    <w:p w14:paraId="1341F24F" w14:textId="77777777" w:rsidR="009C501E" w:rsidRPr="008C0420" w:rsidRDefault="009C501E" w:rsidP="009C501E">
      <w:pPr>
        <w:pStyle w:val="Odstavekseznama"/>
        <w:numPr>
          <w:ilvl w:val="0"/>
          <w:numId w:val="31"/>
        </w:numPr>
      </w:pPr>
      <w:r w:rsidRPr="008C0420">
        <w:t xml:space="preserve">Uredba o baterijah – Uredba (EU) 2023/1542 </w:t>
      </w:r>
    </w:p>
    <w:p w14:paraId="63F96B2F" w14:textId="77777777" w:rsidR="009C501E" w:rsidRPr="008C0420" w:rsidRDefault="009C501E" w:rsidP="009C501E">
      <w:pPr>
        <w:pStyle w:val="Odstavekseznama"/>
        <w:numPr>
          <w:ilvl w:val="0"/>
          <w:numId w:val="31"/>
        </w:numPr>
      </w:pPr>
      <w:r w:rsidRPr="008C0420">
        <w:t xml:space="preserve">Uredba o fluoriranih toplogrednih plinih – Uredba (EU) 2024/573 </w:t>
      </w:r>
    </w:p>
    <w:p w14:paraId="7291C389" w14:textId="77777777" w:rsidR="009C501E" w:rsidRPr="008C0420" w:rsidRDefault="009C501E" w:rsidP="009C501E"/>
    <w:p w14:paraId="5D075A53" w14:textId="77777777" w:rsidR="009C501E" w:rsidRPr="008C0420" w:rsidRDefault="009C501E" w:rsidP="009C501E">
      <w:r w:rsidRPr="008C0420">
        <w:rPr>
          <w:iCs/>
        </w:rPr>
        <w:t>Splošni cilj predlogov je torej razbremenitev malih podjetij s srednjo tržno kapitalizacijo določenih regulativnih bremen, kar bo imelo ugoden vpliv na ta del gospodarstvo, kar Republika Slovenija podpira.</w:t>
      </w:r>
      <w:r w:rsidRPr="008C0420">
        <w:t xml:space="preserve"> </w:t>
      </w:r>
    </w:p>
    <w:p w14:paraId="7E211038" w14:textId="77777777" w:rsidR="009C501E" w:rsidRPr="008C0420" w:rsidRDefault="009C501E" w:rsidP="009C501E"/>
    <w:p w14:paraId="55782E07" w14:textId="77777777" w:rsidR="009C501E" w:rsidRPr="008C0420" w:rsidRDefault="009C501E" w:rsidP="009C501E">
      <w:r w:rsidRPr="008C0420">
        <w:t>Ne glede na načelno podporo pa Republika Slovenija izraža zadržano stališče do vsakršnih sprememb tega predpisa, ki ne temelji na celoviti oceni učinka z vidika obdelave podatkov, uveljavljanja upravnega in sodnega varstva, nadzora nad izvajanjem GDPR ter tudi vodil iz ustaljene ustavnosodne presoje Ustavnega sodišča Republike Slovenije.</w:t>
      </w:r>
    </w:p>
    <w:p w14:paraId="45292EAC" w14:textId="36C053BE" w:rsidR="007F65BF" w:rsidRDefault="009C501E" w:rsidP="00D55DE7">
      <w:pPr>
        <w:pStyle w:val="Vir"/>
      </w:pPr>
      <w:r>
        <w:t>Vir: Ministrstvo za gospodarstvo, turizem in šport</w:t>
      </w:r>
      <w:r w:rsidR="007F65BF">
        <w:tab/>
      </w:r>
    </w:p>
    <w:p w14:paraId="21728A8E" w14:textId="09A6DB9F" w:rsidR="000C6950" w:rsidRDefault="000C6950" w:rsidP="00EA5734">
      <w:pPr>
        <w:pStyle w:val="Naslov2"/>
      </w:pPr>
      <w:bookmarkStart w:id="9" w:name="_Hlk201232997"/>
      <w:r w:rsidRPr="00B85178">
        <w:rPr>
          <w:snapToGrid w:val="0"/>
        </w:rPr>
        <w:t>Vlada se je seznanila z revidiranim Letnim poročilom 2024 družbe 2TDK</w:t>
      </w:r>
    </w:p>
    <w:bookmarkEnd w:id="9"/>
    <w:p w14:paraId="4BFDCF06" w14:textId="64144EA3" w:rsidR="000C6950" w:rsidRPr="00EB3A52" w:rsidRDefault="000C6950" w:rsidP="00EA5734">
      <w:r w:rsidRPr="00EB3A52">
        <w:t xml:space="preserve">Vlada se je seznanila z revidiranim Letnim poročilom </w:t>
      </w:r>
      <w:r>
        <w:t xml:space="preserve">2024 </w:t>
      </w:r>
      <w:r w:rsidRPr="00EB3A52">
        <w:t xml:space="preserve">družbe 2TDK, ki ga je preveril in potrdil </w:t>
      </w:r>
      <w:r>
        <w:t>n</w:t>
      </w:r>
      <w:r w:rsidRPr="00EB3A52">
        <w:t>adzorni svet družbe na svoji seji dne 16. 5. 2025</w:t>
      </w:r>
      <w:r>
        <w:t xml:space="preserve"> ter s</w:t>
      </w:r>
      <w:r w:rsidRPr="00EB3A52">
        <w:t xml:space="preserve"> Poročilom nadzornega sveta družbe 2TDK o rezultatih preveritve letnega poročila družbe 2TDK za poslovno leto </w:t>
      </w:r>
      <w:r>
        <w:t>2024</w:t>
      </w:r>
      <w:r w:rsidRPr="00EB3A52">
        <w:t xml:space="preserve"> in o delovanju nadzornega sveta družbe 2TDK v</w:t>
      </w:r>
      <w:r>
        <w:t xml:space="preserve"> letu 2024.</w:t>
      </w:r>
    </w:p>
    <w:p w14:paraId="62FC05AD" w14:textId="77777777" w:rsidR="000C6950" w:rsidRPr="00A325B4" w:rsidRDefault="000C6950" w:rsidP="00EA5734"/>
    <w:p w14:paraId="79729848" w14:textId="069829DD" w:rsidR="000C6950" w:rsidRDefault="000C6950" w:rsidP="00EA5734">
      <w:r>
        <w:t xml:space="preserve">Bilančna izguba družbe 2TDK, ki po stanju na dan 31. 12. 2024 znaša 4.031.948,93 </w:t>
      </w:r>
      <w:r w:rsidR="00961EEE">
        <w:t>evra</w:t>
      </w:r>
      <w:r>
        <w:t>, se pokrije s čistim dobičkom v prihodnjih obračunskih obdobjih.</w:t>
      </w:r>
    </w:p>
    <w:p w14:paraId="3C490B93" w14:textId="77777777" w:rsidR="000C6950" w:rsidRPr="008F51FF" w:rsidRDefault="000C6950" w:rsidP="00EA5734">
      <w:pPr>
        <w:rPr>
          <w:color w:val="FF0000"/>
        </w:rPr>
      </w:pPr>
    </w:p>
    <w:p w14:paraId="594DE556" w14:textId="77777777" w:rsidR="000C6950" w:rsidRDefault="000C6950" w:rsidP="00EA5734">
      <w:r w:rsidRPr="008F51FF">
        <w:t xml:space="preserve">Vlada je upravi in nadzornemu svetu družbe podelila razrešnice za poslovno leto 2024 ter imenovala </w:t>
      </w:r>
      <w:r w:rsidRPr="00D07451">
        <w:t>družbo Ernst &amp; Young Revizija d. o. o</w:t>
      </w:r>
      <w:r>
        <w:t>.</w:t>
      </w:r>
      <w:r w:rsidRPr="00D07451">
        <w:t xml:space="preserve"> za revizorja računovodskih izkazov družbe 2TDK</w:t>
      </w:r>
      <w:r>
        <w:t xml:space="preserve"> </w:t>
      </w:r>
      <w:r w:rsidRPr="00D07451">
        <w:t>za poslovna leta 2025, 2026 in 2027.</w:t>
      </w:r>
    </w:p>
    <w:p w14:paraId="3ECEDFF5" w14:textId="48E65A44" w:rsidR="000C6950" w:rsidRPr="000C6950" w:rsidRDefault="000C6950" w:rsidP="00EA5734">
      <w:pPr>
        <w:pStyle w:val="Vir"/>
      </w:pPr>
      <w:r>
        <w:t xml:space="preserve">Vir: </w:t>
      </w:r>
      <w:r w:rsidR="00EA5734">
        <w:t>Ministrstvo za infrastrukturo</w:t>
      </w:r>
    </w:p>
    <w:p w14:paraId="7AD62D54" w14:textId="77777777" w:rsidR="00711B70" w:rsidRPr="009B7D47" w:rsidRDefault="00711B70" w:rsidP="009B7D47">
      <w:pPr>
        <w:pStyle w:val="Naslov2"/>
      </w:pPr>
      <w:bookmarkStart w:id="10" w:name="_Hlk110508430"/>
      <w:r w:rsidRPr="009B7D47">
        <w:t>Vlada se je seznanila z Letnim poročilom Kapitalske družbe</w:t>
      </w:r>
    </w:p>
    <w:p w14:paraId="0595DE7D" w14:textId="168AAF59" w:rsidR="00711B70" w:rsidRPr="00C74C69" w:rsidRDefault="00711B70" w:rsidP="009B7D47">
      <w:r w:rsidRPr="00C74C69">
        <w:lastRenderedPageBreak/>
        <w:t xml:space="preserve">Vlada se je </w:t>
      </w:r>
      <w:r>
        <w:t xml:space="preserve">danes </w:t>
      </w:r>
      <w:r w:rsidRPr="00C74C69">
        <w:t>v vlogi skupščine seznanila z Letnim poročilom Kapitalske družbe, d.</w:t>
      </w:r>
      <w:r w:rsidR="00961EEE">
        <w:t xml:space="preserve"> </w:t>
      </w:r>
      <w:r w:rsidRPr="00C74C69">
        <w:t xml:space="preserve">d. (KAD) </w:t>
      </w:r>
      <w:r>
        <w:t xml:space="preserve">in skupine KAD </w:t>
      </w:r>
      <w:r w:rsidRPr="00C74C69">
        <w:t xml:space="preserve">za poslovno leto 2024 in poročilom nadzornega sveta o preveritvi letnega poročila za lansko leto. </w:t>
      </w:r>
      <w:r w:rsidRPr="007607F7">
        <w:t>Upravi in nadzornemu svetu KAD je ob tem podelila razrešnico za delo v poslovnem letu 2024</w:t>
      </w:r>
      <w:r>
        <w:t xml:space="preserve"> ter imenovala tri nove člane nadzornega sveta.</w:t>
      </w:r>
    </w:p>
    <w:p w14:paraId="4939FF74" w14:textId="77777777" w:rsidR="00124B01" w:rsidRDefault="00124B01" w:rsidP="009B7D47"/>
    <w:p w14:paraId="61851555" w14:textId="31634AD1" w:rsidR="00711B70" w:rsidRDefault="00711B70" w:rsidP="009B7D47">
      <w:r>
        <w:t xml:space="preserve">Ker je 16. 2. 2025 prenehal mandat članu </w:t>
      </w:r>
      <w:r w:rsidRPr="00BD2290">
        <w:t xml:space="preserve">nadzornega sveta </w:t>
      </w:r>
      <w:r>
        <w:t>KAD</w:t>
      </w:r>
      <w:r w:rsidRPr="00BD2290">
        <w:t xml:space="preserve"> mag. Ladislavu Rožiču</w:t>
      </w:r>
      <w:r>
        <w:t xml:space="preserve">, 20. 10. 2025 pa se izteče mandat </w:t>
      </w:r>
      <w:r w:rsidRPr="00BD2290">
        <w:t xml:space="preserve">članoma nadzornega sveta </w:t>
      </w:r>
      <w:r>
        <w:t>KAD,</w:t>
      </w:r>
      <w:r w:rsidRPr="00BD2290">
        <w:t xml:space="preserve"> Janezu Tomšiču in Boštjanu Leskovarju</w:t>
      </w:r>
      <w:r>
        <w:t xml:space="preserve">, je vlada imenovala nove člane nadzornega sveta KAD: mag. Mitji Brudarju začne mandat teči z dnem imenovanja, Maji Menard in Krešu Šavriču pa </w:t>
      </w:r>
      <w:r w:rsidRPr="00762B24">
        <w:t>z dnem 21. 10. 2025.</w:t>
      </w:r>
      <w:r>
        <w:t xml:space="preserve"> </w:t>
      </w:r>
    </w:p>
    <w:p w14:paraId="03460EA7" w14:textId="77777777" w:rsidR="00124B01" w:rsidRDefault="00124B01" w:rsidP="009B7D47"/>
    <w:p w14:paraId="4990595C" w14:textId="5109E293" w:rsidR="00711B70" w:rsidRDefault="00711B70" w:rsidP="009B7D47">
      <w:pPr>
        <w:rPr>
          <w:rFonts w:eastAsia="Calibri"/>
        </w:rPr>
      </w:pPr>
      <w:r>
        <w:t xml:space="preserve">Poleg tega je vlada imenovala </w:t>
      </w:r>
      <w:r w:rsidRPr="00D13E95">
        <w:t>revizijsko</w:t>
      </w:r>
      <w:bookmarkEnd w:id="10"/>
      <w:r w:rsidRPr="00D13E95">
        <w:t xml:space="preserve"> hišo PricewaterhouseCoopers d.o.o.</w:t>
      </w:r>
      <w:r>
        <w:t xml:space="preserve"> </w:t>
      </w:r>
      <w:r w:rsidRPr="00D13E95">
        <w:t>za revizorja za poslovna leta 2025, 2026 in 2027</w:t>
      </w:r>
      <w:r>
        <w:t xml:space="preserve"> ter sprejela nov statut KAD. </w:t>
      </w:r>
      <w:r w:rsidRPr="00DF1ADD">
        <w:rPr>
          <w:rFonts w:eastAsia="Calibri"/>
        </w:rPr>
        <w:t>G</w:t>
      </w:r>
      <w:r w:rsidRPr="00861453">
        <w:rPr>
          <w:rFonts w:eastAsia="Calibri"/>
        </w:rPr>
        <w:t>lavn</w:t>
      </w:r>
      <w:r>
        <w:rPr>
          <w:rFonts w:eastAsia="Calibri"/>
        </w:rPr>
        <w:t>i razlogi za nov</w:t>
      </w:r>
      <w:r w:rsidRPr="00861453">
        <w:rPr>
          <w:rFonts w:eastAsia="Calibri"/>
        </w:rPr>
        <w:t xml:space="preserve"> </w:t>
      </w:r>
      <w:r>
        <w:rPr>
          <w:rFonts w:eastAsia="Calibri"/>
        </w:rPr>
        <w:t>statut</w:t>
      </w:r>
      <w:r>
        <w:t xml:space="preserve"> </w:t>
      </w:r>
      <w:r>
        <w:rPr>
          <w:rFonts w:eastAsia="Calibri"/>
        </w:rPr>
        <w:t>izhajajo iz obsoletnosti nekaterih določb veljavnega statuta ter zlasti načela statutarne strogosti.</w:t>
      </w:r>
    </w:p>
    <w:p w14:paraId="4CC2B83D" w14:textId="407CDDB5" w:rsidR="00124B01" w:rsidRPr="009B7D47" w:rsidRDefault="00124B01" w:rsidP="009B7D47">
      <w:pPr>
        <w:pStyle w:val="Vir"/>
      </w:pPr>
      <w:r w:rsidRPr="009B7D47">
        <w:rPr>
          <w:rFonts w:eastAsia="Calibri"/>
        </w:rPr>
        <w:t>Vir: Ministrstvo za finance</w:t>
      </w:r>
    </w:p>
    <w:p w14:paraId="263531DE" w14:textId="77777777" w:rsidR="00711B70" w:rsidRPr="007E7435" w:rsidRDefault="00711B70" w:rsidP="007E7435">
      <w:pPr>
        <w:pStyle w:val="Naslov2"/>
      </w:pPr>
      <w:r w:rsidRPr="007E7435">
        <w:t>Vlada se je seznanila z letnim poročilom Slovenskega državnega holdinga</w:t>
      </w:r>
    </w:p>
    <w:p w14:paraId="2226270F" w14:textId="77777777" w:rsidR="00711B70" w:rsidRDefault="00711B70" w:rsidP="007E7435">
      <w:r w:rsidRPr="00007DB2">
        <w:t xml:space="preserve">Vlada se je danes seznanila z revidiranim letnim poročilom Slovenskega državnega holdinga (SDH) in skupine SDH za poslovno leto 2024, sklenila pa je tudi, da se skladno z Zakonom o obnovi, razvoju in zagotavljanju finančnih sredstev po poplavah </w:t>
      </w:r>
      <w:r>
        <w:t xml:space="preserve">za lansko leto </w:t>
      </w:r>
      <w:r w:rsidRPr="00007DB2">
        <w:t xml:space="preserve">v državni proračun nakaže 84,7 milijona evrov bilančnega dobička SDH. </w:t>
      </w:r>
    </w:p>
    <w:p w14:paraId="2CB51CE1" w14:textId="77777777" w:rsidR="00711B70" w:rsidRDefault="00711B70" w:rsidP="007E7435"/>
    <w:p w14:paraId="3B21A095" w14:textId="77777777" w:rsidR="00711B70" w:rsidRDefault="00711B70" w:rsidP="007E7435">
      <w:r w:rsidRPr="004031A5">
        <w:t xml:space="preserve">Čista dobičkonosnost lastniškega kapitala </w:t>
      </w:r>
      <w:r>
        <w:t xml:space="preserve">(angleško Return on </w:t>
      </w:r>
      <w:proofErr w:type="spellStart"/>
      <w:r>
        <w:t>Equity</w:t>
      </w:r>
      <w:proofErr w:type="spellEnd"/>
      <w:r>
        <w:t xml:space="preserve"> – ROE) </w:t>
      </w:r>
      <w:r w:rsidRPr="004031A5">
        <w:t xml:space="preserve">celotnega portfelja kapitalskih naložb, ki ga upravlja SDH, je </w:t>
      </w:r>
      <w:r>
        <w:t xml:space="preserve">lani </w:t>
      </w:r>
      <w:r w:rsidRPr="004031A5">
        <w:t xml:space="preserve">znašala 9,7 </w:t>
      </w:r>
      <w:r>
        <w:t xml:space="preserve">odstotka, </w:t>
      </w:r>
      <w:r w:rsidRPr="004031A5">
        <w:t>kar je precej več od ciljev iz Letnega načrta upravljanja naložb</w:t>
      </w:r>
      <w:r>
        <w:t>, ki so ROE</w:t>
      </w:r>
      <w:r w:rsidRPr="004031A5">
        <w:t xml:space="preserve"> za leto 2024 </w:t>
      </w:r>
      <w:r>
        <w:t xml:space="preserve">postavili pri </w:t>
      </w:r>
      <w:r w:rsidRPr="004031A5">
        <w:t xml:space="preserve">6,7 </w:t>
      </w:r>
      <w:r>
        <w:t xml:space="preserve">odstotka. </w:t>
      </w:r>
      <w:r w:rsidRPr="004031A5">
        <w:t xml:space="preserve">Načrt za leto 2025 je </w:t>
      </w:r>
      <w:r>
        <w:t xml:space="preserve">doseči </w:t>
      </w:r>
      <w:r w:rsidRPr="004031A5">
        <w:t xml:space="preserve">ROE v višini 7,1 </w:t>
      </w:r>
      <w:r>
        <w:t>odstotka</w:t>
      </w:r>
      <w:r w:rsidRPr="004031A5">
        <w:t>.</w:t>
      </w:r>
    </w:p>
    <w:p w14:paraId="141A3A7D" w14:textId="77777777" w:rsidR="00711B70" w:rsidRPr="004031A5" w:rsidRDefault="00711B70" w:rsidP="007E7435"/>
    <w:p w14:paraId="4D429664" w14:textId="5E523E47" w:rsidR="00711B70" w:rsidRPr="004031A5" w:rsidRDefault="00711B70" w:rsidP="007E7435">
      <w:pPr>
        <w:rPr>
          <w:rFonts w:eastAsia="CIDFont+F2"/>
          <w:lang w:eastAsia="sl-SI"/>
        </w:rPr>
      </w:pPr>
      <w:r>
        <w:rPr>
          <w:rFonts w:eastAsia="CIDFont+F2"/>
          <w:lang w:eastAsia="sl-SI"/>
        </w:rPr>
        <w:t>D</w:t>
      </w:r>
      <w:r w:rsidRPr="004031A5">
        <w:rPr>
          <w:rFonts w:eastAsia="CIDFont+F2"/>
          <w:lang w:eastAsia="sl-SI"/>
        </w:rPr>
        <w:t>ružb</w:t>
      </w:r>
      <w:r>
        <w:rPr>
          <w:rFonts w:eastAsia="CIDFont+F2"/>
          <w:lang w:eastAsia="sl-SI"/>
        </w:rPr>
        <w:t>e</w:t>
      </w:r>
      <w:r w:rsidRPr="004031A5">
        <w:rPr>
          <w:rFonts w:eastAsia="CIDFont+F2"/>
          <w:lang w:eastAsia="sl-SI"/>
        </w:rPr>
        <w:t xml:space="preserve"> </w:t>
      </w:r>
      <w:r>
        <w:rPr>
          <w:rFonts w:eastAsia="CIDFont+F2"/>
          <w:lang w:eastAsia="sl-SI"/>
        </w:rPr>
        <w:t xml:space="preserve">v </w:t>
      </w:r>
      <w:r w:rsidRPr="004031A5">
        <w:rPr>
          <w:rFonts w:eastAsia="CIDFont+F2"/>
          <w:lang w:eastAsia="sl-SI"/>
        </w:rPr>
        <w:t>upravljavske</w:t>
      </w:r>
      <w:r>
        <w:rPr>
          <w:rFonts w:eastAsia="CIDFont+F2"/>
          <w:lang w:eastAsia="sl-SI"/>
        </w:rPr>
        <w:t>m</w:t>
      </w:r>
      <w:r w:rsidRPr="004031A5">
        <w:rPr>
          <w:rFonts w:eastAsia="CIDFont+F2"/>
          <w:lang w:eastAsia="sl-SI"/>
        </w:rPr>
        <w:t xml:space="preserve"> portfelj</w:t>
      </w:r>
      <w:r>
        <w:rPr>
          <w:rFonts w:eastAsia="CIDFont+F2"/>
          <w:lang w:eastAsia="sl-SI"/>
        </w:rPr>
        <w:t>u</w:t>
      </w:r>
      <w:r w:rsidRPr="004031A5">
        <w:rPr>
          <w:rFonts w:eastAsia="CIDFont+F2"/>
          <w:lang w:eastAsia="sl-SI"/>
        </w:rPr>
        <w:t xml:space="preserve"> SDH </w:t>
      </w:r>
      <w:r>
        <w:rPr>
          <w:rFonts w:eastAsia="CIDFont+F2"/>
          <w:lang w:eastAsia="sl-SI"/>
        </w:rPr>
        <w:t xml:space="preserve">so lani </w:t>
      </w:r>
      <w:r w:rsidRPr="004031A5">
        <w:rPr>
          <w:rFonts w:eastAsia="CIDFont+F2"/>
          <w:lang w:eastAsia="sl-SI"/>
        </w:rPr>
        <w:t xml:space="preserve">skupaj </w:t>
      </w:r>
      <w:r>
        <w:rPr>
          <w:rFonts w:eastAsia="CIDFont+F2"/>
          <w:lang w:eastAsia="sl-SI"/>
        </w:rPr>
        <w:t xml:space="preserve">izplačale za </w:t>
      </w:r>
      <w:r w:rsidRPr="004031A5">
        <w:rPr>
          <w:rFonts w:eastAsia="CIDFont+F2"/>
          <w:lang w:eastAsia="sl-SI"/>
        </w:rPr>
        <w:t xml:space="preserve">487,7 </w:t>
      </w:r>
      <w:r>
        <w:rPr>
          <w:rFonts w:eastAsia="CIDFont+F2"/>
          <w:lang w:eastAsia="sl-SI"/>
        </w:rPr>
        <w:t>milijona evrov dividend</w:t>
      </w:r>
      <w:r w:rsidRPr="004031A5">
        <w:rPr>
          <w:rFonts w:eastAsia="CIDFont+F2"/>
          <w:lang w:eastAsia="sl-SI"/>
        </w:rPr>
        <w:t xml:space="preserve">, kar je za 103,8 </w:t>
      </w:r>
      <w:r>
        <w:rPr>
          <w:rFonts w:eastAsia="CIDFont+F2"/>
          <w:lang w:eastAsia="sl-SI"/>
        </w:rPr>
        <w:t xml:space="preserve">milijona evrov </w:t>
      </w:r>
      <w:r w:rsidRPr="004031A5">
        <w:rPr>
          <w:rFonts w:eastAsia="CIDFont+F2"/>
          <w:lang w:eastAsia="sl-SI"/>
        </w:rPr>
        <w:t xml:space="preserve">več od načrtov. </w:t>
      </w:r>
      <w:r>
        <w:rPr>
          <w:rFonts w:eastAsia="CIDFont+F2"/>
          <w:lang w:eastAsia="sl-SI"/>
        </w:rPr>
        <w:t xml:space="preserve">Republika Slovenija je od tega </w:t>
      </w:r>
      <w:r w:rsidRPr="004031A5">
        <w:rPr>
          <w:rFonts w:eastAsia="CIDFont+F2"/>
          <w:lang w:eastAsia="sl-SI"/>
        </w:rPr>
        <w:t xml:space="preserve">prejela 408,5 </w:t>
      </w:r>
      <w:r>
        <w:rPr>
          <w:rFonts w:eastAsia="CIDFont+F2"/>
          <w:lang w:eastAsia="sl-SI"/>
        </w:rPr>
        <w:t>milijona evrov</w:t>
      </w:r>
      <w:r w:rsidRPr="004031A5">
        <w:rPr>
          <w:rFonts w:eastAsia="CIDFont+F2"/>
          <w:lang w:eastAsia="sl-SI"/>
        </w:rPr>
        <w:t xml:space="preserve">, SDH 65,4 </w:t>
      </w:r>
      <w:r>
        <w:rPr>
          <w:rFonts w:eastAsia="CIDFont+F2"/>
          <w:lang w:eastAsia="sl-SI"/>
        </w:rPr>
        <w:t>milijona evrov</w:t>
      </w:r>
      <w:r w:rsidRPr="004031A5">
        <w:rPr>
          <w:rFonts w:eastAsia="CIDFont+F2"/>
          <w:lang w:eastAsia="sl-SI"/>
        </w:rPr>
        <w:t xml:space="preserve">, </w:t>
      </w:r>
      <w:r>
        <w:rPr>
          <w:rFonts w:eastAsia="CIDFont+F2"/>
          <w:lang w:eastAsia="sl-SI"/>
        </w:rPr>
        <w:t xml:space="preserve">Zavod za pokojninsko in invalidsko zavarovanje </w:t>
      </w:r>
      <w:r w:rsidRPr="004031A5">
        <w:rPr>
          <w:rFonts w:eastAsia="CIDFont+F2"/>
          <w:lang w:eastAsia="sl-SI"/>
        </w:rPr>
        <w:t xml:space="preserve">pa 13,7 </w:t>
      </w:r>
      <w:r>
        <w:rPr>
          <w:rFonts w:eastAsia="CIDFont+F2"/>
          <w:lang w:eastAsia="sl-SI"/>
        </w:rPr>
        <w:t>milijona evrov dividend</w:t>
      </w:r>
      <w:r w:rsidRPr="004031A5">
        <w:rPr>
          <w:rFonts w:eastAsia="CIDFont+F2"/>
          <w:lang w:eastAsia="sl-SI"/>
        </w:rPr>
        <w:t xml:space="preserve">. </w:t>
      </w:r>
      <w:r w:rsidR="00004F12">
        <w:rPr>
          <w:rFonts w:eastAsia="CIDFont+F2"/>
          <w:lang w:eastAsia="sl-SI"/>
        </w:rPr>
        <w:t>V</w:t>
      </w:r>
      <w:r w:rsidRPr="004031A5">
        <w:rPr>
          <w:rFonts w:eastAsia="CIDFont+F2"/>
          <w:lang w:eastAsia="sl-SI"/>
        </w:rPr>
        <w:t xml:space="preserve"> let</w:t>
      </w:r>
      <w:r w:rsidR="00004F12">
        <w:rPr>
          <w:rFonts w:eastAsia="CIDFont+F2"/>
          <w:lang w:eastAsia="sl-SI"/>
        </w:rPr>
        <w:t>u</w:t>
      </w:r>
      <w:r w:rsidRPr="004031A5">
        <w:rPr>
          <w:rFonts w:eastAsia="CIDFont+F2"/>
          <w:lang w:eastAsia="sl-SI"/>
        </w:rPr>
        <w:t xml:space="preserve"> 2025 je skupaj načrtovanih za 464,1 </w:t>
      </w:r>
      <w:r>
        <w:rPr>
          <w:rFonts w:eastAsia="CIDFont+F2"/>
          <w:lang w:eastAsia="sl-SI"/>
        </w:rPr>
        <w:t xml:space="preserve">milijona evrov </w:t>
      </w:r>
      <w:r w:rsidRPr="004031A5">
        <w:rPr>
          <w:rFonts w:eastAsia="CIDFont+F2"/>
          <w:lang w:eastAsia="sl-SI"/>
        </w:rPr>
        <w:t>dividend.</w:t>
      </w:r>
    </w:p>
    <w:p w14:paraId="0E905106" w14:textId="77777777" w:rsidR="00711B70" w:rsidRPr="004031A5" w:rsidRDefault="00711B70" w:rsidP="007E7435"/>
    <w:p w14:paraId="51810CB9" w14:textId="77777777" w:rsidR="00711B70" w:rsidRDefault="00711B70" w:rsidP="007E7435">
      <w:r w:rsidRPr="004031A5">
        <w:t>Vlada se je med drugim seznanila tudi s poročilom nadzornega sveta SDH o preveritvi letnega poročila SDH in Skupine SDH, upravi in nadzornemu svetu SDH je podelila razrešnico za lansko leto, za revizorja za leta 2025, 2026 in 2027 pa je imenovala revizijsko družbo DELOITTE REVIZIJA.</w:t>
      </w:r>
    </w:p>
    <w:p w14:paraId="13C2FC61" w14:textId="4CEC563B" w:rsidR="007F65BF" w:rsidRDefault="00124B01" w:rsidP="00706782">
      <w:pPr>
        <w:pStyle w:val="Vir"/>
      </w:pPr>
      <w:r>
        <w:t>Vir: Ministrstvo za finance</w:t>
      </w:r>
    </w:p>
    <w:p w14:paraId="35E3A10C" w14:textId="77777777" w:rsidR="00AE458F" w:rsidRDefault="00AE458F" w:rsidP="00AE458F">
      <w:pPr>
        <w:pStyle w:val="Naslov2"/>
      </w:pPr>
      <w:r>
        <w:t>Vlada imenovala člane sveta Javnega zavoda Krajinski park Strunjan</w:t>
      </w:r>
    </w:p>
    <w:p w14:paraId="18CC4B43" w14:textId="77777777" w:rsidR="00AE458F" w:rsidRDefault="00AE458F" w:rsidP="00AE458F">
      <w:r>
        <w:t xml:space="preserve">Vlada je v svet Javnega zavoda Krajinski park Strunjan kot predstavnike ustanovitelja imenovala Milico Maslo </w:t>
      </w:r>
      <w:proofErr w:type="spellStart"/>
      <w:r>
        <w:t>Brezer</w:t>
      </w:r>
      <w:proofErr w:type="spellEnd"/>
      <w:r>
        <w:t xml:space="preserve"> in Branko Tavzes z Ministrstva za naravne vire in prostor, Zorana Grubišića z Ministrstva za kohezijo in regionalni razvoj, Petra Bastjančiča z Ministrstva za kulturo in Niko Gregorič z Ministrstva za kmetijstvo, gozdarstvo in prehrano. Za predsednico sveta zavoda je imenovala Milica Maslo </w:t>
      </w:r>
      <w:proofErr w:type="spellStart"/>
      <w:r>
        <w:t>Brezer</w:t>
      </w:r>
      <w:proofErr w:type="spellEnd"/>
      <w:r>
        <w:t xml:space="preserve">. </w:t>
      </w:r>
    </w:p>
    <w:p w14:paraId="70700B59" w14:textId="77777777" w:rsidR="00AE458F" w:rsidRDefault="00AE458F" w:rsidP="00AE458F"/>
    <w:p w14:paraId="15705683" w14:textId="77777777" w:rsidR="00AE458F" w:rsidRDefault="00AE458F" w:rsidP="00AE458F">
      <w:r>
        <w:t>Dozdajšnjim članom sveta zavoda se je mandat iztekel 25. 5. 2025. Mandat novih članov bo začel teči z dnem konstitutivne seje javnega zavoda Krajinski park Strunjan in bo trajal 4 leta, z možnostjo vnovičnega imenovanja.</w:t>
      </w:r>
    </w:p>
    <w:p w14:paraId="3017F994" w14:textId="31F83B05" w:rsidR="00AE458F" w:rsidRPr="00AE458F" w:rsidRDefault="00AE458F" w:rsidP="00AE458F">
      <w:pPr>
        <w:pStyle w:val="Vir"/>
      </w:pPr>
      <w:r>
        <w:t>Vir: Ministrstvo za naravne vire in prostor</w:t>
      </w:r>
    </w:p>
    <w:p w14:paraId="61A821FF" w14:textId="77777777" w:rsidR="008C2851" w:rsidRPr="00856020" w:rsidRDefault="008C2851" w:rsidP="007E7435">
      <w:pPr>
        <w:pStyle w:val="Naslov2"/>
      </w:pPr>
      <w:r w:rsidRPr="00856020">
        <w:lastRenderedPageBreak/>
        <w:t xml:space="preserve">Nov član sveta SPIRIT Slovenija bo Peter Japelj </w:t>
      </w:r>
    </w:p>
    <w:p w14:paraId="00AC6D7E" w14:textId="77777777" w:rsidR="008C2851" w:rsidRPr="00D55DE7" w:rsidRDefault="008C2851" w:rsidP="00D55DE7">
      <w:pPr>
        <w:rPr>
          <w:highlight w:val="yellow"/>
        </w:rPr>
      </w:pPr>
      <w:r w:rsidRPr="00D55DE7">
        <w:t>Vlada je izdala odločbo o razrešitvi dr. Slobodana Šešuma z mesta člana sveta Javne agencije Republike Slovenije za spodbujanje investicij, podjetništva in internacionalizacije (SPIRIT Slovenija) ter z 22. avgustom 2025 do konca mandata, to je do 8. decembra 2027, kot predstavnika Ministrstva za zunanje in evropske zadeve, imenovala Petra Japlja.</w:t>
      </w:r>
      <w:r w:rsidRPr="00D55DE7">
        <w:rPr>
          <w:highlight w:val="yellow"/>
        </w:rPr>
        <w:t xml:space="preserve"> </w:t>
      </w:r>
    </w:p>
    <w:p w14:paraId="71F127F4" w14:textId="77777777" w:rsidR="008C2851" w:rsidRPr="00856020" w:rsidRDefault="008C2851" w:rsidP="00D55DE7"/>
    <w:p w14:paraId="4B96A9C9" w14:textId="77777777" w:rsidR="008C2851" w:rsidRPr="00856020" w:rsidRDefault="008C2851" w:rsidP="00D55DE7">
      <w:r w:rsidRPr="00856020">
        <w:t xml:space="preserve">Zakon o javnih agencijah določa, da ustanovitelj javne agencije, </w:t>
      </w:r>
      <w:r>
        <w:t>ki je</w:t>
      </w:r>
      <w:r w:rsidRPr="00856020">
        <w:t xml:space="preserve"> Vlada Republike Slovenije, imenuje in razrešuje člane oziroma članice sveta javne agencije. </w:t>
      </w:r>
    </w:p>
    <w:p w14:paraId="6DFC69D8" w14:textId="77777777" w:rsidR="008C2851" w:rsidRPr="00856020" w:rsidRDefault="008C2851" w:rsidP="00D55DE7">
      <w:pPr>
        <w:rPr>
          <w:highlight w:val="yellow"/>
        </w:rPr>
      </w:pPr>
    </w:p>
    <w:p w14:paraId="07757DE8" w14:textId="77777777" w:rsidR="008C2851" w:rsidRPr="00856020" w:rsidRDefault="008C2851" w:rsidP="00D55DE7">
      <w:r w:rsidRPr="00856020">
        <w:t xml:space="preserve">Sklep o ustanovitvi SPIRIT Slovenija določa, da ima svet sedem članov. Člane sveta </w:t>
      </w:r>
      <w:r>
        <w:t>vlada</w:t>
      </w:r>
      <w:r w:rsidRPr="00856020">
        <w:t xml:space="preserve"> imenuje in razrešuje na predlog ministra, pristojnega za gospodarstvo, in sicer:</w:t>
      </w:r>
    </w:p>
    <w:p w14:paraId="416BD944" w14:textId="77777777" w:rsidR="008C2851" w:rsidRPr="00856020" w:rsidRDefault="008C2851" w:rsidP="00D55DE7">
      <w:pPr>
        <w:pStyle w:val="Odstavekseznama"/>
        <w:numPr>
          <w:ilvl w:val="0"/>
          <w:numId w:val="32"/>
        </w:numPr>
      </w:pPr>
      <w:r w:rsidRPr="00856020">
        <w:t>tri predstavnike ministrstva, pristojnega za gospodarstvo,</w:t>
      </w:r>
    </w:p>
    <w:p w14:paraId="617AD114" w14:textId="77777777" w:rsidR="008C2851" w:rsidRPr="00856020" w:rsidRDefault="008C2851" w:rsidP="00D55DE7">
      <w:pPr>
        <w:pStyle w:val="Odstavekseznama"/>
        <w:numPr>
          <w:ilvl w:val="0"/>
          <w:numId w:val="32"/>
        </w:numPr>
      </w:pPr>
      <w:r w:rsidRPr="00856020">
        <w:t>enega predstavnika ministrstva, pristojnega za finance,</w:t>
      </w:r>
    </w:p>
    <w:p w14:paraId="3FB3E221" w14:textId="77777777" w:rsidR="008C2851" w:rsidRPr="00856020" w:rsidRDefault="008C2851" w:rsidP="00D55DE7">
      <w:pPr>
        <w:pStyle w:val="Odstavekseznama"/>
        <w:numPr>
          <w:ilvl w:val="0"/>
          <w:numId w:val="32"/>
        </w:numPr>
      </w:pPr>
      <w:r w:rsidRPr="00856020">
        <w:t>enega predstavnika ministrstva, pristojnega za zunanje zadeve,</w:t>
      </w:r>
    </w:p>
    <w:p w14:paraId="72F6DB1C" w14:textId="77777777" w:rsidR="008C2851" w:rsidRPr="00856020" w:rsidRDefault="008C2851" w:rsidP="00D55DE7">
      <w:pPr>
        <w:pStyle w:val="Odstavekseznama"/>
        <w:numPr>
          <w:ilvl w:val="0"/>
          <w:numId w:val="32"/>
        </w:numPr>
      </w:pPr>
      <w:r w:rsidRPr="00856020">
        <w:t>enega predstavnika Gospodarske zbornice Slovenije,</w:t>
      </w:r>
    </w:p>
    <w:p w14:paraId="0340BA2F" w14:textId="77777777" w:rsidR="008C2851" w:rsidRPr="00856020" w:rsidRDefault="008C2851" w:rsidP="00D55DE7">
      <w:pPr>
        <w:pStyle w:val="Odstavekseznama"/>
        <w:numPr>
          <w:ilvl w:val="0"/>
          <w:numId w:val="32"/>
        </w:numPr>
      </w:pPr>
      <w:r w:rsidRPr="00856020">
        <w:t>enega predstavnika Obrtno podjetniške zbornice Slovenije.</w:t>
      </w:r>
    </w:p>
    <w:p w14:paraId="65335E09" w14:textId="77777777" w:rsidR="008C2851" w:rsidRPr="00856020" w:rsidRDefault="008C2851" w:rsidP="00D55DE7"/>
    <w:p w14:paraId="7EAB6B9D" w14:textId="77777777" w:rsidR="008C2851" w:rsidRPr="00856020" w:rsidRDefault="008C2851" w:rsidP="00D55DE7">
      <w:r w:rsidRPr="00856020">
        <w:t>Člani so imenovani za dobo petih let in so lahko ponovno imenovani. Člani sveta ne morejo biti  osebe, ki so zaposlene v tej javni agenciji, funkcionarji v izvršilni veji oblasti in osebe, za katere obstaja možnost konflikta med njihovimi zasebnimi interesi in javnimi interesi, ki jih zasleduje javna agencija.</w:t>
      </w:r>
    </w:p>
    <w:p w14:paraId="114C6FE8" w14:textId="77777777" w:rsidR="008C2851" w:rsidRPr="00856020" w:rsidRDefault="008C2851" w:rsidP="00D55DE7">
      <w:pPr>
        <w:rPr>
          <w:highlight w:val="yellow"/>
        </w:rPr>
      </w:pPr>
    </w:p>
    <w:p w14:paraId="5C4A37AA" w14:textId="006E60DE" w:rsidR="008C2851" w:rsidRPr="00D55DE7" w:rsidRDefault="008C2851" w:rsidP="00D55DE7">
      <w:r w:rsidRPr="00856020">
        <w:t>Dr. Slobodan Šešum je 18. junija 2025 odstopil z mesta člana sveta SPIRIT Slovenija. Na podlagi navedenega je Ministrstvo za zunanje in evropske zadeve predlagalo imenovanje novega člana, in sicer Petra Japlja.</w:t>
      </w:r>
      <w:r>
        <w:t xml:space="preserve"> </w:t>
      </w:r>
    </w:p>
    <w:p w14:paraId="385A4255" w14:textId="06EB7334" w:rsidR="007F65BF" w:rsidRDefault="008C2851" w:rsidP="00706782">
      <w:pPr>
        <w:pStyle w:val="Vir"/>
      </w:pPr>
      <w:r w:rsidRPr="00856020">
        <w:t>Vir: Ministrstvo za gospodarstvo, turizem in šport</w:t>
      </w:r>
    </w:p>
    <w:p w14:paraId="7E35C0B9" w14:textId="6D981EAA" w:rsidR="00BB562F" w:rsidRPr="00B716BC" w:rsidRDefault="00BB562F" w:rsidP="00D55DE7">
      <w:pPr>
        <w:pStyle w:val="Naslov2"/>
      </w:pPr>
      <w:r w:rsidRPr="00B716BC">
        <w:t>Vlada</w:t>
      </w:r>
      <w:r>
        <w:t xml:space="preserve"> o</w:t>
      </w:r>
      <w:r w:rsidRPr="00B716BC">
        <w:t xml:space="preserve"> </w:t>
      </w:r>
      <w:r w:rsidRPr="00944B68">
        <w:t>imenovanju članov Sveta Vlade Republike Slovenije</w:t>
      </w:r>
      <w:r>
        <w:t xml:space="preserve"> </w:t>
      </w:r>
      <w:r w:rsidRPr="00944B68">
        <w:t>za spodbujanje razvoja prostovoljstva, prostovoljskih in nevladnih organizacij</w:t>
      </w:r>
    </w:p>
    <w:p w14:paraId="0B82609F" w14:textId="343A4414" w:rsidR="00BB562F" w:rsidRPr="00944B68" w:rsidRDefault="00BB562F" w:rsidP="00D55DE7">
      <w:r w:rsidRPr="00944B68">
        <w:t>Vlada je na podlagi šestega odstavka</w:t>
      </w:r>
      <w:r w:rsidRPr="00944B68">
        <w:rPr>
          <w:spacing w:val="40"/>
        </w:rPr>
        <w:t xml:space="preserve"> </w:t>
      </w:r>
      <w:r w:rsidRPr="00944B68">
        <w:t xml:space="preserve">21. člena Zakona o Vladi </w:t>
      </w:r>
      <w:r>
        <w:t>RS</w:t>
      </w:r>
      <w:r w:rsidRPr="00944B68">
        <w:rPr>
          <w:spacing w:val="-8"/>
        </w:rPr>
        <w:t xml:space="preserve"> </w:t>
      </w:r>
      <w:r w:rsidRPr="00944B68">
        <w:t>sprejela</w:t>
      </w:r>
      <w:r>
        <w:t xml:space="preserve"> sklep</w:t>
      </w:r>
      <w:r w:rsidRPr="00944B68">
        <w:t xml:space="preserve">, da se v Svetu Vlade </w:t>
      </w:r>
      <w:r>
        <w:t>RS</w:t>
      </w:r>
      <w:r w:rsidRPr="00944B68">
        <w:t xml:space="preserve"> za spodbujanje razvoja prostovoljstva, prostovoljskih in nevladnih organizacij, ustanovljenem z </w:t>
      </w:r>
      <w:r>
        <w:t>o</w:t>
      </w:r>
      <w:r w:rsidRPr="00944B68">
        <w:t xml:space="preserve">dlokom o </w:t>
      </w:r>
      <w:r>
        <w:t>omenjenem s</w:t>
      </w:r>
      <w:r w:rsidRPr="00944B68">
        <w:t xml:space="preserve">vetu </w:t>
      </w:r>
      <w:r>
        <w:t>v</w:t>
      </w:r>
      <w:r w:rsidRPr="00944B68">
        <w:t>lade</w:t>
      </w:r>
      <w:r>
        <w:t xml:space="preserve"> </w:t>
      </w:r>
      <w:r w:rsidRPr="00944B68">
        <w:t>razrešita članica,  državna sekretarka Eva Knez in</w:t>
      </w:r>
      <w:r w:rsidRPr="00944B68">
        <w:rPr>
          <w:rFonts w:eastAsiaTheme="minorHAnsi"/>
        </w:rPr>
        <w:t xml:space="preserve"> namestnica članice, višja svetovalka II </w:t>
      </w:r>
      <w:r w:rsidRPr="00944B68">
        <w:t xml:space="preserve">Jana Jerman. Namesto njiju se do izteka mandata razrešene članice in namestnice članice, to je do 11. decembra 2028, imenujeta članica, državna sekretarka </w:t>
      </w:r>
      <w:r w:rsidRPr="00944B68">
        <w:rPr>
          <w:bCs/>
        </w:rPr>
        <w:t xml:space="preserve">Maša Žagar in </w:t>
      </w:r>
      <w:r w:rsidRPr="00944B68">
        <w:t xml:space="preserve">namestnica članice, podsekretarka Vesna Stradar. </w:t>
      </w:r>
    </w:p>
    <w:p w14:paraId="23C16D89" w14:textId="77777777" w:rsidR="00BB562F" w:rsidRPr="00944B68" w:rsidRDefault="00BB562F" w:rsidP="00D55DE7"/>
    <w:p w14:paraId="4E93D5F8" w14:textId="77777777" w:rsidR="00BB562F" w:rsidRPr="00944B68" w:rsidRDefault="00BB562F" w:rsidP="00D55DE7">
      <w:r w:rsidRPr="00944B68">
        <w:t xml:space="preserve">Obenem je vlada sprejela Sklep o spremembi Sklepa o imenovanju članov Sveta </w:t>
      </w:r>
      <w:r>
        <w:t>RS</w:t>
      </w:r>
      <w:r w:rsidRPr="00944B68">
        <w:t xml:space="preserve"> za spodbujanje razvoja prostovoljstva, prostovoljskih in nevladnih organizacij z dne 12. 12. 2024 in z dne 22. 1. 2025.</w:t>
      </w:r>
    </w:p>
    <w:p w14:paraId="18846396" w14:textId="6795091F" w:rsidR="00BB562F" w:rsidRDefault="00D55DE7" w:rsidP="00D55DE7">
      <w:pPr>
        <w:pStyle w:val="Vir"/>
      </w:pPr>
      <w:r>
        <w:t>Vir: Ministrstvo za javno upravo</w:t>
      </w:r>
    </w:p>
    <w:p w14:paraId="5D379393" w14:textId="77777777" w:rsidR="008C2851" w:rsidRPr="00EB7C83" w:rsidRDefault="008C2851" w:rsidP="00D55DE7">
      <w:pPr>
        <w:pStyle w:val="Naslov2"/>
        <w:rPr>
          <w:szCs w:val="20"/>
        </w:rPr>
      </w:pPr>
      <w:r>
        <w:t>Programski odbor</w:t>
      </w:r>
      <w:r w:rsidRPr="00EB7C83">
        <w:t xml:space="preserve"> za </w:t>
      </w:r>
      <w:r w:rsidRPr="00286470">
        <w:t>operativno usklajevanje znanstvenoraziskovalne in inovacijske politike</w:t>
      </w:r>
      <w:r w:rsidRPr="00EB7C83">
        <w:t xml:space="preserve"> z nov</w:t>
      </w:r>
      <w:r>
        <w:t>imi</w:t>
      </w:r>
      <w:r w:rsidRPr="00EB7C83">
        <w:t xml:space="preserve"> člani</w:t>
      </w:r>
    </w:p>
    <w:p w14:paraId="0D1438E0" w14:textId="3EDDBF1B" w:rsidR="008C2851" w:rsidRDefault="008C2851" w:rsidP="00D55DE7">
      <w:pPr>
        <w:rPr>
          <w:rFonts w:eastAsia="Calibri"/>
        </w:rPr>
      </w:pPr>
      <w:r w:rsidRPr="00EB7C83">
        <w:rPr>
          <w:rFonts w:eastAsia="Calibri"/>
        </w:rPr>
        <w:t>Vlada je sprejela sprememb</w:t>
      </w:r>
      <w:r>
        <w:rPr>
          <w:rFonts w:eastAsia="Calibri"/>
        </w:rPr>
        <w:t>o</w:t>
      </w:r>
      <w:r w:rsidRPr="00EB7C83">
        <w:rPr>
          <w:rFonts w:eastAsia="Calibri"/>
        </w:rPr>
        <w:t xml:space="preserve"> Sklepa o ustanovitvi </w:t>
      </w:r>
      <w:r w:rsidRPr="00286470">
        <w:rPr>
          <w:rFonts w:eastAsia="Calibri"/>
        </w:rPr>
        <w:t>Programskega odbora za operativno usklajevanje znanstvenoraziskovalne in inovacijske politike</w:t>
      </w:r>
      <w:r w:rsidRPr="00EB7C83">
        <w:rPr>
          <w:rFonts w:eastAsia="Calibri"/>
        </w:rPr>
        <w:t>, in v</w:t>
      </w:r>
      <w:r>
        <w:rPr>
          <w:rFonts w:eastAsia="Calibri"/>
        </w:rPr>
        <w:t xml:space="preserve"> programski odbor</w:t>
      </w:r>
      <w:r w:rsidRPr="00EB7C83">
        <w:rPr>
          <w:rFonts w:eastAsia="Calibri"/>
        </w:rPr>
        <w:t xml:space="preserve"> imenovala nov</w:t>
      </w:r>
      <w:r>
        <w:rPr>
          <w:rFonts w:eastAsia="Calibri"/>
        </w:rPr>
        <w:t>e</w:t>
      </w:r>
      <w:r w:rsidRPr="00EB7C83">
        <w:rPr>
          <w:rFonts w:eastAsia="Calibri"/>
        </w:rPr>
        <w:t xml:space="preserve"> član</w:t>
      </w:r>
      <w:r>
        <w:rPr>
          <w:rFonts w:eastAsia="Calibri"/>
        </w:rPr>
        <w:t>e</w:t>
      </w:r>
      <w:r w:rsidRPr="00EB7C83">
        <w:rPr>
          <w:rFonts w:eastAsia="Calibri"/>
        </w:rPr>
        <w:t xml:space="preserve">. </w:t>
      </w:r>
    </w:p>
    <w:p w14:paraId="5BD69CED" w14:textId="77777777" w:rsidR="008C2851" w:rsidRDefault="008C2851" w:rsidP="00D55DE7">
      <w:pPr>
        <w:rPr>
          <w:rFonts w:eastAsia="Calibri"/>
        </w:rPr>
      </w:pPr>
    </w:p>
    <w:p w14:paraId="534F08BD" w14:textId="77777777" w:rsidR="008C2851" w:rsidRPr="00493CA8" w:rsidRDefault="008C2851" w:rsidP="00D55DE7">
      <w:pPr>
        <w:rPr>
          <w:rFonts w:eastAsia="Calibri"/>
        </w:rPr>
      </w:pPr>
      <w:r w:rsidRPr="00493CA8">
        <w:rPr>
          <w:rFonts w:eastAsia="Calibri"/>
        </w:rPr>
        <w:t>Z mesta članice je vlada razrešila dr. Špelo Stres, nekdanjo direktoric</w:t>
      </w:r>
      <w:r>
        <w:rPr>
          <w:rFonts w:eastAsia="Calibri"/>
        </w:rPr>
        <w:t>o</w:t>
      </w:r>
      <w:r w:rsidRPr="00493CA8">
        <w:rPr>
          <w:rFonts w:eastAsia="Calibri"/>
        </w:rPr>
        <w:t xml:space="preserve"> Javne agencije za znanstvenoraziskovalno in inovacijsko dejavnost Republike Slovenije, in namesto nje imenovala Tjašo </w:t>
      </w:r>
      <w:r w:rsidRPr="00493CA8">
        <w:rPr>
          <w:rFonts w:eastAsia="Calibri"/>
        </w:rPr>
        <w:lastRenderedPageBreak/>
        <w:t>Dobnik,</w:t>
      </w:r>
      <w:r>
        <w:rPr>
          <w:rFonts w:eastAsia="Calibri"/>
        </w:rPr>
        <w:t xml:space="preserve"> </w:t>
      </w:r>
      <w:r w:rsidRPr="00493CA8">
        <w:rPr>
          <w:rFonts w:eastAsia="Calibri"/>
        </w:rPr>
        <w:t xml:space="preserve">direktorico Javne agencije za znanstvenoraziskovalno in inovacijsko dejavnost Republike Slovenije. </w:t>
      </w:r>
    </w:p>
    <w:p w14:paraId="1A0F0FEE" w14:textId="77777777" w:rsidR="008C2851" w:rsidRPr="00493CA8" w:rsidRDefault="008C2851" w:rsidP="00D55DE7">
      <w:pPr>
        <w:rPr>
          <w:rFonts w:eastAsia="Calibri"/>
        </w:rPr>
      </w:pPr>
    </w:p>
    <w:p w14:paraId="4EE2EC0F" w14:textId="77777777" w:rsidR="008C2851" w:rsidRDefault="008C2851" w:rsidP="00D55DE7">
      <w:pPr>
        <w:rPr>
          <w:iCs/>
          <w:lang w:eastAsia="sl-SI"/>
        </w:rPr>
      </w:pPr>
      <w:r w:rsidRPr="00493CA8">
        <w:rPr>
          <w:rFonts w:eastAsia="Calibri"/>
        </w:rPr>
        <w:t>Vlada je v programski odbor imenovala tudi dva nova člana, dr. Janeza Blaža, predstavnika Ministrstva za okolje, podnebje in energijo in dr. Liliano Brožič, predstavnico Ministrstva za obrambo.</w:t>
      </w:r>
    </w:p>
    <w:p w14:paraId="7286EA0A" w14:textId="77777777" w:rsidR="008C2851" w:rsidRPr="00AB65FA" w:rsidRDefault="008C2851" w:rsidP="00D55DE7">
      <w:pPr>
        <w:rPr>
          <w:iCs/>
          <w:lang w:eastAsia="sl-SI"/>
        </w:rPr>
      </w:pPr>
    </w:p>
    <w:p w14:paraId="3CCD85BB" w14:textId="77777777" w:rsidR="008C2851" w:rsidRDefault="008C2851" w:rsidP="00D55DE7">
      <w:r w:rsidRPr="00493CA8">
        <w:t>Programski odbor skupaj z novim Zakonom o znanstvenoraziskovalni in inovacijski dejavnosti predstavlja pomemb</w:t>
      </w:r>
      <w:r>
        <w:t>e</w:t>
      </w:r>
      <w:r w:rsidRPr="00493CA8">
        <w:t>n del reformnih aktivnosti v okviru komponente: Raziskave, razvoj in inovacije</w:t>
      </w:r>
      <w:r>
        <w:t xml:space="preserve"> </w:t>
      </w:r>
      <w:r w:rsidRPr="00493CA8">
        <w:t>v okviru Načrta za okrevanje in odpornost, ki ga financira Evropska Unija.</w:t>
      </w:r>
    </w:p>
    <w:p w14:paraId="06BDCA76" w14:textId="77777777" w:rsidR="00D55DE7" w:rsidRDefault="00D55DE7" w:rsidP="00D55DE7"/>
    <w:p w14:paraId="339039C4" w14:textId="5BF951A3" w:rsidR="008C2851" w:rsidRPr="00493CA8" w:rsidRDefault="008C2851" w:rsidP="00D55DE7">
      <w:r w:rsidRPr="00493CA8">
        <w:t>Medinstitucionalni programski odbor med drugim:</w:t>
      </w:r>
    </w:p>
    <w:p w14:paraId="3F04DE15" w14:textId="77777777" w:rsidR="008C2851" w:rsidRPr="00AB65FA" w:rsidRDefault="008C2851" w:rsidP="00D55DE7">
      <w:pPr>
        <w:pStyle w:val="Odstavekseznama"/>
        <w:numPr>
          <w:ilvl w:val="0"/>
          <w:numId w:val="33"/>
        </w:numPr>
      </w:pPr>
      <w:r w:rsidRPr="00AB65FA">
        <w:t>pripravlja skupna izhodišča za usklajeno znanstveno-raziskovalno in inovacijsko politiko, ki so osnova za bolj učinkovito in koordinirano upravljanje raziskovalno razvojnih in inovacijskih aktivnosti;</w:t>
      </w:r>
    </w:p>
    <w:p w14:paraId="38C8A937" w14:textId="77777777" w:rsidR="008C2851" w:rsidRPr="00AB65FA" w:rsidRDefault="008C2851" w:rsidP="00D55DE7">
      <w:pPr>
        <w:pStyle w:val="Odstavekseznama"/>
        <w:numPr>
          <w:ilvl w:val="0"/>
          <w:numId w:val="33"/>
        </w:numPr>
      </w:pPr>
      <w:r w:rsidRPr="00AB65FA">
        <w:t>obravnava in usklajuje strateško - operativne vidike, ki se nanašajo na načrtovanje znanstvenoraziskovalne in inovacijske politike;</w:t>
      </w:r>
    </w:p>
    <w:p w14:paraId="051077CE" w14:textId="77777777" w:rsidR="008C2851" w:rsidRDefault="008C2851" w:rsidP="00D55DE7">
      <w:pPr>
        <w:pStyle w:val="Odstavekseznama"/>
        <w:numPr>
          <w:ilvl w:val="0"/>
          <w:numId w:val="33"/>
        </w:numPr>
      </w:pPr>
      <w:r w:rsidRPr="00AB65FA">
        <w:t>usklajuje programe in ukrepe financiranja ministrstev ter javnih agencij, ki so zastopani v programskem odboru ne glede na vir financiranja s ciljem stabilnega in usklajenega financiranja</w:t>
      </w:r>
      <w:r>
        <w:t>.</w:t>
      </w:r>
    </w:p>
    <w:p w14:paraId="63D0BEA0" w14:textId="77777777" w:rsidR="008C2851" w:rsidRPr="00AB65FA" w:rsidRDefault="008C2851" w:rsidP="00D55DE7"/>
    <w:p w14:paraId="5A2DE115" w14:textId="77777777" w:rsidR="008C2851" w:rsidRDefault="008C2851" w:rsidP="00D55DE7">
      <w:pPr>
        <w:rPr>
          <w:iCs/>
          <w:lang w:eastAsia="sl-SI"/>
        </w:rPr>
      </w:pPr>
      <w:r>
        <w:rPr>
          <w:iCs/>
          <w:lang w:eastAsia="sl-SI"/>
        </w:rPr>
        <w:t xml:space="preserve">Člani Programskega odbora so: </w:t>
      </w:r>
    </w:p>
    <w:p w14:paraId="2D20BE1E" w14:textId="77777777" w:rsidR="008C2851" w:rsidRDefault="008C2851" w:rsidP="00D55DE7">
      <w:pPr>
        <w:rPr>
          <w:rFonts w:eastAsiaTheme="minorHAnsi"/>
        </w:rPr>
      </w:pPr>
    </w:p>
    <w:p w14:paraId="5F4238B0" w14:textId="683DD7AE" w:rsidR="008C2851" w:rsidRPr="00217ACF" w:rsidRDefault="008C2851" w:rsidP="00D55DE7">
      <w:pPr>
        <w:pStyle w:val="Odstavekseznama"/>
        <w:numPr>
          <w:ilvl w:val="0"/>
          <w:numId w:val="34"/>
        </w:numPr>
      </w:pPr>
      <w:r>
        <w:t>dr. Tomaž Boh, generalni direktor Direktorata za znanost in inovacije, Ministrstvo za visoko šolstvo, znanost in inovacije;</w:t>
      </w:r>
    </w:p>
    <w:p w14:paraId="40B4F6C9" w14:textId="410D6C94" w:rsidR="008C2851" w:rsidRDefault="008C2851" w:rsidP="00D55DE7">
      <w:pPr>
        <w:pStyle w:val="Odstavekseznama"/>
        <w:numPr>
          <w:ilvl w:val="0"/>
          <w:numId w:val="34"/>
        </w:numPr>
      </w:pPr>
      <w:r>
        <w:t>Jernej Salecl, generalni direktor Direktorata za industrijo, podjetništvo in internacionalizacijo, Ministrstvo za gospodarstvo, turizem in šport;</w:t>
      </w:r>
    </w:p>
    <w:p w14:paraId="4B47735D" w14:textId="6C44A5A7" w:rsidR="008C2851" w:rsidRDefault="008C2851" w:rsidP="00D55DE7">
      <w:pPr>
        <w:pStyle w:val="Odstavekseznama"/>
        <w:numPr>
          <w:ilvl w:val="0"/>
          <w:numId w:val="34"/>
        </w:numPr>
      </w:pPr>
      <w:r>
        <w:t>Ivana Erjavec, vodja Službe za razvoj in prenos znanja, Ministrstvo za kmetijstvo, gozdarstvo in prehrano;</w:t>
      </w:r>
    </w:p>
    <w:p w14:paraId="145D2B52" w14:textId="0404D90B" w:rsidR="008C2851" w:rsidRDefault="008C2851" w:rsidP="00D55DE7">
      <w:pPr>
        <w:pStyle w:val="Odstavekseznama"/>
        <w:numPr>
          <w:ilvl w:val="0"/>
          <w:numId w:val="34"/>
        </w:numPr>
      </w:pPr>
      <w:r>
        <w:t>Marko Hren, sekretar, Ministrstvo za kohezijo in regionalni razvoj;</w:t>
      </w:r>
    </w:p>
    <w:p w14:paraId="02EC7666" w14:textId="13B30C55" w:rsidR="008C2851" w:rsidRDefault="008C2851" w:rsidP="00D55DE7">
      <w:pPr>
        <w:pStyle w:val="Odstavekseznama"/>
        <w:numPr>
          <w:ilvl w:val="0"/>
          <w:numId w:val="34"/>
        </w:numPr>
      </w:pPr>
      <w:r>
        <w:t>Tjaša Dobnik, direktorica Javne agencije za znanstvenoraziskovalno in inovacijsko dejavnost Republike Slovenije;</w:t>
      </w:r>
    </w:p>
    <w:p w14:paraId="0274FC5D" w14:textId="48EA43A7" w:rsidR="008C2851" w:rsidRDefault="008C2851" w:rsidP="00D55DE7">
      <w:pPr>
        <w:pStyle w:val="Odstavekseznama"/>
        <w:numPr>
          <w:ilvl w:val="0"/>
          <w:numId w:val="34"/>
        </w:numPr>
      </w:pPr>
      <w:r w:rsidRPr="00217ACF">
        <w:t>Irena Meterc, vodja sektorja za spodbujanje podjetništva in tehnološkega razvoja, Javna agencija Republike Slovenije za spodbujanje podjetništva, internacionalizacije, tujih investicij in tehnologije;</w:t>
      </w:r>
    </w:p>
    <w:p w14:paraId="376BD40F" w14:textId="06E90B0C" w:rsidR="008C2851" w:rsidRDefault="008C2851" w:rsidP="00D55DE7">
      <w:pPr>
        <w:pStyle w:val="Odstavekseznama"/>
        <w:numPr>
          <w:ilvl w:val="0"/>
          <w:numId w:val="34"/>
        </w:numPr>
      </w:pPr>
      <w:r>
        <w:t>Matej Zalar, direktor Oddelka za razvoj produktov in evropske programe, SID – Slovenska izvozna in razvojna banka;</w:t>
      </w:r>
    </w:p>
    <w:p w14:paraId="772FC04B" w14:textId="1BD5B0F6" w:rsidR="008C2851" w:rsidRDefault="008C2851" w:rsidP="00D55DE7">
      <w:pPr>
        <w:pStyle w:val="Odstavekseznama"/>
        <w:numPr>
          <w:ilvl w:val="0"/>
          <w:numId w:val="34"/>
        </w:numPr>
      </w:pPr>
      <w:r>
        <w:t>dr. Janez Blaž, sekretar, Ministrstvo za okolje, podnebje in energijo;</w:t>
      </w:r>
    </w:p>
    <w:p w14:paraId="7DF10670" w14:textId="77777777" w:rsidR="008C2851" w:rsidRPr="00217ACF" w:rsidRDefault="008C2851" w:rsidP="00D55DE7">
      <w:pPr>
        <w:pStyle w:val="Odstavekseznama"/>
        <w:numPr>
          <w:ilvl w:val="0"/>
          <w:numId w:val="34"/>
        </w:numPr>
      </w:pPr>
      <w:r w:rsidRPr="00217ACF">
        <w:t>dr. Liliana Brožič, sekretarka, Ministrstvo za obrambo.</w:t>
      </w:r>
    </w:p>
    <w:p w14:paraId="2290E702" w14:textId="77777777" w:rsidR="008C2851" w:rsidRPr="00217ACF" w:rsidRDefault="008C2851" w:rsidP="00D55DE7"/>
    <w:p w14:paraId="2BFAF5FE" w14:textId="77777777" w:rsidR="008C2851" w:rsidRPr="00AB65FA" w:rsidRDefault="008C2851" w:rsidP="00D55DE7">
      <w:r w:rsidRPr="00493CA8">
        <w:t xml:space="preserve">Sprememba imenovanih članov </w:t>
      </w:r>
      <w:r>
        <w:t xml:space="preserve">je bila predlagana in sprejeta </w:t>
      </w:r>
      <w:r w:rsidRPr="00493CA8">
        <w:t xml:space="preserve">z namenom, da so na ravni programskega odbora imenovani člani na podobnih oziroma primerljivih položajih s pristojnostjo sprejemanja odločitev ter novi člani z namenom priključitve novih resorjev, ki se ravno tako ukvarjajo s področjem raziskav, razvoja in inovacij. </w:t>
      </w:r>
    </w:p>
    <w:p w14:paraId="3A662688" w14:textId="77E65A9E" w:rsidR="007F65BF" w:rsidRDefault="008C2851" w:rsidP="00D55DE7">
      <w:pPr>
        <w:pStyle w:val="Vir"/>
      </w:pPr>
      <w:r>
        <w:t>Vir: Ministrstvo za gospodarstvo, turizem in šport</w:t>
      </w:r>
    </w:p>
    <w:sectPr w:rsidR="007F65BF"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2A03" w14:textId="77777777" w:rsidR="00092851" w:rsidRDefault="00092851" w:rsidP="00750D01">
      <w:pPr>
        <w:spacing w:line="240" w:lineRule="auto"/>
      </w:pPr>
      <w:r>
        <w:separator/>
      </w:r>
    </w:p>
  </w:endnote>
  <w:endnote w:type="continuationSeparator" w:id="0">
    <w:p w14:paraId="0CB0ECD5" w14:textId="77777777" w:rsidR="00092851" w:rsidRDefault="00092851"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Republika">
    <w:altName w:val="Franklin Gothic Medium Cond"/>
    <w:panose1 w:val="02000506040000020004"/>
    <w:charset w:val="EE"/>
    <w:family w:val="auto"/>
    <w:pitch w:val="variable"/>
    <w:sig w:usb0="A00000FF" w:usb1="4000205B" w:usb2="00000000" w:usb3="00000000" w:csb0="00000093" w:csb1="00000000"/>
  </w:font>
  <w:font w:name="Aptos">
    <w:charset w:val="00"/>
    <w:family w:val="swiss"/>
    <w:pitch w:val="variable"/>
    <w:sig w:usb0="20000287" w:usb1="00000003"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C126" w14:textId="77777777" w:rsidR="00092851" w:rsidRDefault="00092851" w:rsidP="00750D01">
      <w:pPr>
        <w:spacing w:line="240" w:lineRule="auto"/>
      </w:pPr>
      <w:r>
        <w:separator/>
      </w:r>
    </w:p>
  </w:footnote>
  <w:footnote w:type="continuationSeparator" w:id="0">
    <w:p w14:paraId="2A1AD812" w14:textId="77777777" w:rsidR="00092851" w:rsidRDefault="00092851"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11DF0"/>
    <w:multiLevelType w:val="hybridMultilevel"/>
    <w:tmpl w:val="021410A4"/>
    <w:lvl w:ilvl="0" w:tplc="C958E894">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4CBB"/>
    <w:multiLevelType w:val="hybridMultilevel"/>
    <w:tmpl w:val="B7FA97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8F600C"/>
    <w:multiLevelType w:val="hybridMultilevel"/>
    <w:tmpl w:val="566CE53A"/>
    <w:lvl w:ilvl="0" w:tplc="32A650E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24717C"/>
    <w:multiLevelType w:val="hybridMultilevel"/>
    <w:tmpl w:val="024679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783507"/>
    <w:multiLevelType w:val="hybridMultilevel"/>
    <w:tmpl w:val="109A4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B73B8"/>
    <w:multiLevelType w:val="hybridMultilevel"/>
    <w:tmpl w:val="5E4E4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54216"/>
    <w:multiLevelType w:val="hybridMultilevel"/>
    <w:tmpl w:val="8C9A64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E428B8"/>
    <w:multiLevelType w:val="hybridMultilevel"/>
    <w:tmpl w:val="D00E40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95F57B9"/>
    <w:multiLevelType w:val="hybridMultilevel"/>
    <w:tmpl w:val="2690C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2B6B28"/>
    <w:multiLevelType w:val="hybridMultilevel"/>
    <w:tmpl w:val="35C4F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752570"/>
    <w:multiLevelType w:val="hybridMultilevel"/>
    <w:tmpl w:val="C5AA9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5111C9"/>
    <w:multiLevelType w:val="hybridMultilevel"/>
    <w:tmpl w:val="59E2A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723C77"/>
    <w:multiLevelType w:val="hybridMultilevel"/>
    <w:tmpl w:val="864A4C60"/>
    <w:lvl w:ilvl="0" w:tplc="B87844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814D8C"/>
    <w:multiLevelType w:val="hybridMultilevel"/>
    <w:tmpl w:val="DCE82D7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7267F8"/>
    <w:multiLevelType w:val="hybridMultilevel"/>
    <w:tmpl w:val="4CB419C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DC2EAB"/>
    <w:multiLevelType w:val="hybridMultilevel"/>
    <w:tmpl w:val="3C84FA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5720D4"/>
    <w:multiLevelType w:val="hybridMultilevel"/>
    <w:tmpl w:val="2FF668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6C22A2D"/>
    <w:multiLevelType w:val="hybridMultilevel"/>
    <w:tmpl w:val="46A0D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ED6D99"/>
    <w:multiLevelType w:val="hybridMultilevel"/>
    <w:tmpl w:val="FFFFFFFF"/>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9624CBA"/>
    <w:multiLevelType w:val="hybridMultilevel"/>
    <w:tmpl w:val="766EE50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164ECF"/>
    <w:multiLevelType w:val="hybridMultilevel"/>
    <w:tmpl w:val="CDCA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F57061"/>
    <w:multiLevelType w:val="hybridMultilevel"/>
    <w:tmpl w:val="F8965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2F6961"/>
    <w:multiLevelType w:val="hybridMultilevel"/>
    <w:tmpl w:val="F01626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C76BBD"/>
    <w:multiLevelType w:val="multilevel"/>
    <w:tmpl w:val="098CA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48495D"/>
    <w:multiLevelType w:val="hybridMultilevel"/>
    <w:tmpl w:val="FFFFFFFF"/>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AF064F"/>
    <w:multiLevelType w:val="hybridMultilevel"/>
    <w:tmpl w:val="3E5CB6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C6B5D80"/>
    <w:multiLevelType w:val="hybridMultilevel"/>
    <w:tmpl w:val="A78AF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DA15B23"/>
    <w:multiLevelType w:val="hybridMultilevel"/>
    <w:tmpl w:val="DE5878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32"/>
  </w:num>
  <w:num w:numId="2" w16cid:durableId="984821814">
    <w:abstractNumId w:val="19"/>
  </w:num>
  <w:num w:numId="3" w16cid:durableId="150218247">
    <w:abstractNumId w:val="0"/>
  </w:num>
  <w:num w:numId="4" w16cid:durableId="1026903286">
    <w:abstractNumId w:val="21"/>
  </w:num>
  <w:num w:numId="5" w16cid:durableId="231817878">
    <w:abstractNumId w:val="10"/>
  </w:num>
  <w:num w:numId="6" w16cid:durableId="2110814889">
    <w:abstractNumId w:val="34"/>
  </w:num>
  <w:num w:numId="7" w16cid:durableId="695153758">
    <w:abstractNumId w:val="11"/>
  </w:num>
  <w:num w:numId="8" w16cid:durableId="853298866">
    <w:abstractNumId w:val="18"/>
  </w:num>
  <w:num w:numId="9" w16cid:durableId="1789348953">
    <w:abstractNumId w:val="9"/>
  </w:num>
  <w:num w:numId="10" w16cid:durableId="1850169740">
    <w:abstractNumId w:val="2"/>
  </w:num>
  <w:num w:numId="11" w16cid:durableId="1714695085">
    <w:abstractNumId w:val="15"/>
  </w:num>
  <w:num w:numId="12" w16cid:durableId="12390115">
    <w:abstractNumId w:val="27"/>
  </w:num>
  <w:num w:numId="13" w16cid:durableId="832065910">
    <w:abstractNumId w:val="26"/>
  </w:num>
  <w:num w:numId="14" w16cid:durableId="1739598636">
    <w:abstractNumId w:val="36"/>
  </w:num>
  <w:num w:numId="15" w16cid:durableId="262346521">
    <w:abstractNumId w:val="24"/>
  </w:num>
  <w:num w:numId="16" w16cid:durableId="1536196446">
    <w:abstractNumId w:val="3"/>
  </w:num>
  <w:num w:numId="17" w16cid:durableId="1715689001">
    <w:abstractNumId w:val="31"/>
  </w:num>
  <w:num w:numId="18" w16cid:durableId="1083335194">
    <w:abstractNumId w:val="25"/>
  </w:num>
  <w:num w:numId="19" w16cid:durableId="1683125865">
    <w:abstractNumId w:val="29"/>
  </w:num>
  <w:num w:numId="20" w16cid:durableId="1815946937">
    <w:abstractNumId w:val="14"/>
  </w:num>
  <w:num w:numId="21" w16cid:durableId="927889049">
    <w:abstractNumId w:val="5"/>
  </w:num>
  <w:num w:numId="22" w16cid:durableId="1239024156">
    <w:abstractNumId w:val="6"/>
  </w:num>
  <w:num w:numId="23" w16cid:durableId="892733989">
    <w:abstractNumId w:val="17"/>
    <w:lvlOverride w:ilvl="0">
      <w:startOverride w:val="1"/>
    </w:lvlOverride>
    <w:lvlOverride w:ilvl="1"/>
    <w:lvlOverride w:ilvl="2"/>
    <w:lvlOverride w:ilvl="3"/>
    <w:lvlOverride w:ilvl="4"/>
    <w:lvlOverride w:ilvl="5"/>
    <w:lvlOverride w:ilvl="6"/>
    <w:lvlOverride w:ilvl="7"/>
    <w:lvlOverride w:ilvl="8"/>
  </w:num>
  <w:num w:numId="24" w16cid:durableId="1654337183">
    <w:abstractNumId w:val="20"/>
  </w:num>
  <w:num w:numId="25" w16cid:durableId="1205412260">
    <w:abstractNumId w:val="23"/>
  </w:num>
  <w:num w:numId="26" w16cid:durableId="1716419944">
    <w:abstractNumId w:val="22"/>
  </w:num>
  <w:num w:numId="27" w16cid:durableId="579172649">
    <w:abstractNumId w:val="16"/>
  </w:num>
  <w:num w:numId="28" w16cid:durableId="2062358050">
    <w:abstractNumId w:val="1"/>
  </w:num>
  <w:num w:numId="29" w16cid:durableId="1901287549">
    <w:abstractNumId w:val="30"/>
  </w:num>
  <w:num w:numId="30" w16cid:durableId="228618788">
    <w:abstractNumId w:val="8"/>
  </w:num>
  <w:num w:numId="31" w16cid:durableId="1330015217">
    <w:abstractNumId w:val="13"/>
  </w:num>
  <w:num w:numId="32" w16cid:durableId="1992905022">
    <w:abstractNumId w:val="35"/>
  </w:num>
  <w:num w:numId="33" w16cid:durableId="1069841403">
    <w:abstractNumId w:val="12"/>
  </w:num>
  <w:num w:numId="34" w16cid:durableId="614874198">
    <w:abstractNumId w:val="28"/>
  </w:num>
  <w:num w:numId="35" w16cid:durableId="1616059990">
    <w:abstractNumId w:val="4"/>
  </w:num>
  <w:num w:numId="36" w16cid:durableId="109134241">
    <w:abstractNumId w:val="33"/>
  </w:num>
  <w:num w:numId="37" w16cid:durableId="1097948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2C26"/>
    <w:rsid w:val="00004F12"/>
    <w:rsid w:val="000318E4"/>
    <w:rsid w:val="000408A1"/>
    <w:rsid w:val="00047B4A"/>
    <w:rsid w:val="00050BE7"/>
    <w:rsid w:val="00051923"/>
    <w:rsid w:val="0005540E"/>
    <w:rsid w:val="00056486"/>
    <w:rsid w:val="00065D72"/>
    <w:rsid w:val="00072907"/>
    <w:rsid w:val="00076DF7"/>
    <w:rsid w:val="00085D04"/>
    <w:rsid w:val="00087069"/>
    <w:rsid w:val="00092851"/>
    <w:rsid w:val="00097B85"/>
    <w:rsid w:val="000C319C"/>
    <w:rsid w:val="000C6950"/>
    <w:rsid w:val="000C7024"/>
    <w:rsid w:val="000D1E6E"/>
    <w:rsid w:val="000F1157"/>
    <w:rsid w:val="00110B8F"/>
    <w:rsid w:val="00122822"/>
    <w:rsid w:val="00124B01"/>
    <w:rsid w:val="0013016C"/>
    <w:rsid w:val="00130542"/>
    <w:rsid w:val="00135A66"/>
    <w:rsid w:val="00142AA2"/>
    <w:rsid w:val="001441F0"/>
    <w:rsid w:val="001602C9"/>
    <w:rsid w:val="00160761"/>
    <w:rsid w:val="00160FC1"/>
    <w:rsid w:val="001656F0"/>
    <w:rsid w:val="001673A5"/>
    <w:rsid w:val="00183D93"/>
    <w:rsid w:val="001A26F4"/>
    <w:rsid w:val="001B01DD"/>
    <w:rsid w:val="001B42F9"/>
    <w:rsid w:val="001B5C8D"/>
    <w:rsid w:val="001C3560"/>
    <w:rsid w:val="001D4D09"/>
    <w:rsid w:val="001D6563"/>
    <w:rsid w:val="001F51BC"/>
    <w:rsid w:val="001F7ED5"/>
    <w:rsid w:val="00203F5F"/>
    <w:rsid w:val="00215140"/>
    <w:rsid w:val="00216DD7"/>
    <w:rsid w:val="00231021"/>
    <w:rsid w:val="00232000"/>
    <w:rsid w:val="002328D2"/>
    <w:rsid w:val="00245BFF"/>
    <w:rsid w:val="002501CE"/>
    <w:rsid w:val="00251E8D"/>
    <w:rsid w:val="002743C7"/>
    <w:rsid w:val="00285D90"/>
    <w:rsid w:val="002A029C"/>
    <w:rsid w:val="002B0C4A"/>
    <w:rsid w:val="002E4AEC"/>
    <w:rsid w:val="002F001F"/>
    <w:rsid w:val="0030760A"/>
    <w:rsid w:val="003214E4"/>
    <w:rsid w:val="00322209"/>
    <w:rsid w:val="0032428F"/>
    <w:rsid w:val="00346E22"/>
    <w:rsid w:val="00347BAD"/>
    <w:rsid w:val="00357DC0"/>
    <w:rsid w:val="00361255"/>
    <w:rsid w:val="0037613B"/>
    <w:rsid w:val="00381018"/>
    <w:rsid w:val="003847C8"/>
    <w:rsid w:val="003877EB"/>
    <w:rsid w:val="00390DF7"/>
    <w:rsid w:val="00391332"/>
    <w:rsid w:val="0039662C"/>
    <w:rsid w:val="003B3BF6"/>
    <w:rsid w:val="003B3C3F"/>
    <w:rsid w:val="003D64D8"/>
    <w:rsid w:val="003E17B6"/>
    <w:rsid w:val="003E2BF9"/>
    <w:rsid w:val="003E6170"/>
    <w:rsid w:val="00402043"/>
    <w:rsid w:val="00411953"/>
    <w:rsid w:val="00415527"/>
    <w:rsid w:val="00423E0C"/>
    <w:rsid w:val="004403EC"/>
    <w:rsid w:val="00442284"/>
    <w:rsid w:val="00447B57"/>
    <w:rsid w:val="00460370"/>
    <w:rsid w:val="004618AC"/>
    <w:rsid w:val="00480050"/>
    <w:rsid w:val="00481202"/>
    <w:rsid w:val="00481D84"/>
    <w:rsid w:val="00482F9E"/>
    <w:rsid w:val="004A7CAD"/>
    <w:rsid w:val="004B4753"/>
    <w:rsid w:val="004B7346"/>
    <w:rsid w:val="004D636D"/>
    <w:rsid w:val="004E2A1E"/>
    <w:rsid w:val="0051120F"/>
    <w:rsid w:val="00514F51"/>
    <w:rsid w:val="00522637"/>
    <w:rsid w:val="00527AA5"/>
    <w:rsid w:val="005314D7"/>
    <w:rsid w:val="00546A27"/>
    <w:rsid w:val="005515BD"/>
    <w:rsid w:val="0058318B"/>
    <w:rsid w:val="0059143B"/>
    <w:rsid w:val="00596B2E"/>
    <w:rsid w:val="005A4655"/>
    <w:rsid w:val="005C1523"/>
    <w:rsid w:val="005D293F"/>
    <w:rsid w:val="005D705F"/>
    <w:rsid w:val="005E1ABB"/>
    <w:rsid w:val="00604CFA"/>
    <w:rsid w:val="006118A9"/>
    <w:rsid w:val="006133CB"/>
    <w:rsid w:val="00614FFD"/>
    <w:rsid w:val="00621D0D"/>
    <w:rsid w:val="006274BB"/>
    <w:rsid w:val="00630336"/>
    <w:rsid w:val="00634EFA"/>
    <w:rsid w:val="00636DE1"/>
    <w:rsid w:val="00643B4D"/>
    <w:rsid w:val="00644579"/>
    <w:rsid w:val="0065123F"/>
    <w:rsid w:val="00660B9C"/>
    <w:rsid w:val="0066249C"/>
    <w:rsid w:val="00676418"/>
    <w:rsid w:val="006A7FC1"/>
    <w:rsid w:val="006C1B31"/>
    <w:rsid w:val="006D31FD"/>
    <w:rsid w:val="006D6353"/>
    <w:rsid w:val="006E7F66"/>
    <w:rsid w:val="00706782"/>
    <w:rsid w:val="00707B66"/>
    <w:rsid w:val="0071152E"/>
    <w:rsid w:val="00711B70"/>
    <w:rsid w:val="007130E1"/>
    <w:rsid w:val="00717E59"/>
    <w:rsid w:val="007278CF"/>
    <w:rsid w:val="0073796B"/>
    <w:rsid w:val="0074411E"/>
    <w:rsid w:val="00746B8A"/>
    <w:rsid w:val="00750D01"/>
    <w:rsid w:val="007669A3"/>
    <w:rsid w:val="00781345"/>
    <w:rsid w:val="0078577A"/>
    <w:rsid w:val="00790B41"/>
    <w:rsid w:val="00792A50"/>
    <w:rsid w:val="007B0ADD"/>
    <w:rsid w:val="007D3F3D"/>
    <w:rsid w:val="007D6302"/>
    <w:rsid w:val="007E198F"/>
    <w:rsid w:val="007E7435"/>
    <w:rsid w:val="007F5D67"/>
    <w:rsid w:val="007F65BF"/>
    <w:rsid w:val="007F6EF7"/>
    <w:rsid w:val="007F7644"/>
    <w:rsid w:val="0083368A"/>
    <w:rsid w:val="008336E7"/>
    <w:rsid w:val="00847AD3"/>
    <w:rsid w:val="008624E8"/>
    <w:rsid w:val="008B7AF2"/>
    <w:rsid w:val="008C2851"/>
    <w:rsid w:val="008D3AB3"/>
    <w:rsid w:val="008F14BB"/>
    <w:rsid w:val="00905C96"/>
    <w:rsid w:val="00906D43"/>
    <w:rsid w:val="009117B8"/>
    <w:rsid w:val="0091719A"/>
    <w:rsid w:val="009174DA"/>
    <w:rsid w:val="00930431"/>
    <w:rsid w:val="009317AD"/>
    <w:rsid w:val="009373C8"/>
    <w:rsid w:val="009540E4"/>
    <w:rsid w:val="00961EEE"/>
    <w:rsid w:val="009654C7"/>
    <w:rsid w:val="009715AE"/>
    <w:rsid w:val="00974186"/>
    <w:rsid w:val="00982E71"/>
    <w:rsid w:val="00983241"/>
    <w:rsid w:val="0098589E"/>
    <w:rsid w:val="009900DE"/>
    <w:rsid w:val="009A41AA"/>
    <w:rsid w:val="009B1BB6"/>
    <w:rsid w:val="009B7D47"/>
    <w:rsid w:val="009C2C98"/>
    <w:rsid w:val="009C2D77"/>
    <w:rsid w:val="009C501E"/>
    <w:rsid w:val="009D10AF"/>
    <w:rsid w:val="009D10D1"/>
    <w:rsid w:val="009D3722"/>
    <w:rsid w:val="009E7DDA"/>
    <w:rsid w:val="009F5B07"/>
    <w:rsid w:val="00A06971"/>
    <w:rsid w:val="00A21451"/>
    <w:rsid w:val="00A21E73"/>
    <w:rsid w:val="00A2419E"/>
    <w:rsid w:val="00A30052"/>
    <w:rsid w:val="00A34FC4"/>
    <w:rsid w:val="00A445DF"/>
    <w:rsid w:val="00A5415F"/>
    <w:rsid w:val="00A55F75"/>
    <w:rsid w:val="00A60A37"/>
    <w:rsid w:val="00A67305"/>
    <w:rsid w:val="00A737BE"/>
    <w:rsid w:val="00A7412B"/>
    <w:rsid w:val="00A83892"/>
    <w:rsid w:val="00A9674E"/>
    <w:rsid w:val="00A97192"/>
    <w:rsid w:val="00AB1DC2"/>
    <w:rsid w:val="00AB569E"/>
    <w:rsid w:val="00AC4762"/>
    <w:rsid w:val="00AD1AFD"/>
    <w:rsid w:val="00AD5F77"/>
    <w:rsid w:val="00AE458F"/>
    <w:rsid w:val="00AE6CD6"/>
    <w:rsid w:val="00B022E5"/>
    <w:rsid w:val="00B0529A"/>
    <w:rsid w:val="00B14C0C"/>
    <w:rsid w:val="00B23E55"/>
    <w:rsid w:val="00B26C48"/>
    <w:rsid w:val="00B47F61"/>
    <w:rsid w:val="00B60F58"/>
    <w:rsid w:val="00B66F76"/>
    <w:rsid w:val="00B70F5B"/>
    <w:rsid w:val="00B753A8"/>
    <w:rsid w:val="00B7559D"/>
    <w:rsid w:val="00B84862"/>
    <w:rsid w:val="00B9219C"/>
    <w:rsid w:val="00B92F0D"/>
    <w:rsid w:val="00BA743D"/>
    <w:rsid w:val="00BB1111"/>
    <w:rsid w:val="00BB52B9"/>
    <w:rsid w:val="00BB562F"/>
    <w:rsid w:val="00BB73C0"/>
    <w:rsid w:val="00BD7DFD"/>
    <w:rsid w:val="00BE3BDE"/>
    <w:rsid w:val="00BE5C43"/>
    <w:rsid w:val="00C02EB8"/>
    <w:rsid w:val="00C138BF"/>
    <w:rsid w:val="00C266C2"/>
    <w:rsid w:val="00C3152B"/>
    <w:rsid w:val="00C354D9"/>
    <w:rsid w:val="00C37217"/>
    <w:rsid w:val="00C458C2"/>
    <w:rsid w:val="00C46C23"/>
    <w:rsid w:val="00C70746"/>
    <w:rsid w:val="00C72E3D"/>
    <w:rsid w:val="00C8714D"/>
    <w:rsid w:val="00C910A4"/>
    <w:rsid w:val="00C95C9C"/>
    <w:rsid w:val="00CA5624"/>
    <w:rsid w:val="00CC3123"/>
    <w:rsid w:val="00CC37B3"/>
    <w:rsid w:val="00CE7C9D"/>
    <w:rsid w:val="00CF2302"/>
    <w:rsid w:val="00CF7256"/>
    <w:rsid w:val="00CF7C70"/>
    <w:rsid w:val="00D14EEC"/>
    <w:rsid w:val="00D53EC9"/>
    <w:rsid w:val="00D55DE7"/>
    <w:rsid w:val="00D650E2"/>
    <w:rsid w:val="00D7373E"/>
    <w:rsid w:val="00D83102"/>
    <w:rsid w:val="00D83D72"/>
    <w:rsid w:val="00D9208E"/>
    <w:rsid w:val="00D95BC6"/>
    <w:rsid w:val="00DA3DA6"/>
    <w:rsid w:val="00DA7134"/>
    <w:rsid w:val="00DB5FB7"/>
    <w:rsid w:val="00DB63A7"/>
    <w:rsid w:val="00DD5C8E"/>
    <w:rsid w:val="00DE199D"/>
    <w:rsid w:val="00DE27BA"/>
    <w:rsid w:val="00E02AB3"/>
    <w:rsid w:val="00E055E6"/>
    <w:rsid w:val="00E14AAE"/>
    <w:rsid w:val="00E2036F"/>
    <w:rsid w:val="00E22748"/>
    <w:rsid w:val="00E23209"/>
    <w:rsid w:val="00E3507E"/>
    <w:rsid w:val="00E7132A"/>
    <w:rsid w:val="00E75C86"/>
    <w:rsid w:val="00E83E60"/>
    <w:rsid w:val="00E86C78"/>
    <w:rsid w:val="00E948BD"/>
    <w:rsid w:val="00E956EC"/>
    <w:rsid w:val="00E974E9"/>
    <w:rsid w:val="00EA5734"/>
    <w:rsid w:val="00EA5748"/>
    <w:rsid w:val="00EB01C0"/>
    <w:rsid w:val="00EC012E"/>
    <w:rsid w:val="00F01966"/>
    <w:rsid w:val="00F21123"/>
    <w:rsid w:val="00F2199E"/>
    <w:rsid w:val="00F23144"/>
    <w:rsid w:val="00F26816"/>
    <w:rsid w:val="00F765E8"/>
    <w:rsid w:val="00F93925"/>
    <w:rsid w:val="00F93A56"/>
    <w:rsid w:val="00F97E7C"/>
    <w:rsid w:val="00FA297C"/>
    <w:rsid w:val="00FA6BB6"/>
    <w:rsid w:val="00FA792D"/>
    <w:rsid w:val="00FB2C37"/>
    <w:rsid w:val="00FC2D38"/>
    <w:rsid w:val="00FD13BC"/>
    <w:rsid w:val="00FD29D4"/>
    <w:rsid w:val="00FD6F18"/>
    <w:rsid w:val="00FE5604"/>
    <w:rsid w:val="00FE6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Bullet,Fiche List Paragraph,Task Body,Viñetas (Inicio Parrafo),3 Txt tabla,Zerrenda-paragrafoa,Lista multicolor - Énfasis 11,Paragrafo elenco,Dot pt,No Spacing1,List Paragraph Char Char Char,Indicator Text,Bullet 1,Numbered Para 1,Nad,L"/>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B23E55"/>
    <w:rPr>
      <w:color w:val="0000FF"/>
      <w:u w:val="single"/>
    </w:rPr>
  </w:style>
  <w:style w:type="paragraph" w:styleId="Navadensplet">
    <w:name w:val="Normal (Web)"/>
    <w:basedOn w:val="Navaden"/>
    <w:uiPriority w:val="99"/>
    <w:semiHidden/>
    <w:unhideWhenUsed/>
    <w:rsid w:val="0091719A"/>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91719A"/>
    <w:rPr>
      <w:b/>
      <w:bCs/>
    </w:rPr>
  </w:style>
  <w:style w:type="character" w:customStyle="1" w:styleId="OdstavekseznamaZnak">
    <w:name w:val="Odstavek seznama Znak"/>
    <w:aliases w:val="Bullet Znak,Fiche List Paragraph Znak,Task Body Znak,Viñetas (Inicio Parrafo) Znak,3 Txt tabla Znak,Zerrenda-paragrafoa Znak,Lista multicolor - Énfasis 11 Znak,Paragrafo elenco Znak,Dot pt Znak,No Spacing1 Znak,Indicator Text Znak"/>
    <w:link w:val="Odstavekseznama"/>
    <w:uiPriority w:val="34"/>
    <w:qFormat/>
    <w:locked/>
    <w:rsid w:val="007F65BF"/>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BB562F"/>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B562F"/>
    <w:rPr>
      <w:rFonts w:ascii="Arial" w:eastAsia="Times New Roman" w:hAnsi="Arial" w:cs="Times New Roman"/>
      <w:lang w:val="x-none" w:eastAsia="x-none"/>
    </w:rPr>
  </w:style>
  <w:style w:type="paragraph" w:customStyle="1" w:styleId="TableParagraph">
    <w:name w:val="Table Paragraph"/>
    <w:basedOn w:val="Navaden"/>
    <w:uiPriority w:val="1"/>
    <w:qFormat/>
    <w:rsid w:val="00BB562F"/>
    <w:pPr>
      <w:widowControl w:val="0"/>
      <w:autoSpaceDE w:val="0"/>
      <w:autoSpaceDN w:val="0"/>
      <w:spacing w:line="240" w:lineRule="auto"/>
    </w:pPr>
    <w:rPr>
      <w:rFonts w:ascii="Arial MT" w:eastAsia="Arial MT" w:hAnsi="Arial MT" w:cs="Arial MT"/>
      <w:sz w:val="22"/>
      <w:szCs w:val="22"/>
    </w:rPr>
  </w:style>
  <w:style w:type="paragraph" w:customStyle="1" w:styleId="podpisi">
    <w:name w:val="podpisi"/>
    <w:basedOn w:val="Navaden"/>
    <w:qFormat/>
    <w:rsid w:val="008C2851"/>
    <w:pPr>
      <w:tabs>
        <w:tab w:val="left" w:pos="3402"/>
      </w:tabs>
      <w:suppressAutoHyphens/>
      <w:autoSpaceDN w:val="0"/>
      <w:textAlignment w:val="baseline"/>
    </w:pPr>
    <w:rPr>
      <w:lang w:val="it-IT"/>
    </w:rPr>
  </w:style>
  <w:style w:type="paragraph" w:styleId="Golobesedilo">
    <w:name w:val="Plain Text"/>
    <w:basedOn w:val="Navaden"/>
    <w:link w:val="GolobesediloZnak"/>
    <w:uiPriority w:val="99"/>
    <w:unhideWhenUsed/>
    <w:rsid w:val="00072907"/>
    <w:pPr>
      <w:spacing w:line="240" w:lineRule="auto"/>
    </w:pPr>
    <w:rPr>
      <w:rFonts w:ascii="Calibri" w:eastAsiaTheme="minorHAnsi" w:hAnsi="Calibri" w:cs="Calibri"/>
      <w:sz w:val="22"/>
      <w:szCs w:val="22"/>
      <w14:ligatures w14:val="standardContextual"/>
    </w:rPr>
  </w:style>
  <w:style w:type="character" w:customStyle="1" w:styleId="GolobesediloZnak">
    <w:name w:val="Golo besedilo Znak"/>
    <w:basedOn w:val="Privzetapisavaodstavka"/>
    <w:link w:val="Golobesedilo"/>
    <w:uiPriority w:val="99"/>
    <w:rsid w:val="00072907"/>
    <w:rPr>
      <w:rFonts w:ascii="Calibri" w:hAnsi="Calibri" w:cs="Calibri"/>
      <w14:ligatures w14:val="standardContextual"/>
    </w:rPr>
  </w:style>
  <w:style w:type="character" w:customStyle="1" w:styleId="NaslovpredpisaZnak">
    <w:name w:val="Naslov_predpisa Znak"/>
    <w:link w:val="Naslovpredpisa"/>
    <w:locked/>
    <w:rsid w:val="009B1BB6"/>
    <w:rPr>
      <w:rFonts w:ascii="Arial" w:hAnsi="Arial"/>
      <w:b/>
    </w:rPr>
  </w:style>
  <w:style w:type="paragraph" w:customStyle="1" w:styleId="Naslovpredpisa">
    <w:name w:val="Naslov_predpisa"/>
    <w:basedOn w:val="Navaden"/>
    <w:link w:val="NaslovpredpisaZnak"/>
    <w:qFormat/>
    <w:rsid w:val="009B1BB6"/>
    <w:pPr>
      <w:suppressAutoHyphens/>
      <w:overflowPunct w:val="0"/>
      <w:autoSpaceDE w:val="0"/>
      <w:autoSpaceDN w:val="0"/>
      <w:adjustRightInd w:val="0"/>
      <w:spacing w:before="120" w:after="160" w:line="200" w:lineRule="exact"/>
      <w:jc w:val="center"/>
    </w:pPr>
    <w:rPr>
      <w:rFonts w:eastAsiaTheme="minorHAnsi" w:cstheme="minorBidi"/>
      <w:b/>
      <w:sz w:val="22"/>
      <w:szCs w:val="22"/>
    </w:rPr>
  </w:style>
  <w:style w:type="character" w:styleId="Nerazreenaomemba">
    <w:name w:val="Unresolved Mention"/>
    <w:basedOn w:val="Privzetapisavaodstavka"/>
    <w:uiPriority w:val="99"/>
    <w:semiHidden/>
    <w:unhideWhenUsed/>
    <w:rsid w:val="006D6353"/>
    <w:rPr>
      <w:color w:val="605E5C"/>
      <w:shd w:val="clear" w:color="auto" w:fill="E1DFDD"/>
    </w:rPr>
  </w:style>
  <w:style w:type="character" w:styleId="SledenaHiperpovezava">
    <w:name w:val="FollowedHyperlink"/>
    <w:basedOn w:val="Privzetapisavaodstavka"/>
    <w:uiPriority w:val="99"/>
    <w:semiHidden/>
    <w:unhideWhenUsed/>
    <w:rsid w:val="006133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0393">
      <w:bodyDiv w:val="1"/>
      <w:marLeft w:val="0"/>
      <w:marRight w:val="0"/>
      <w:marTop w:val="0"/>
      <w:marBottom w:val="0"/>
      <w:divBdr>
        <w:top w:val="none" w:sz="0" w:space="0" w:color="auto"/>
        <w:left w:val="none" w:sz="0" w:space="0" w:color="auto"/>
        <w:bottom w:val="none" w:sz="0" w:space="0" w:color="auto"/>
        <w:right w:val="none" w:sz="0" w:space="0" w:color="auto"/>
      </w:divBdr>
    </w:div>
    <w:div w:id="355695334">
      <w:bodyDiv w:val="1"/>
      <w:marLeft w:val="0"/>
      <w:marRight w:val="0"/>
      <w:marTop w:val="0"/>
      <w:marBottom w:val="0"/>
      <w:divBdr>
        <w:top w:val="none" w:sz="0" w:space="0" w:color="auto"/>
        <w:left w:val="none" w:sz="0" w:space="0" w:color="auto"/>
        <w:bottom w:val="none" w:sz="0" w:space="0" w:color="auto"/>
        <w:right w:val="none" w:sz="0" w:space="0" w:color="auto"/>
      </w:divBdr>
    </w:div>
    <w:div w:id="414983431">
      <w:bodyDiv w:val="1"/>
      <w:marLeft w:val="0"/>
      <w:marRight w:val="0"/>
      <w:marTop w:val="0"/>
      <w:marBottom w:val="0"/>
      <w:divBdr>
        <w:top w:val="none" w:sz="0" w:space="0" w:color="auto"/>
        <w:left w:val="none" w:sz="0" w:space="0" w:color="auto"/>
        <w:bottom w:val="none" w:sz="0" w:space="0" w:color="auto"/>
        <w:right w:val="none" w:sz="0" w:space="0" w:color="auto"/>
      </w:divBdr>
    </w:div>
    <w:div w:id="456606549">
      <w:bodyDiv w:val="1"/>
      <w:marLeft w:val="0"/>
      <w:marRight w:val="0"/>
      <w:marTop w:val="0"/>
      <w:marBottom w:val="0"/>
      <w:divBdr>
        <w:top w:val="none" w:sz="0" w:space="0" w:color="auto"/>
        <w:left w:val="none" w:sz="0" w:space="0" w:color="auto"/>
        <w:bottom w:val="none" w:sz="0" w:space="0" w:color="auto"/>
        <w:right w:val="none" w:sz="0" w:space="0" w:color="auto"/>
      </w:divBdr>
    </w:div>
    <w:div w:id="791247011">
      <w:bodyDiv w:val="1"/>
      <w:marLeft w:val="0"/>
      <w:marRight w:val="0"/>
      <w:marTop w:val="0"/>
      <w:marBottom w:val="0"/>
      <w:divBdr>
        <w:top w:val="none" w:sz="0" w:space="0" w:color="auto"/>
        <w:left w:val="none" w:sz="0" w:space="0" w:color="auto"/>
        <w:bottom w:val="none" w:sz="0" w:space="0" w:color="auto"/>
        <w:right w:val="none" w:sz="0" w:space="0" w:color="auto"/>
      </w:divBdr>
    </w:div>
    <w:div w:id="1046610282">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408919193">
      <w:bodyDiv w:val="1"/>
      <w:marLeft w:val="0"/>
      <w:marRight w:val="0"/>
      <w:marTop w:val="0"/>
      <w:marBottom w:val="0"/>
      <w:divBdr>
        <w:top w:val="none" w:sz="0" w:space="0" w:color="auto"/>
        <w:left w:val="none" w:sz="0" w:space="0" w:color="auto"/>
        <w:bottom w:val="none" w:sz="0" w:space="0" w:color="auto"/>
        <w:right w:val="none" w:sz="0" w:space="0" w:color="auto"/>
      </w:divBdr>
    </w:div>
    <w:div w:id="1443064284">
      <w:bodyDiv w:val="1"/>
      <w:marLeft w:val="0"/>
      <w:marRight w:val="0"/>
      <w:marTop w:val="0"/>
      <w:marBottom w:val="0"/>
      <w:divBdr>
        <w:top w:val="none" w:sz="0" w:space="0" w:color="auto"/>
        <w:left w:val="none" w:sz="0" w:space="0" w:color="auto"/>
        <w:bottom w:val="none" w:sz="0" w:space="0" w:color="auto"/>
        <w:right w:val="none" w:sz="0" w:space="0" w:color="auto"/>
      </w:divBdr>
    </w:div>
    <w:div w:id="18405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hiv.mm.gov.si/vlada/organi/urszr/PWAS_SI-mala.mp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zbirke/projekti-in-programi/sistem-javnega-obvescanj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6A4E638ED8964290D47BDF99247E8A" ma:contentTypeVersion="5" ma:contentTypeDescription="Create a new document." ma:contentTypeScope="" ma:versionID="2852746a4c336804531f7833cba5595c">
  <xsd:schema xmlns:xsd="http://www.w3.org/2001/XMLSchema" xmlns:xs="http://www.w3.org/2001/XMLSchema" xmlns:p="http://schemas.microsoft.com/office/2006/metadata/properties" xmlns:ns3="aa6170a6-4a18-4ff9-81c1-74167e6782dc" targetNamespace="http://schemas.microsoft.com/office/2006/metadata/properties" ma:root="true" ma:fieldsID="b03cd7353d75e53a7f41a239150a02a6" ns3:_="">
    <xsd:import namespace="aa6170a6-4a18-4ff9-81c1-74167e6782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70a6-4a18-4ff9-81c1-74167e678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39194-AE4B-4B90-910E-1DFBE03CFB13}">
  <ds:schemaRefs>
    <ds:schemaRef ds:uri="http://schemas.microsoft.com/sharepoint/v3/contenttype/forms"/>
  </ds:schemaRefs>
</ds:datastoreItem>
</file>

<file path=customXml/itemProps2.xml><?xml version="1.0" encoding="utf-8"?>
<ds:datastoreItem xmlns:ds="http://schemas.openxmlformats.org/officeDocument/2006/customXml" ds:itemID="{69DBC937-C42C-4CF3-BC70-B0A1A5CDFDD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aa6170a6-4a18-4ff9-81c1-74167e6782dc"/>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DCCA399D-42AD-45E9-A5EB-723862E82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70a6-4a18-4ff9-81c1-74167e678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11147</Words>
  <Characters>63542</Characters>
  <Application>Microsoft Office Word</Application>
  <DocSecurity>0</DocSecurity>
  <Lines>529</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2025-08-21T16:11:00Z</dcterms:created>
  <dcterms:modified xsi:type="dcterms:W3CDTF">2025-08-21T16:11:00Z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0x0101003D6A4E638ED8964290D47BDF99247E8A</vt:lpwstr>
  </property>
</Properties>
</file>