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6E01D0F0" w:rsidR="0073796B" w:rsidRPr="0039662C" w:rsidRDefault="00D10EB4" w:rsidP="0039662C">
      <w:pPr>
        <w:pStyle w:val="Naslov1"/>
      </w:pPr>
      <w:r>
        <w:t>1</w:t>
      </w:r>
      <w:r w:rsidR="005069F3">
        <w:t>6</w:t>
      </w:r>
      <w:r w:rsidR="00CF0442">
        <w:t>2</w:t>
      </w:r>
      <w:r w:rsidR="0073796B" w:rsidRPr="0039662C">
        <w:t>. redna seja Vlade Republike Slovenije</w:t>
      </w:r>
    </w:p>
    <w:p w14:paraId="27F30B92" w14:textId="3D41F4BF" w:rsidR="0073796B" w:rsidRDefault="00CF0442" w:rsidP="008B7AF2">
      <w:pPr>
        <w:pStyle w:val="DatumSZJ"/>
      </w:pPr>
      <w:r>
        <w:t>17</w:t>
      </w:r>
      <w:r w:rsidR="00D10EB4">
        <w:t>.</w:t>
      </w:r>
      <w:r w:rsidR="0073796B" w:rsidRPr="008B7AF2">
        <w:t xml:space="preserve"> </w:t>
      </w:r>
      <w:r w:rsidR="00C666AC">
        <w:t>j</w:t>
      </w:r>
      <w:r w:rsidR="00DA3B4D">
        <w:t>u</w:t>
      </w:r>
      <w:r w:rsidR="005069F3">
        <w:t>l</w:t>
      </w:r>
      <w:r w:rsidR="00DA3B4D">
        <w:t xml:space="preserve">ij </w:t>
      </w:r>
      <w:r w:rsidR="0073796B" w:rsidRPr="008B7AF2">
        <w:t>202</w:t>
      </w:r>
      <w:r w:rsidR="00F21123">
        <w:t>5</w:t>
      </w:r>
    </w:p>
    <w:p w14:paraId="187F5DB7" w14:textId="77777777" w:rsidR="00D9670A" w:rsidRDefault="00D9670A" w:rsidP="00D9670A">
      <w:pPr>
        <w:rPr>
          <w:color w:val="FF0000"/>
        </w:rPr>
      </w:pPr>
    </w:p>
    <w:p w14:paraId="0F8B7ED8" w14:textId="2DF4E092" w:rsidR="005E0C2D" w:rsidRPr="005E0C2D" w:rsidRDefault="005E0C2D" w:rsidP="005E0C2D">
      <w:pPr>
        <w:rPr>
          <w:b/>
          <w:bCs/>
        </w:rPr>
      </w:pPr>
      <w:r w:rsidRPr="005E0C2D">
        <w:t xml:space="preserve">Vlada Republike Slovenije je </w:t>
      </w:r>
      <w:r>
        <w:t xml:space="preserve">na današnji seji </w:t>
      </w:r>
      <w:r w:rsidRPr="005E0C2D">
        <w:rPr>
          <w:b/>
          <w:bCs/>
        </w:rPr>
        <w:t xml:space="preserve">sprejela Izhodišča za sprejetje ukrepov proti </w:t>
      </w:r>
      <w:proofErr w:type="spellStart"/>
      <w:r w:rsidRPr="005E0C2D">
        <w:rPr>
          <w:b/>
          <w:bCs/>
        </w:rPr>
        <w:t>Itamar</w:t>
      </w:r>
      <w:proofErr w:type="spellEnd"/>
      <w:r w:rsidRPr="005E0C2D">
        <w:rPr>
          <w:b/>
          <w:bCs/>
        </w:rPr>
        <w:t xml:space="preserve"> Ben-</w:t>
      </w:r>
      <w:proofErr w:type="spellStart"/>
      <w:r w:rsidRPr="005E0C2D">
        <w:rPr>
          <w:b/>
          <w:bCs/>
        </w:rPr>
        <w:t>Gvirju</w:t>
      </w:r>
      <w:proofErr w:type="spellEnd"/>
      <w:r w:rsidRPr="005E0C2D">
        <w:rPr>
          <w:b/>
          <w:bCs/>
        </w:rPr>
        <w:t xml:space="preserve">, izraelskemu ministru za nacionalno varnost, in </w:t>
      </w:r>
      <w:proofErr w:type="spellStart"/>
      <w:r w:rsidRPr="005E0C2D">
        <w:rPr>
          <w:b/>
          <w:bCs/>
        </w:rPr>
        <w:t>Bezalel</w:t>
      </w:r>
      <w:proofErr w:type="spellEnd"/>
      <w:r w:rsidRPr="005E0C2D">
        <w:rPr>
          <w:b/>
          <w:bCs/>
        </w:rPr>
        <w:t xml:space="preserve"> </w:t>
      </w:r>
      <w:proofErr w:type="spellStart"/>
      <w:r w:rsidRPr="005E0C2D">
        <w:rPr>
          <w:b/>
          <w:bCs/>
        </w:rPr>
        <w:t>Smotrichu</w:t>
      </w:r>
      <w:proofErr w:type="spellEnd"/>
      <w:r w:rsidRPr="005E0C2D">
        <w:rPr>
          <w:b/>
          <w:bCs/>
        </w:rPr>
        <w:t>, izraelskemu ministru za finance in obrambo.</w:t>
      </w:r>
    </w:p>
    <w:p w14:paraId="758DCDC0" w14:textId="77777777" w:rsidR="005E0C2D" w:rsidRPr="005E0C2D" w:rsidRDefault="005E0C2D" w:rsidP="005E0C2D">
      <w:r w:rsidRPr="005E0C2D">
        <w:t>Gre za ministra, ki s svojimi genocidnimi izjavami spodbujata skrajno nasilje in hude kršitve človekovih pravic Palestincev. Javno zagovarjata širitev nezakonitih izraelskih naselbin na Zahodnem bregu, prisilne izselitve Palestincev in pozivata k nasilju zoper civilno palestinsko prebivalstvo. S svojimi dejanji in stališči spodbujata etnično čiščenje Zahodnega brega in Gaze. Takšna dejanja so v nasprotju s Svetovalnim mnenjem o politikah in praksah Izraela na zasedenem palestinskem ozemlju, vključno z Vzhodnim Jeruzalemom Meddržavnega sodišča iz julija 2024. Z ukrepom namerava Republika Slovenija ministra razglasiti za nezaželeni osebi.</w:t>
      </w:r>
    </w:p>
    <w:p w14:paraId="04F73712" w14:textId="77777777" w:rsidR="009F1ECB" w:rsidRDefault="009F1ECB" w:rsidP="00D9670A">
      <w:pPr>
        <w:rPr>
          <w:color w:val="FF0000"/>
        </w:rPr>
      </w:pPr>
    </w:p>
    <w:p w14:paraId="3109819A" w14:textId="77777777" w:rsidR="00E76669" w:rsidRPr="00D9670A" w:rsidRDefault="00E76669" w:rsidP="00D9670A">
      <w:pPr>
        <w:rPr>
          <w:color w:val="FF0000"/>
        </w:rPr>
      </w:pPr>
    </w:p>
    <w:p w14:paraId="4974053B" w14:textId="65247636" w:rsidR="00E83327" w:rsidRPr="00E83327" w:rsidRDefault="00E83327" w:rsidP="00E83327">
      <w:pPr>
        <w:pStyle w:val="Naslov2"/>
      </w:pPr>
      <w:r w:rsidRPr="00E83327">
        <w:t>Vlada izdala Uredbo o podrobnejših pogojih za ugotavljanje izjem pri doseganju ciljev s področja stanja voda pri posegih v vode</w:t>
      </w:r>
    </w:p>
    <w:p w14:paraId="50582D43" w14:textId="756327EF" w:rsidR="00D16987" w:rsidRPr="00E83327" w:rsidRDefault="00E83327" w:rsidP="00E83327">
      <w:r w:rsidRPr="00E83327">
        <w:t xml:space="preserve">Uredba opredeljuje podrobnejše pogoje, to je vidike, elemente in merila, za ugotavljanje izjem pri doseganju ciljev stanja voda zaradi novih fizičnih sprememb ali novih dejavnosti trajnostnega razvoja. S sprejetjem te uredbe bo zagotovljeno transparentno, predvidljivo in nedvoumno ugotavljanje in določanje izjem po 56. členu Zakona o vodah, s čimer se zmanjšuje tveganje za posege, ki bi imeli škodljive vplive na stanje voda. </w:t>
      </w:r>
    </w:p>
    <w:p w14:paraId="59BABC5D" w14:textId="360AE678" w:rsidR="000E08CA" w:rsidRPr="00B91EE5" w:rsidRDefault="00D16987" w:rsidP="00B91EE5">
      <w:pPr>
        <w:pStyle w:val="Vir"/>
      </w:pPr>
      <w:r w:rsidRPr="00D16987">
        <w:t>Vir: Ministrstvo za naravne vire in prostor</w:t>
      </w:r>
    </w:p>
    <w:p w14:paraId="7B84FF92" w14:textId="4B3CFD7C" w:rsidR="00B91EE5" w:rsidRPr="00B91EE5" w:rsidRDefault="00B91EE5" w:rsidP="00B91EE5">
      <w:pPr>
        <w:pStyle w:val="Naslov2"/>
      </w:pPr>
      <w:r w:rsidRPr="00B91EE5">
        <w:t>Uveljavitev pravičnega plačila samozaposlenih v kulturi</w:t>
      </w:r>
    </w:p>
    <w:p w14:paraId="1C26DF9D" w14:textId="533274F4" w:rsidR="00B91EE5" w:rsidRPr="00B91EE5" w:rsidRDefault="00B91EE5" w:rsidP="00B91EE5">
      <w:r w:rsidRPr="00B91EE5">
        <w:t xml:space="preserve">Vlada </w:t>
      </w:r>
      <w:r>
        <w:t>je</w:t>
      </w:r>
      <w:r w:rsidRPr="00B91EE5">
        <w:t xml:space="preserve"> sprejela Uredbo o minimalnem plačilu za samozaposlene v kulturi. Samozaposleni bodo tako v jesensko ustvarjalno sezono vstopili z zakonsko varovalko o primerljivem plačilu z javnimi uslužbenci.</w:t>
      </w:r>
    </w:p>
    <w:p w14:paraId="1A5D4CF3" w14:textId="77777777" w:rsidR="00B91EE5" w:rsidRPr="00B91EE5" w:rsidRDefault="00B91EE5" w:rsidP="00B91EE5">
      <w:r w:rsidRPr="00B91EE5">
        <w:t>Uredba o minimalnem plačilu za samozaposlene v kulturi sledi letos sprejeti noveli Zakona o uresničevanju javnega interesa za kulturo, ki je omogočil kolektivno ureditev izhodiščne urne postavke dela samozaposlenih v kulturi.</w:t>
      </w:r>
    </w:p>
    <w:p w14:paraId="085DC1A0" w14:textId="77777777" w:rsidR="00B91EE5" w:rsidRPr="00B91EE5" w:rsidRDefault="00B91EE5" w:rsidP="00B91EE5">
      <w:r w:rsidRPr="00B91EE5">
        <w:t xml:space="preserve">Uredba natančneje definira minimalno urno plačilo, višino začetnega plačila, primerljivost poklicev in način usklajevanja plačila. Vsebuje tudi seznam primerljivih delovnih mest med samozaposlenimi in javnimi uslužbenci ter izhodiščni plačni razred za samozaposlene v kulturi. </w:t>
      </w:r>
    </w:p>
    <w:p w14:paraId="0FD9C536" w14:textId="77777777" w:rsidR="00B91EE5" w:rsidRPr="00B91EE5" w:rsidRDefault="00B91EE5" w:rsidP="00B91EE5">
      <w:r w:rsidRPr="00B91EE5">
        <w:t xml:space="preserve">Samozaposleni v kulturi za razliko od redno zaposlenih nimajo vseh ugodnosti delovnega razmerja, denimo regresa, plačanega prevoza in malice, dopustov, bolniških odsotnosti in podobno. Ker si sami plačujejo tudi določene stroške, ki jih zaposlenemu nudi njegov delodajalec, se z uredbo uvaja </w:t>
      </w:r>
      <w:proofErr w:type="spellStart"/>
      <w:r w:rsidRPr="00B91EE5">
        <w:t>obtežitveni</w:t>
      </w:r>
      <w:proofErr w:type="spellEnd"/>
      <w:r w:rsidRPr="00B91EE5">
        <w:t xml:space="preserve"> faktor v višini 1,9. Ta bo zagotovil dejansko primerljivost plačila med samozaposlenimi in redno zaposlenimi. </w:t>
      </w:r>
      <w:proofErr w:type="spellStart"/>
      <w:r w:rsidRPr="00B91EE5">
        <w:t>Obtežitveni</w:t>
      </w:r>
      <w:proofErr w:type="spellEnd"/>
      <w:r w:rsidRPr="00B91EE5">
        <w:t xml:space="preserve"> faktor predstavlja sorazmerne stroške, ki jih ima samozaposleni v kulturi pri zagotavljanju svojih delovnih pogojev (npr. najem pisarne ali delavnice, nakup in amortizacija opreme, delovnih materialov in podobno). </w:t>
      </w:r>
    </w:p>
    <w:p w14:paraId="306F50EE" w14:textId="77777777" w:rsidR="00B91EE5" w:rsidRPr="00B91EE5" w:rsidRDefault="00B91EE5" w:rsidP="00B91EE5">
      <w:r w:rsidRPr="00B91EE5">
        <w:t xml:space="preserve">Izhodiščno plačilo je torej oblikovano po formuli, kjer se na podlagi plačnega razreda izračuna urna postavka, ki se jo zmnoži z </w:t>
      </w:r>
      <w:proofErr w:type="spellStart"/>
      <w:r w:rsidRPr="00B91EE5">
        <w:t>obtežitvenim</w:t>
      </w:r>
      <w:proofErr w:type="spellEnd"/>
      <w:r w:rsidRPr="00B91EE5">
        <w:t xml:space="preserve"> faktorjem. Nekateri poklici s področja knjige bodo lahko kot </w:t>
      </w:r>
      <w:r w:rsidRPr="00B91EE5">
        <w:lastRenderedPageBreak/>
        <w:t>alternativo temu sistemu uporabljali z uredbo določene tarife na avtorske pole oziroma verze, saj gre za mednarodno uveljavljen sistem obračuna dela.</w:t>
      </w:r>
    </w:p>
    <w:p w14:paraId="398089A9" w14:textId="77777777" w:rsidR="00B91EE5" w:rsidRPr="00B91EE5" w:rsidRDefault="00B91EE5" w:rsidP="00B91EE5">
      <w:r w:rsidRPr="00B91EE5">
        <w:t xml:space="preserve">Višina minimalnega plačila se bo z višino plač v javnem sektorju usklajevala enkrat letno. T. i. </w:t>
      </w:r>
      <w:proofErr w:type="spellStart"/>
      <w:r w:rsidRPr="00B91EE5">
        <w:t>protidampinška</w:t>
      </w:r>
      <w:proofErr w:type="spellEnd"/>
      <w:r w:rsidRPr="00B91EE5">
        <w:t xml:space="preserve"> klavzula pomeni, da bodo morali javni zavodi in javne agencije po enakih standardih kot samozaposlene za enako delo plačati tudi druge </w:t>
      </w:r>
      <w:proofErr w:type="spellStart"/>
      <w:r w:rsidRPr="00B91EE5">
        <w:t>prekarne</w:t>
      </w:r>
      <w:proofErr w:type="spellEnd"/>
      <w:r w:rsidRPr="00B91EE5">
        <w:t xml:space="preserve"> delavce, denimo tiste, ki delajo prek avtorskih pogodb ali navadnih s. p.-jev. </w:t>
      </w:r>
    </w:p>
    <w:p w14:paraId="36EAAFA7" w14:textId="3A8D720B" w:rsidR="00B91EE5" w:rsidRPr="00B91EE5" w:rsidRDefault="00B91EE5" w:rsidP="00B91EE5">
      <w:r w:rsidRPr="00B91EE5">
        <w:t xml:space="preserve">Uredba podrobneje določa minimalno začetno višino plačila, s katero se zagotavlja primerno plačilo tudi za naročila manjšega obsega oziroma krajšega trajanja. V praksi bo to pomenilo, da bo imel fotograf poleg ur, ki jih preživi na dogodku, plačane tudi ure, ko obdeluje ali razvija fotografije; igralec bo imel plačane tudi ure, ki jih preživi v maski ali na vaji, in ne le na odru; glasbenik bo imel plačane tudi tonske vaje in ne le nastopov. Nobenega samozaposlenega v kulturi ne bo mogoče plačati za manj kot osem ur dela, s čimer se preprečuje drobljenje naročil, krajšanje ur s strani delodajalca ter zagotavlja minimalne standarde plačila. </w:t>
      </w:r>
    </w:p>
    <w:p w14:paraId="061530BC" w14:textId="77F5A19A" w:rsidR="000E08CA" w:rsidRPr="003E313C" w:rsidRDefault="00B91EE5" w:rsidP="003E313C">
      <w:pPr>
        <w:pStyle w:val="Vir"/>
      </w:pPr>
      <w:r w:rsidRPr="00B91EE5">
        <w:t>Vir: Ministrstvo za kulturo</w:t>
      </w:r>
    </w:p>
    <w:p w14:paraId="42B21118" w14:textId="783E9970" w:rsidR="003E313C" w:rsidRPr="003E313C" w:rsidRDefault="003E313C" w:rsidP="003E313C">
      <w:pPr>
        <w:pStyle w:val="Naslov2"/>
      </w:pPr>
      <w:r w:rsidRPr="003E313C">
        <w:t>Uredbo o načinu uveljavljanja in zagotavljanja pravic prosilcem za začasno zaščito in osebam z začasno zaščito</w:t>
      </w:r>
    </w:p>
    <w:p w14:paraId="57DAE3FE" w14:textId="6A1FF08C" w:rsidR="003E313C" w:rsidRPr="003E313C" w:rsidRDefault="003E313C" w:rsidP="003E313C">
      <w:r w:rsidRPr="003E313C">
        <w:t>Vlada Republike Slovenije je na današnji seji sprejela Uredbo o načinu uveljavljanja in zagotavljanja pravic prosilcem za začasno zaščito in osebam z začasno zaščito. Zakon o začasni zaščiti razseljenih oseb (Uradni list RS, št. 22/25; v nadaljnjem besedilu: zakon) določa, da način uveljavljanja in zagotavljanja pravic prosilcev za začasno zaščito in oseb z začasno zaščito podrobneje določi vlada. Z Uredbo o načinu uveljavljanja in zagotavljanja pravic prosilcem za začasno zaščito in osebam z začasno zaščito se podrobneje urejajo področja informiranja, nastanitve, prehrane, dostopa do lokacij, kjer se izvaja zdravstveno varstvo, plačilo opravljenih zdravstvenih storitev ter odločanje o večjem obsegu zdravstvenega varstva za prosilce za začasno zaščito in osebe z začasno zaščito, za slednje pa tudi postopki za uveljavljanje različnih oblik denarne pomoči (denarna pomoč, denarna pomoč za zasebno nastanitev, denarna pomoč po smrti družinskega člana, denarna pomoč pri kritju stroškov pogreba) in žepnine, dolžnost sporočanja sprememb, ki vplivajo na uveljavljanje njihovih pravic, ter način povrnitve stroškov prehrane v nastanitvenih centrih in drugih nastanitvenih kapacitetah iz 32. člena zakona, kjer je zagotovljena prehrana.</w:t>
      </w:r>
    </w:p>
    <w:p w14:paraId="62FD9673" w14:textId="7A2BA18C" w:rsidR="000E08CA" w:rsidRPr="003E313C" w:rsidRDefault="003E313C" w:rsidP="003E313C">
      <w:pPr>
        <w:pStyle w:val="Vir"/>
      </w:pPr>
      <w:r w:rsidRPr="003E313C">
        <w:t>Vir: Urad vlade za oskrbo in integracijo migrantov</w:t>
      </w:r>
    </w:p>
    <w:p w14:paraId="7C7376BE" w14:textId="12E80472" w:rsidR="00AB352C" w:rsidRDefault="00AB352C" w:rsidP="00AB352C">
      <w:pPr>
        <w:pStyle w:val="Naslov2"/>
      </w:pPr>
      <w:r w:rsidRPr="00AB352C">
        <w:t>Uredbo o hišnem redu nastanitvenih centrov in drugih nastanitvenih kapacitet za prosilce za začasno zaščito in osebe z začasno zaščito</w:t>
      </w:r>
    </w:p>
    <w:p w14:paraId="27A4078D" w14:textId="43FA82A9" w:rsidR="00AB352C" w:rsidRPr="00AB352C" w:rsidRDefault="00AB352C" w:rsidP="00AB352C">
      <w:r w:rsidRPr="00AB352C">
        <w:t>Vlada je na današnji seji sprejela Uredbo o hišnem redu nastanitvenih centrov in drugih nastanitvenih kapacitet za prosilce za začasno zaščito in osebe z začasno zaščito. Zakon o začasni zaščiti razseljenih oseb (Uradni list RS, št. 22/25; v nadaljnjem besedilu: zakon) v 33. členu določa, da pravila prebivanja, v skladu s katerimi mora ravnati oseba z začasno zaščito v nastanitvenih centrih in drugih nastanitvenih kapacitetah iz 32. člena zakona, določa hišni red, ki ga predpiše vlada. Tudi prosilci za začasno zaščito morajo v nastanitvenih centrih in drugih nastanitvenih kapacitetah iz 32. člena zakona ravnati v skladu s pravili prebivanja, ki jih določi vlada, kar določa 29. člena zakona. Z Uredbo o hišnem redu nastanitvenih centrov in drugih nastanitvenih kapacitet za prosilce za začasno zaščito in osebe z začasno zaščito (v nadaljnjem besedilu: uredba) se torej urejajo pravila prebivanja, ki jih morajo upoštevati v navedenih kapacitetah nastanjeni prosilci za začasno zaščito in osebe z začasno zaščito (v</w:t>
      </w:r>
    </w:p>
    <w:p w14:paraId="172221F7" w14:textId="55052057" w:rsidR="000E08CA" w:rsidRPr="00AB352C" w:rsidRDefault="00AB352C" w:rsidP="00AB352C">
      <w:r w:rsidRPr="00AB352C">
        <w:t xml:space="preserve">Uredba ureja nastanitev nastanjenih oseb in določa, da uslužbenci Urada Vlade RS za oskrbo in integracijo migrantov nastanjene osebe informirajo o vsebini te uredbe in pravilih prebivanja, vključno s požarnim redom, ter jih seznanijo z ukrepi, ki se lahko v skladu z zakonom izrečejo za težje kršitve hišnega reda. Uredba določa, kdo izvaja nadzor nad izvajanjem hišnega reda, ter naloge zasebne </w:t>
      </w:r>
      <w:r w:rsidRPr="00AB352C">
        <w:lastRenderedPageBreak/>
        <w:t>varnostne družbe, ki izvaja storitve varovanja ljudi in premoženja, ureja preverjanje prisotnosti nastanjenih oseb in način vstopa v nastanitveni center, izhod iz njega ter obiske v nastanitvenih centrih. V uredbi so podrobneje opredeljena pravila prebivanja v nastanitvenih centrih in drugih nastanitvenih kapacitetah, kot so dodelitev sobe, uporaba skupne opreme, shranjevanje denarja in podobno ter obveznosti nastanjenih oseb. Uredba določa tudi prepovedi za nastanjene osebe ter določi pravila za njeno izselitev. Predpisuje še, da se njeno besedilo izobesi na oglasni deski nastanitvenih centrov in drugih nastanitvenih kapacitet v slovenskem jeziku ter drugih jezikih, razumljivih nastanjenim osebam.</w:t>
      </w:r>
    </w:p>
    <w:p w14:paraId="137DBA5A" w14:textId="348741F7" w:rsidR="000E08CA" w:rsidRPr="00AB352C" w:rsidRDefault="00AB352C" w:rsidP="00AB352C">
      <w:pPr>
        <w:pStyle w:val="Vir"/>
      </w:pPr>
      <w:r w:rsidRPr="00AB352C">
        <w:t>Vir: Urad vlade za oskrbo in integracijo migrantov</w:t>
      </w:r>
    </w:p>
    <w:p w14:paraId="473D83FF" w14:textId="6B20B9A4" w:rsidR="002C1EB9" w:rsidRPr="002C1EB9" w:rsidRDefault="002C1EB9" w:rsidP="002C1EB9">
      <w:pPr>
        <w:pStyle w:val="Naslov2"/>
      </w:pPr>
      <w:r w:rsidRPr="002C1EB9">
        <w:t>Vlada izdala novelo Uredbe o ukrepih kmetijske strukturne politike in kmetijske politike razvoja podeželja</w:t>
      </w:r>
    </w:p>
    <w:p w14:paraId="1F09D50F" w14:textId="77777777" w:rsidR="002C1EB9" w:rsidRPr="002C1EB9" w:rsidRDefault="002C1EB9" w:rsidP="002C1EB9">
      <w:r w:rsidRPr="002C1EB9">
        <w:t>Vlada je izdala novelo Uredbe o ukrepih kmetijske strukturne politike in kmetijske politike razvoja podeželja, ko jo objavi v Uradnem listu Republike Slovenije.</w:t>
      </w:r>
    </w:p>
    <w:p w14:paraId="573F68D4" w14:textId="77777777" w:rsidR="002C1EB9" w:rsidRPr="002C1EB9" w:rsidRDefault="002C1EB9" w:rsidP="002C1EB9">
      <w:r w:rsidRPr="002C1EB9">
        <w:t>Uredba o ukrepih kmetijske strukturne politike in kmetijske politike razvoja podeželja določa ukrepe, upravičence, upravičene stroške, pogoje, merila, postopke za dodelitev pomoči in finančne določbe za ukrepe kmetijske strukturne politike in ukrepe kmetijske politike razvoja podeželja.</w:t>
      </w:r>
    </w:p>
    <w:p w14:paraId="36A578B0" w14:textId="77777777" w:rsidR="002C1EB9" w:rsidRPr="002C1EB9" w:rsidRDefault="002C1EB9" w:rsidP="002C1EB9">
      <w:r w:rsidRPr="002C1EB9">
        <w:t>V okviru uredbe se izvaja pet ukrepov, in sicer:</w:t>
      </w:r>
    </w:p>
    <w:p w14:paraId="0513D274" w14:textId="77777777" w:rsidR="002C1EB9" w:rsidRPr="002C1EB9" w:rsidRDefault="002C1EB9" w:rsidP="002C1EB9">
      <w:r w:rsidRPr="002C1EB9">
        <w:t>1. pomoč za dokončanje komasacijskih postopkov (v nadaljnjem besedilu: ukrep 1);</w:t>
      </w:r>
    </w:p>
    <w:p w14:paraId="647D6FCD" w14:textId="77777777" w:rsidR="002C1EB9" w:rsidRPr="002C1EB9" w:rsidRDefault="002C1EB9" w:rsidP="002C1EB9">
      <w:r w:rsidRPr="002C1EB9">
        <w:t>2. pomoč za prenos znanja in informiranje na področju predelave ter s kmetijstvom povezanega delovanja na podeželju (v nadaljnjem besedilu: ukrep 2);</w:t>
      </w:r>
    </w:p>
    <w:p w14:paraId="3B36E623" w14:textId="77777777" w:rsidR="002C1EB9" w:rsidRPr="002C1EB9" w:rsidRDefault="002C1EB9" w:rsidP="002C1EB9">
      <w:r w:rsidRPr="002C1EB9">
        <w:t>3. pomoč za delovanje na področju kmetijstva, gozdarstva in razvoja podeželja (v nadaljnjem besedilu: ukrep 3);</w:t>
      </w:r>
    </w:p>
    <w:p w14:paraId="44279E50" w14:textId="77777777" w:rsidR="002C1EB9" w:rsidRPr="002C1EB9" w:rsidRDefault="002C1EB9" w:rsidP="002C1EB9">
      <w:r w:rsidRPr="002C1EB9">
        <w:t>4. pomoč pri organizaciji strokovnih in jubilejnih dogodkov (v nadaljnjem besedilu: ukrep 4) in</w:t>
      </w:r>
    </w:p>
    <w:p w14:paraId="3EF1357C" w14:textId="77777777" w:rsidR="002C1EB9" w:rsidRPr="002C1EB9" w:rsidRDefault="002C1EB9" w:rsidP="002C1EB9">
      <w:r w:rsidRPr="002C1EB9">
        <w:t>5. organiziranje in izvedba tekmovanj v oranju ter udeležba na svetovnem prvenstvu.</w:t>
      </w:r>
    </w:p>
    <w:p w14:paraId="469DA865" w14:textId="77777777" w:rsidR="002C1EB9" w:rsidRPr="002C1EB9" w:rsidRDefault="002C1EB9" w:rsidP="002C1EB9"/>
    <w:p w14:paraId="2951F612" w14:textId="77777777" w:rsidR="002C1EB9" w:rsidRPr="002C1EB9" w:rsidRDefault="002C1EB9" w:rsidP="002C1EB9">
      <w:r w:rsidRPr="002C1EB9">
        <w:t xml:space="preserve">Spremembe in dopolnitve uredbe se nanašajo na ukrepe 1, 2, 3 in 4. Pri  ukrepu 1 se ustrezno ureja sklic za evropsko zakonodajo. Pri  ukrepih 2, 3 in 4 se črta pogoj, da mora imeti vlagatelj več kot polovico aktivnih članov, ki so kmetje. </w:t>
      </w:r>
    </w:p>
    <w:p w14:paraId="4859E00A" w14:textId="77777777" w:rsidR="002C1EB9" w:rsidRPr="002C1EB9" w:rsidRDefault="002C1EB9" w:rsidP="002C1EB9">
      <w:r w:rsidRPr="002C1EB9">
        <w:t xml:space="preserve">Pri ukrepu 3: </w:t>
      </w:r>
    </w:p>
    <w:p w14:paraId="3AF4AEC2" w14:textId="12710FA8" w:rsidR="002C1EB9" w:rsidRPr="002C1EB9" w:rsidRDefault="002C1EB9" w:rsidP="002C1EB9">
      <w:r w:rsidRPr="002C1EB9">
        <w:t>-</w:t>
      </w:r>
      <w:r>
        <w:t xml:space="preserve"> </w:t>
      </w:r>
      <w:r w:rsidRPr="002C1EB9">
        <w:t>se v sklop A doda nov vlagatelj, to je Zveza strojnih krožkov,</w:t>
      </w:r>
    </w:p>
    <w:p w14:paraId="57E11B1F" w14:textId="3AD51595" w:rsidR="002C1EB9" w:rsidRPr="002C1EB9" w:rsidRDefault="002C1EB9" w:rsidP="002C1EB9">
      <w:r w:rsidRPr="002C1EB9">
        <w:t>-</w:t>
      </w:r>
      <w:r>
        <w:t xml:space="preserve"> </w:t>
      </w:r>
      <w:r w:rsidRPr="002C1EB9">
        <w:t>se doda omejitev višine odobrenih sredstev za sklop A v višini do 45.000 evrov in za sklop B v višini do 15.000 evrov,</w:t>
      </w:r>
    </w:p>
    <w:p w14:paraId="71DA5B83" w14:textId="58EC5A81" w:rsidR="002C1EB9" w:rsidRPr="002C1EB9" w:rsidRDefault="002C1EB9" w:rsidP="002C1EB9">
      <w:r w:rsidRPr="002C1EB9">
        <w:t>-</w:t>
      </w:r>
      <w:r>
        <w:t xml:space="preserve"> </w:t>
      </w:r>
      <w:r w:rsidRPr="002C1EB9">
        <w:t>se k stroškom, povezanim s spodbujanjem, združevanjem in povezovanjem ljudi, dodajo stroški udeležbe na gostovanjih, tekmovanjih, prireditvah, ter stroški povezani z izobraževalnimi vsebinami,</w:t>
      </w:r>
    </w:p>
    <w:p w14:paraId="60F595F7" w14:textId="31B15693" w:rsidR="002C1EB9" w:rsidRPr="002C1EB9" w:rsidRDefault="002C1EB9" w:rsidP="002C1EB9">
      <w:r w:rsidRPr="002C1EB9">
        <w:t>-</w:t>
      </w:r>
      <w:r>
        <w:t xml:space="preserve"> </w:t>
      </w:r>
      <w:r w:rsidRPr="002C1EB9">
        <w:t>se bolj jasno določi besedilo, ki se nanaša na neupravičene stroške,</w:t>
      </w:r>
    </w:p>
    <w:p w14:paraId="48871BCB" w14:textId="3C4D3CF1" w:rsidR="002C1EB9" w:rsidRPr="002C1EB9" w:rsidRDefault="002C1EB9" w:rsidP="002C1EB9">
      <w:r w:rsidRPr="002C1EB9">
        <w:t>-</w:t>
      </w:r>
      <w:r>
        <w:t xml:space="preserve"> </w:t>
      </w:r>
      <w:r w:rsidRPr="002C1EB9">
        <w:t>se spremeni merilo za sklope A, C in Č ter merilo za slop B.</w:t>
      </w:r>
    </w:p>
    <w:p w14:paraId="02420647" w14:textId="77777777" w:rsidR="002C1EB9" w:rsidRPr="002C1EB9" w:rsidRDefault="002C1EB9" w:rsidP="002C1EB9"/>
    <w:p w14:paraId="39F788DE" w14:textId="77777777" w:rsidR="002C1EB9" w:rsidRPr="002C1EB9" w:rsidRDefault="002C1EB9" w:rsidP="002C1EB9">
      <w:r w:rsidRPr="002C1EB9">
        <w:t xml:space="preserve">V letu 2025 je v proračunu Ministrstva za kmetijstvo, gozdarstvo in prehrano za izvedbo ukrepa 2, 3 in 4 načrtovanih 395.000 evrov na PP 255610 – Podpora strokovnim prireditvam, stanovskemu in interesnemu povezovanju, NRP 2330-20-0043 Podpora interesnemu povezovanju 2021–2025. </w:t>
      </w:r>
    </w:p>
    <w:p w14:paraId="684A7388" w14:textId="77777777" w:rsidR="002C1EB9" w:rsidRPr="002C1EB9" w:rsidRDefault="002C1EB9" w:rsidP="002C1EB9"/>
    <w:p w14:paraId="0DC13FFB" w14:textId="2035DCDB" w:rsidR="002C1EB9" w:rsidRPr="002C1EB9" w:rsidRDefault="002C1EB9" w:rsidP="002C1EB9">
      <w:r w:rsidRPr="002C1EB9">
        <w:t>Od tega za ukrep 2: 54.000 evrov, konto 4102, za ukrep 3: 331.000 evrov, konto 4120, in za ukrep 4: 10.000 evrov, konto 4120.</w:t>
      </w:r>
    </w:p>
    <w:p w14:paraId="4EA81E57" w14:textId="7232C817" w:rsidR="000E08CA" w:rsidRPr="002C1EB9" w:rsidRDefault="002C1EB9" w:rsidP="002C1EB9">
      <w:pPr>
        <w:pStyle w:val="Vir"/>
      </w:pPr>
      <w:r w:rsidRPr="002C1EB9">
        <w:t>Vir: Ministrstvo za kmetijstvo, gozdarstvo in prehrano</w:t>
      </w:r>
    </w:p>
    <w:p w14:paraId="5B5AFC2C" w14:textId="5077ECBC" w:rsidR="0046599C" w:rsidRPr="0046599C" w:rsidRDefault="0046599C" w:rsidP="0046599C">
      <w:pPr>
        <w:pStyle w:val="Naslov2"/>
      </w:pPr>
      <w:r w:rsidRPr="0046599C">
        <w:t>Vlada je izdala sklep o predlogih za priznanje položaja stranke v postopkih</w:t>
      </w:r>
    </w:p>
    <w:p w14:paraId="6453CEAB" w14:textId="77777777" w:rsidR="0046599C" w:rsidRPr="0046599C" w:rsidRDefault="0046599C" w:rsidP="0046599C">
      <w:r w:rsidRPr="0046599C">
        <w:lastRenderedPageBreak/>
        <w:t>Vlada Republike Slovenije je izdala novelo Uredbe o skupnih določbah za izvajanje intervencij razvoja podeželja, ki niso vezane na površino ali živali, iz strateškega načrta skupne kmetijske politike 2023–2027.</w:t>
      </w:r>
    </w:p>
    <w:p w14:paraId="7E2C70DA" w14:textId="77777777" w:rsidR="0046599C" w:rsidRPr="0046599C" w:rsidRDefault="0046599C" w:rsidP="0046599C"/>
    <w:p w14:paraId="44F9EB08" w14:textId="73C8ABBA" w:rsidR="0046599C" w:rsidRPr="0046599C" w:rsidRDefault="0046599C" w:rsidP="0046599C">
      <w:r w:rsidRPr="0046599C">
        <w:t xml:space="preserve">V predlogu novele se predlaga sprememba 2. točke prvega odstavka 20.a člena na način, da se dodajata dve </w:t>
      </w:r>
      <w:proofErr w:type="spellStart"/>
      <w:r w:rsidRPr="0046599C">
        <w:t>podintervenciji</w:t>
      </w:r>
      <w:proofErr w:type="spellEnd"/>
      <w:r w:rsidRPr="0046599C">
        <w:t>, ki se upoštevata pri določitvi najvišjega zneska podpore iz Strateškega načrta skupne kmetijske politike 2023–2027. S tem predlogom spremembe se upošteva zahteva iz Strateškega načrta skupne kmetijske politike 2023–2027.</w:t>
      </w:r>
    </w:p>
    <w:p w14:paraId="54D7B2E0" w14:textId="3B14244B" w:rsidR="000E08CA" w:rsidRDefault="0046599C" w:rsidP="00A4292B">
      <w:pPr>
        <w:pStyle w:val="Vir"/>
      </w:pPr>
      <w:r w:rsidRPr="0046599C">
        <w:t>Vir: Ministrstvo za kmetijstvo, gozdarstvo in prehrano</w:t>
      </w:r>
    </w:p>
    <w:p w14:paraId="3E4AFE71" w14:textId="77777777" w:rsidR="00476322" w:rsidRPr="00476322" w:rsidRDefault="00476322" w:rsidP="00476322"/>
    <w:p w14:paraId="1E8E38D3" w14:textId="3A230EB1" w:rsidR="00C52B1A" w:rsidRDefault="00C52B1A" w:rsidP="00C52B1A">
      <w:pPr>
        <w:pStyle w:val="Naslov2"/>
      </w:pPr>
      <w:r w:rsidRPr="00C52B1A">
        <w:t>Sprejet Sklep o spremembi Sklepa o ustanovitvi javnega zavoda Študijski center za narodno spravo</w:t>
      </w:r>
    </w:p>
    <w:p w14:paraId="5126BF55" w14:textId="77777777" w:rsidR="00C52B1A" w:rsidRPr="00C52B1A" w:rsidRDefault="00C52B1A" w:rsidP="00C52B1A">
      <w:r w:rsidRPr="00C52B1A">
        <w:t xml:space="preserve">Vlada Republike Slovenije je sprejela Sklep o spremembi Sklepa o ustanovitvi javnega zavoda Študijski center za narodno spravo ter ga objavi v Uradnem listu Republike Slovenije. </w:t>
      </w:r>
    </w:p>
    <w:p w14:paraId="5687010F" w14:textId="77777777" w:rsidR="00C52B1A" w:rsidRPr="00C52B1A" w:rsidRDefault="00C52B1A" w:rsidP="00C52B1A">
      <w:r w:rsidRPr="00C52B1A">
        <w:t xml:space="preserve">Ustanovitelj javnega zavoda Študijski center za narodno spravo je Republika Slovenija, ustanoviteljske pravice in obveznosti izvršuje Vlada Republike Slovenije. </w:t>
      </w:r>
    </w:p>
    <w:p w14:paraId="14408CD8" w14:textId="77777777" w:rsidR="00C52B1A" w:rsidRPr="00C52B1A" w:rsidRDefault="00C52B1A" w:rsidP="00C52B1A">
      <w:r w:rsidRPr="00C52B1A">
        <w:t>Svet javnega zavoda Študijski center za narodno spravo je sprejel sklep o predlogu za spremembo in razširitev dejavnosti zavoda. To je potrebno za opravljanje dejavnosti prodaje preko spleta, s pomočjo katere bi se lahko izvajala prodaja vstopnic za razstavo v prostorih na Beethovnovi 3 v Ljubljani, ki jih ima javni zavod v upravljanju. Predlagal je tudi pretvorbo oziroma uskladitev preostalih dejavnosti javnega zavoda z novo Standardno klasifikacijo dejavnosti. Nekatere dejavnosti, ki jih javni zavod dejansko ne izvaja in očitno niso povezane z izvrševanjem nalog zavoda, so v spremenjeni določbi izpuščene.</w:t>
      </w:r>
    </w:p>
    <w:p w14:paraId="2727672B" w14:textId="326CC206" w:rsidR="00252D88" w:rsidRDefault="00C52B1A" w:rsidP="00C52B1A">
      <w:r w:rsidRPr="00C52B1A">
        <w:t xml:space="preserve">Ker lahko v skladu z 20. členom Zakona o zavodih javni zavod spremeni ali razširi dejavnost le s soglasjem ustanovitelja, dejavnosti javnega zavoda pa so določene v sklepu o ustanovitvi, je Ministrstvo za pravosodje kot pristojno resorno ministrstvo predlagalo sprejem spremembe ustanovitvenega akta javnega zavoda v skladu s predlogom sveta. </w:t>
      </w:r>
    </w:p>
    <w:p w14:paraId="1DB85A97" w14:textId="115C2604" w:rsidR="000E08CA" w:rsidRPr="00252D88" w:rsidRDefault="00C52B1A" w:rsidP="00252D88">
      <w:pPr>
        <w:pStyle w:val="Vir"/>
      </w:pPr>
      <w:r w:rsidRPr="00C52B1A">
        <w:t>Vir: Ministrstvo za pravosodje</w:t>
      </w:r>
    </w:p>
    <w:p w14:paraId="2B2375B7" w14:textId="44022204" w:rsidR="00340D08" w:rsidRPr="00340D08" w:rsidRDefault="00340D08" w:rsidP="00340D08">
      <w:pPr>
        <w:pStyle w:val="Naslov2"/>
      </w:pPr>
      <w:r w:rsidRPr="00340D08">
        <w:t xml:space="preserve">Vlada sprejela Nacionalni raziskovalni program kritičnih mineralnih surovin in njihovih nosilcev za Slovenijo </w:t>
      </w:r>
    </w:p>
    <w:p w14:paraId="4A002A57" w14:textId="723CDE4F" w:rsidR="00340D08" w:rsidRPr="00340D08" w:rsidRDefault="00340D08" w:rsidP="00340D08">
      <w:r w:rsidRPr="00340D08">
        <w:t>Vlada je sprejela Nacionalni raziskovalni program kritičnih mineralnih surovin in njihovih nosilcev za Slovenijo (NRP), ki ga bo ministrstvo posredovalo Evropski komisiji. NRP vsebuje podroben načrt zbiranja podatkov na podlagi daljinskega zaznavanja, geokemičnih raziskav, geološkega kartiranja in terenskih geofizikalnih raziskav. Prav tako predvideva obdelavo podatkov in modeliranje, načrt upravljanja s podatki, načrt sodelovanja z deležniki ter načrt nadzora in posodobitev po potrebi.</w:t>
      </w:r>
    </w:p>
    <w:p w14:paraId="03652D8A" w14:textId="77777777" w:rsidR="00340D08" w:rsidRPr="00340D08" w:rsidRDefault="00340D08" w:rsidP="00340D08"/>
    <w:p w14:paraId="5B90CA1E" w14:textId="77777777" w:rsidR="00340D08" w:rsidRPr="00340D08" w:rsidRDefault="00340D08" w:rsidP="00340D08">
      <w:r w:rsidRPr="00340D08">
        <w:t xml:space="preserve">Vlada je NRP sprejela v skladu z Uredbo 2024/1252/EU, ki državam članicam nalaga, da pripravijo nacionalne programe za splošno raziskovanje kritičnih surovin in mineralov nosilcev za kritične surovine. NRP je pripravil Geološki zavod Republike Slovenije in temelji na dosedanjem vedenju o kritičnih mineralnih surovinah v Sloveniji. Ključni cilji NRP so zbirka geoloških in drugih podatkov, ki so vezani na posamezni predlagani raziskovalni prostor, določitev posameznih perspektivnih ožjih območij, določitev globinskih struktur ter detekcijo pokritih rudnih teles. Pričakovani učinki pa so investicija v nadaljnje podrobne raziskave za določitev pogojev izkoriščanja, ocena ekonomičnosti izkoriščanja ter določitev </w:t>
      </w:r>
      <w:proofErr w:type="spellStart"/>
      <w:r w:rsidRPr="00340D08">
        <w:t>okoljskih</w:t>
      </w:r>
      <w:proofErr w:type="spellEnd"/>
      <w:r w:rsidRPr="00340D08">
        <w:t xml:space="preserve">, družbenih in gospodarskih pogojev. </w:t>
      </w:r>
    </w:p>
    <w:p w14:paraId="5CA6C992" w14:textId="77777777" w:rsidR="00340D08" w:rsidRPr="00340D08" w:rsidRDefault="00340D08" w:rsidP="00340D08"/>
    <w:p w14:paraId="058FDCBB" w14:textId="77777777" w:rsidR="00340D08" w:rsidRPr="00340D08" w:rsidRDefault="00340D08" w:rsidP="00340D08">
      <w:proofErr w:type="spellStart"/>
      <w:r w:rsidRPr="00340D08">
        <w:t>Sinergijske</w:t>
      </w:r>
      <w:proofErr w:type="spellEnd"/>
      <w:r w:rsidRPr="00340D08">
        <w:t xml:space="preserve"> in multiplikativne učinke izvajanja programa je pričakovati predvsem na naslednjih področjih: </w:t>
      </w:r>
    </w:p>
    <w:p w14:paraId="7B139A9E" w14:textId="7DDC048A" w:rsidR="00340D08" w:rsidRPr="00340D08" w:rsidRDefault="00340D08" w:rsidP="00340D08">
      <w:r w:rsidRPr="00340D08">
        <w:lastRenderedPageBreak/>
        <w:t>-</w:t>
      </w:r>
      <w:r>
        <w:t xml:space="preserve"> </w:t>
      </w:r>
      <w:r w:rsidRPr="00340D08">
        <w:t xml:space="preserve">izboljšanje poznavanja potresnih virov v Sloveniji in ocene potresne nevarnosti na državnem nivoju ter za infrastrukturne objekte državnega pomena; </w:t>
      </w:r>
    </w:p>
    <w:p w14:paraId="3A1F9171" w14:textId="2F8FF503" w:rsidR="00340D08" w:rsidRPr="00340D08" w:rsidRDefault="00340D08" w:rsidP="00340D08">
      <w:r w:rsidRPr="00340D08">
        <w:t>-</w:t>
      </w:r>
      <w:r>
        <w:t xml:space="preserve"> </w:t>
      </w:r>
      <w:r w:rsidRPr="00340D08">
        <w:t xml:space="preserve">ocena potenciala in trajnostno izkoriščanje geotermalne energije; </w:t>
      </w:r>
    </w:p>
    <w:p w14:paraId="681B6135" w14:textId="51CB456D" w:rsidR="00340D08" w:rsidRPr="00340D08" w:rsidRDefault="00340D08" w:rsidP="00340D08">
      <w:r w:rsidRPr="00340D08">
        <w:t>-</w:t>
      </w:r>
      <w:r>
        <w:t xml:space="preserve"> </w:t>
      </w:r>
      <w:r w:rsidRPr="00340D08">
        <w:t>nadgradnja poznavanja potenciala za morebitno skladiščenje CO2 in H2 v prihodnje;</w:t>
      </w:r>
    </w:p>
    <w:p w14:paraId="7D6D2131" w14:textId="123E37B4" w:rsidR="00340D08" w:rsidRPr="00340D08" w:rsidRDefault="00340D08" w:rsidP="00340D08">
      <w:r w:rsidRPr="00340D08">
        <w:t>-</w:t>
      </w:r>
      <w:r>
        <w:t xml:space="preserve"> </w:t>
      </w:r>
      <w:r w:rsidRPr="00340D08">
        <w:t xml:space="preserve">boljše varstvo pred geološko pogojenimi nevarnostmi (varstvo pred plazovi in drugimi pojavi pobočnih masnih premikov); </w:t>
      </w:r>
    </w:p>
    <w:p w14:paraId="5E9F4711" w14:textId="27BEB3DF" w:rsidR="00340D08" w:rsidRPr="00340D08" w:rsidRDefault="00340D08" w:rsidP="00340D08">
      <w:r w:rsidRPr="00340D08">
        <w:t>-</w:t>
      </w:r>
      <w:r>
        <w:t xml:space="preserve"> </w:t>
      </w:r>
      <w:r w:rsidRPr="00340D08">
        <w:t xml:space="preserve">varstvo okolja, proučevanje onesnaževanja (preteklega, sedanjega, prihodnjega); ničelno stanje – določitev naravnih geokemičnih ozadij; </w:t>
      </w:r>
    </w:p>
    <w:p w14:paraId="1F76312B" w14:textId="63ED47C3" w:rsidR="00340D08" w:rsidRPr="00340D08" w:rsidRDefault="00340D08" w:rsidP="00340D08">
      <w:r w:rsidRPr="00340D08">
        <w:t>-</w:t>
      </w:r>
      <w:r>
        <w:t xml:space="preserve"> </w:t>
      </w:r>
      <w:r w:rsidRPr="00340D08">
        <w:t xml:space="preserve">3D prostorsko načrtovanje – podzemna gradnja, gradnja predorov, podzemna skladišča odpadkov in drugi podzemni objekti; trajnostno izkoriščanje drugih nekovinskih mineralnih surovin, predvsem surovin za predelovalno industrijo. </w:t>
      </w:r>
    </w:p>
    <w:p w14:paraId="1448F7DF" w14:textId="77777777" w:rsidR="00340D08" w:rsidRPr="00340D08" w:rsidRDefault="00340D08" w:rsidP="00340D08"/>
    <w:p w14:paraId="66ABF115" w14:textId="242964A0" w:rsidR="00340D08" w:rsidRPr="00340D08" w:rsidRDefault="00340D08" w:rsidP="00340D08">
      <w:r w:rsidRPr="00340D08">
        <w:t xml:space="preserve">Skladno z Uredbo 2024/1252/EU je program pripravljen za obdobje petih let. Aktivnosti se delijo na kratkoročne, srednjeročne in dolgoročne. Vsebuje tudi okviren finančni načrt, vendar v fazi sprejema ne prinaša finančnih posledic. </w:t>
      </w:r>
    </w:p>
    <w:p w14:paraId="7F0055AB" w14:textId="6021DC7F" w:rsidR="000E08CA" w:rsidRPr="006A40E2" w:rsidRDefault="00340D08" w:rsidP="006A40E2">
      <w:pPr>
        <w:pStyle w:val="Vir"/>
      </w:pPr>
      <w:r w:rsidRPr="00340D08">
        <w:t>Vir: Ministrstvo za gospodarstvo, turizem in šport</w:t>
      </w:r>
    </w:p>
    <w:p w14:paraId="637F0ED1" w14:textId="406D586A" w:rsidR="006A40E2" w:rsidRPr="006A40E2" w:rsidRDefault="006A40E2" w:rsidP="006A40E2">
      <w:pPr>
        <w:pStyle w:val="Naslov2"/>
      </w:pPr>
      <w:r w:rsidRPr="006A40E2">
        <w:t>Vlada sprejela Nacionalno strategijo zdravstvene pismenosti in njen prvi akcijski načrt</w:t>
      </w:r>
    </w:p>
    <w:p w14:paraId="1C68588C" w14:textId="77777777" w:rsidR="006A40E2" w:rsidRPr="006A40E2" w:rsidRDefault="006A40E2" w:rsidP="006A40E2">
      <w:r w:rsidRPr="006A40E2">
        <w:t>Vlada Republike Slovenije je sprejela Nacionalno strategijo zdravstvene pismenosti 2025–2035 ter Akcijski načrt zdravstvene pismenosti 2025–2027.</w:t>
      </w:r>
    </w:p>
    <w:p w14:paraId="6A19A68F" w14:textId="77777777" w:rsidR="006A40E2" w:rsidRPr="006A40E2" w:rsidRDefault="006A40E2" w:rsidP="006A40E2"/>
    <w:p w14:paraId="7517A286" w14:textId="77777777" w:rsidR="006A40E2" w:rsidRPr="006A40E2" w:rsidRDefault="006A40E2" w:rsidP="006A40E2">
      <w:r w:rsidRPr="006A40E2">
        <w:t>Nacionalna strategija zdravstvene pismenosti 2025–2035 je prvi strateški dokument v Sloveniji, ki celovito obravnava zdravstveno pismenost kot ključno javnozdravstveno prednostno področje. Osrednji cilj je, da do leta 2035 vsaj šestdeset odstotkov prebivalcev doseže zadostno ali odlično raven zdravstvene pismenosti, saj ima trenutno skoraj vsak drugi odrasli v Sloveniji omejeno pismenost, kar vpliva na manj učinkovito uporabo zdravstvenega sistema in slabše zdravstvene izide.</w:t>
      </w:r>
    </w:p>
    <w:p w14:paraId="26C2E212" w14:textId="77777777" w:rsidR="006A40E2" w:rsidRPr="006A40E2" w:rsidRDefault="006A40E2" w:rsidP="006A40E2"/>
    <w:p w14:paraId="1D679BE4" w14:textId="77777777" w:rsidR="006A40E2" w:rsidRPr="006A40E2" w:rsidRDefault="006A40E2" w:rsidP="006A40E2">
      <w:r w:rsidRPr="006A40E2">
        <w:t>Strategija določa en strateški cilj, razdeljen na devet medsebojno povezanih podciljev, ki pokrivajo:</w:t>
      </w:r>
    </w:p>
    <w:p w14:paraId="2AD43B04" w14:textId="2EDEBBB0" w:rsidR="006A40E2" w:rsidRPr="006A40E2" w:rsidRDefault="006A40E2" w:rsidP="006A40E2">
      <w:r w:rsidRPr="006A40E2">
        <w:t>-</w:t>
      </w:r>
      <w:r>
        <w:t xml:space="preserve"> </w:t>
      </w:r>
      <w:r w:rsidRPr="006A40E2">
        <w:t>dostop do razumljivih in zanesljivih informacij,</w:t>
      </w:r>
    </w:p>
    <w:p w14:paraId="2AE8E358" w14:textId="0D20A859" w:rsidR="006A40E2" w:rsidRPr="006A40E2" w:rsidRDefault="006A40E2" w:rsidP="006A40E2">
      <w:r w:rsidRPr="006A40E2">
        <w:t>-</w:t>
      </w:r>
      <w:r>
        <w:t xml:space="preserve"> </w:t>
      </w:r>
      <w:r w:rsidRPr="006A40E2">
        <w:t>delovanje zdravstvenih organizacij kot ustanov, ki krepijo zdravstveno pismenost,</w:t>
      </w:r>
    </w:p>
    <w:p w14:paraId="4366671C" w14:textId="1386452B" w:rsidR="006A40E2" w:rsidRPr="006A40E2" w:rsidRDefault="006A40E2" w:rsidP="006A40E2">
      <w:r w:rsidRPr="006A40E2">
        <w:t>-</w:t>
      </w:r>
      <w:r>
        <w:t xml:space="preserve"> </w:t>
      </w:r>
      <w:r w:rsidRPr="006A40E2">
        <w:t xml:space="preserve">kompetence zdravstvenih delavcev, </w:t>
      </w:r>
    </w:p>
    <w:p w14:paraId="4A8E633B" w14:textId="393C2A9E" w:rsidR="006A40E2" w:rsidRPr="006A40E2" w:rsidRDefault="006A40E2" w:rsidP="006A40E2">
      <w:r w:rsidRPr="006A40E2">
        <w:t>-</w:t>
      </w:r>
      <w:r>
        <w:t xml:space="preserve"> </w:t>
      </w:r>
      <w:proofErr w:type="spellStart"/>
      <w:r w:rsidRPr="006A40E2">
        <w:t>opolnomočenje</w:t>
      </w:r>
      <w:proofErr w:type="spellEnd"/>
      <w:r w:rsidRPr="006A40E2">
        <w:t xml:space="preserve"> oseb s kroničnimi boleznimi, </w:t>
      </w:r>
    </w:p>
    <w:p w14:paraId="5381A1E7" w14:textId="120ED894" w:rsidR="006A40E2" w:rsidRPr="006A40E2" w:rsidRDefault="006A40E2" w:rsidP="006A40E2">
      <w:r w:rsidRPr="006A40E2">
        <w:t>-</w:t>
      </w:r>
      <w:r>
        <w:t xml:space="preserve"> </w:t>
      </w:r>
      <w:r w:rsidRPr="006A40E2">
        <w:t xml:space="preserve">digitalno zdravstveno pismenost, </w:t>
      </w:r>
    </w:p>
    <w:p w14:paraId="2F2D0218" w14:textId="7346C327" w:rsidR="006A40E2" w:rsidRPr="006A40E2" w:rsidRDefault="006A40E2" w:rsidP="006A40E2">
      <w:r w:rsidRPr="006A40E2">
        <w:t>-</w:t>
      </w:r>
      <w:r>
        <w:t xml:space="preserve"> </w:t>
      </w:r>
      <w:r w:rsidRPr="006A40E2">
        <w:t xml:space="preserve">vseživljenjski pristop, </w:t>
      </w:r>
    </w:p>
    <w:p w14:paraId="6CB63120" w14:textId="7913F211" w:rsidR="006A40E2" w:rsidRPr="006A40E2" w:rsidRDefault="006A40E2" w:rsidP="006A40E2">
      <w:r w:rsidRPr="006A40E2">
        <w:t>-</w:t>
      </w:r>
      <w:r>
        <w:t xml:space="preserve"> </w:t>
      </w:r>
      <w:r w:rsidRPr="006A40E2">
        <w:t xml:space="preserve">vlogo civilne družbe, </w:t>
      </w:r>
    </w:p>
    <w:p w14:paraId="248793BC" w14:textId="17A56FEF" w:rsidR="006A40E2" w:rsidRPr="006A40E2" w:rsidRDefault="006A40E2" w:rsidP="006A40E2">
      <w:r w:rsidRPr="006A40E2">
        <w:t>-</w:t>
      </w:r>
      <w:r>
        <w:t xml:space="preserve"> </w:t>
      </w:r>
      <w:r w:rsidRPr="006A40E2">
        <w:t xml:space="preserve">vključitev v javne politike in </w:t>
      </w:r>
    </w:p>
    <w:p w14:paraId="003B5790" w14:textId="37E4AB94" w:rsidR="006A40E2" w:rsidRPr="006A40E2" w:rsidRDefault="006A40E2" w:rsidP="006A40E2">
      <w:r w:rsidRPr="006A40E2">
        <w:t>-</w:t>
      </w:r>
      <w:r>
        <w:t xml:space="preserve"> </w:t>
      </w:r>
      <w:r w:rsidRPr="006A40E2">
        <w:t xml:space="preserve">mednarodno sodelovanje. </w:t>
      </w:r>
    </w:p>
    <w:p w14:paraId="74EFEB9F" w14:textId="77777777" w:rsidR="006A40E2" w:rsidRDefault="006A40E2" w:rsidP="006A40E2"/>
    <w:p w14:paraId="7F9ACEA1" w14:textId="5A972EEC" w:rsidR="006A40E2" w:rsidRPr="006A40E2" w:rsidRDefault="006A40E2" w:rsidP="006A40E2">
      <w:r w:rsidRPr="006A40E2">
        <w:t xml:space="preserve">Za doseganje ciljev je določenih 28 ukrepov, ki vključujejo nosilce, sodelujoče, ciljne skupine in časovne okvire. </w:t>
      </w:r>
    </w:p>
    <w:p w14:paraId="70F5F3D8" w14:textId="77777777" w:rsidR="006A40E2" w:rsidRPr="006A40E2" w:rsidRDefault="006A40E2" w:rsidP="006A40E2"/>
    <w:p w14:paraId="2698895A" w14:textId="77777777" w:rsidR="006A40E2" w:rsidRPr="006A40E2" w:rsidRDefault="006A40E2" w:rsidP="006A40E2">
      <w:r w:rsidRPr="006A40E2">
        <w:t xml:space="preserve">Poseben poudarek je namenjen pravičnosti, dostopnosti in sodelovanju uporabnikov, z izrazitim osredotočanjem na ranljive skupine in zmanjševanje neenakosti. Spremljanje in vrednotenje sta sistemsko vključena skozi vse faze izvajanja strategije. </w:t>
      </w:r>
    </w:p>
    <w:p w14:paraId="44D9FA1E" w14:textId="77777777" w:rsidR="006A40E2" w:rsidRPr="006A40E2" w:rsidRDefault="006A40E2" w:rsidP="006A40E2"/>
    <w:p w14:paraId="04F2D535" w14:textId="1FDDCAB4" w:rsidR="006A40E2" w:rsidRPr="006A40E2" w:rsidRDefault="006A40E2" w:rsidP="006A40E2">
      <w:r w:rsidRPr="006A40E2">
        <w:t xml:space="preserve">Sprejet je bil tudi akcijski načrt za obdobje 2025–2027, ki z jasno določenimi izvedbenimi aktivnostmi, kazalniki uspešnosti in viri financiranja predstavlja operativni okvir za uresničevanje nacionalne strategije zdravstvene pismenosti. Akcijski načrt predvideva izvedbo nacionalnih kampanj, razvoj smernic, digitalnih rešitev, modulov usposabljanja, vključitev zdravstvene pismenosti v izobraževalne </w:t>
      </w:r>
      <w:r w:rsidRPr="006A40E2">
        <w:lastRenderedPageBreak/>
        <w:t>programe, izvajanje raziskav, razvoj meril organizacijske pismenosti in vključevanje Slovenije v mednarodne projekte.</w:t>
      </w:r>
    </w:p>
    <w:p w14:paraId="36BE5809" w14:textId="5941FFD5" w:rsidR="000E08CA" w:rsidRPr="006A40E2" w:rsidRDefault="006A40E2" w:rsidP="006A40E2">
      <w:pPr>
        <w:pStyle w:val="Vir"/>
      </w:pPr>
      <w:r w:rsidRPr="006A40E2">
        <w:t>Vir: Ministrstvo za zdravje</w:t>
      </w:r>
    </w:p>
    <w:p w14:paraId="5D6CD5C2" w14:textId="64734E47" w:rsidR="00245F87" w:rsidRPr="00245F87" w:rsidRDefault="00245F87" w:rsidP="00245F87">
      <w:pPr>
        <w:pStyle w:val="Naslov2"/>
      </w:pPr>
      <w:r w:rsidRPr="00245F87">
        <w:t>Vlada ugodila uporabi besede Slovenija v nameravani spremenjeni firmi družbe FTA</w:t>
      </w:r>
    </w:p>
    <w:p w14:paraId="51690A16" w14:textId="46DD20BF" w:rsidR="00245F87" w:rsidRPr="00245F87" w:rsidRDefault="00245F87" w:rsidP="00245F87">
      <w:r w:rsidRPr="00245F87">
        <w:t>Vlada je izdala odločbo, s katero celjski družbi FTA Podjetje za proizvodnjo, trženje, trgovino in druge storitve d. o. o. dovoli uporabo besede »Slovenija« v nameravani spremenjeni firmi družbe. Ta se bo glasila »TQ-</w:t>
      </w:r>
      <w:proofErr w:type="spellStart"/>
      <w:r w:rsidRPr="00245F87">
        <w:t>Systems</w:t>
      </w:r>
      <w:proofErr w:type="spellEnd"/>
      <w:r w:rsidRPr="00245F87">
        <w:t xml:space="preserve"> Slovenija, podjetje za proizvodnjo, trženje, trgovino in druge storitve </w:t>
      </w:r>
      <w:proofErr w:type="spellStart"/>
      <w:r w:rsidRPr="00245F87">
        <w:t>d.o.o</w:t>
      </w:r>
      <w:proofErr w:type="spellEnd"/>
      <w:r w:rsidRPr="00245F87">
        <w:t>.«, skrajšano »TQ-</w:t>
      </w:r>
      <w:proofErr w:type="spellStart"/>
      <w:r w:rsidRPr="00245F87">
        <w:t>Systems</w:t>
      </w:r>
      <w:proofErr w:type="spellEnd"/>
      <w:r w:rsidRPr="00245F87">
        <w:t xml:space="preserve"> Slovenija </w:t>
      </w:r>
      <w:proofErr w:type="spellStart"/>
      <w:r w:rsidRPr="00245F87">
        <w:t>d.o.o</w:t>
      </w:r>
      <w:proofErr w:type="spellEnd"/>
      <w:r w:rsidRPr="00245F87">
        <w:t>.«. Zakon o gospodarskih družbah določa, da je besedo Slovenija dovoljeno vnesti v firmo le z dovoljenjem vlade.</w:t>
      </w:r>
    </w:p>
    <w:p w14:paraId="45B4E115" w14:textId="77777777" w:rsidR="00245F87" w:rsidRPr="00245F87" w:rsidRDefault="00245F87" w:rsidP="00245F87"/>
    <w:p w14:paraId="472BBC78" w14:textId="77777777" w:rsidR="00245F87" w:rsidRPr="00245F87" w:rsidRDefault="00245F87" w:rsidP="00245F87">
      <w:r w:rsidRPr="00245F87">
        <w:t xml:space="preserve">Glavna dejavnost družbe je proizvodnja elektronskih plošč. Gre za družbo, katere družbenika sta družba FTA Podjetje za proizvodnjo, trženje, trgovino in druge storitve </w:t>
      </w:r>
      <w:proofErr w:type="spellStart"/>
      <w:r w:rsidRPr="00245F87">
        <w:t>d.o.o</w:t>
      </w:r>
      <w:proofErr w:type="spellEnd"/>
      <w:r w:rsidRPr="00245F87">
        <w:t xml:space="preserve">. (10-odstotni delež) ter multinacionalka TQ-GROUP GMBH (90-odstotni delež), ki je nemško tehnološko podjetje, specializirano za razvoj in proizvodnjo elektronskih ter </w:t>
      </w:r>
      <w:proofErr w:type="spellStart"/>
      <w:r w:rsidRPr="00245F87">
        <w:t>mehatroničnih</w:t>
      </w:r>
      <w:proofErr w:type="spellEnd"/>
      <w:r w:rsidRPr="00245F87">
        <w:t xml:space="preserve"> rešitev. Globalno je s 14 proizvodnimi obrati prisotno v Nemčiji, Švici, Združenih državah Amerike in Aziji. </w:t>
      </w:r>
    </w:p>
    <w:p w14:paraId="73EA1943" w14:textId="77777777" w:rsidR="00245F87" w:rsidRPr="00245F87" w:rsidRDefault="00245F87" w:rsidP="00245F87">
      <w:r w:rsidRPr="00245F87">
        <w:t xml:space="preserve">Vlada je v postopku ugotovila, da družba posluje uspešno, je razvojno usmerjena in nenehno izboljšuje svoje produkte ter rešitve. Cilj družbe za prihodnost predstavlja ohranjanje slovenske identitete podjetja, ohranjanje in razvoj lokalnega gospodarstva ter biti prepoznavna in konkurenčna na svetovnem trgu. Družba zaposluje strokovnjake iz različnih družbenih, izobrazbenih in socialnih okolij, ki jih aktivno izobražuje, </w:t>
      </w:r>
      <w:proofErr w:type="spellStart"/>
      <w:r w:rsidRPr="00245F87">
        <w:t>mentorira</w:t>
      </w:r>
      <w:proofErr w:type="spellEnd"/>
      <w:r w:rsidRPr="00245F87">
        <w:t xml:space="preserve"> in spodbuja k osebnemu ter strokovnemu razvoju. Prav tako želijo biti ključen zaposlovalec in razvojni partner v Sloveniji tudi v prihodnosti. </w:t>
      </w:r>
    </w:p>
    <w:p w14:paraId="76D81F17" w14:textId="77777777" w:rsidR="00245F87" w:rsidRPr="00245F87" w:rsidRDefault="00245F87" w:rsidP="00245F87">
      <w:r w:rsidRPr="00245F87">
        <w:t>V družbi so trenutno zaposlene štiri osebe, dosedanje poslovanje in finančni položaj družbe pa sta stabilna, z ugodnimi trendi. V letu 2023 je družba poslovala z dobičkom 428.874,31 evra. Vlada je v postopku tudi ugotovila, da ima družba izpolnjene davčne in druge javnofinančne obveznosti ter da ni v postopku insolventnosti oziroma prisilnega prenehanja po Zakonu o finančnem poslovanju, postopkih zaradi insolventnosti in prisilnem prenehanju.</w:t>
      </w:r>
    </w:p>
    <w:p w14:paraId="5C2DAA04" w14:textId="77777777" w:rsidR="00245F87" w:rsidRPr="00245F87" w:rsidRDefault="00245F87" w:rsidP="00245F87">
      <w:r w:rsidRPr="00245F87">
        <w:t>Dodatno je bilo tudi presojano, ali je njena obvladujoča družba koncern oziroma multinacionalka, ki ima mednarodni ugled in v firmah svojih odvisnih družb praviloma uporablja imena držav sedežev odvisnih družb. V postopku je bilo ugotovljeno, da gre pri družbi, ki jo obvladuje, za družbo, ki v svojih odvisnih družbah v nazivu praviloma uporablja imena držav, v katerih posluje.</w:t>
      </w:r>
    </w:p>
    <w:p w14:paraId="2D9CD2D3" w14:textId="37B0B528" w:rsidR="00245F87" w:rsidRPr="00245F87" w:rsidRDefault="00245F87" w:rsidP="00245F87">
      <w:r w:rsidRPr="00245F87">
        <w:t>Glede na dejavnost družbe, uspešnost poslovanja in izkazano družbeno odgovornost gre za pomembno družbo, katere dejavnost je potrebno šteti kot dejavnost, ki je za Republiko Slovenijo večjega pomena. To je utemeljeno tudi s tem, da širi svojo dejavnost in s tem ustvarja nova delovna mesta. Prav tako je del koncerna, ki ima mednarodni ugled in v firmah odvisnih družb praviloma uporablja imena držav sedežev odvisnih družb.</w:t>
      </w:r>
    </w:p>
    <w:p w14:paraId="06000E5A" w14:textId="5B41ABA3" w:rsidR="000E08CA" w:rsidRPr="00430A4D" w:rsidRDefault="00245F87" w:rsidP="00430A4D">
      <w:pPr>
        <w:pStyle w:val="Vir"/>
      </w:pPr>
      <w:r w:rsidRPr="00245F87">
        <w:t>Vir: Ministrstvo za gospodarstvo, turizem in šport</w:t>
      </w:r>
    </w:p>
    <w:p w14:paraId="5598E70D" w14:textId="0255D9F0" w:rsidR="00430A4D" w:rsidRPr="00430A4D" w:rsidRDefault="00430A4D" w:rsidP="00430A4D">
      <w:pPr>
        <w:pStyle w:val="Naslov2"/>
      </w:pPr>
      <w:r w:rsidRPr="00430A4D">
        <w:t xml:space="preserve">Vlada ugodila uporabi besede Slovenija v nameravani spremembi imena zavoda </w:t>
      </w:r>
      <w:proofErr w:type="spellStart"/>
      <w:r w:rsidRPr="00430A4D">
        <w:t>Biotech</w:t>
      </w:r>
      <w:proofErr w:type="spellEnd"/>
      <w:r w:rsidRPr="00430A4D">
        <w:t xml:space="preserve"> </w:t>
      </w:r>
      <w:proofErr w:type="spellStart"/>
      <w:r w:rsidRPr="00430A4D">
        <w:t>Hills</w:t>
      </w:r>
      <w:proofErr w:type="spellEnd"/>
    </w:p>
    <w:p w14:paraId="14068E1B" w14:textId="0409D307" w:rsidR="00430A4D" w:rsidRPr="00430A4D" w:rsidRDefault="00430A4D" w:rsidP="00430A4D">
      <w:r w:rsidRPr="00430A4D">
        <w:t xml:space="preserve">Vlada je izdala odločbo, s katero zavodu </w:t>
      </w:r>
      <w:proofErr w:type="spellStart"/>
      <w:r w:rsidRPr="00430A4D">
        <w:t>Biotech</w:t>
      </w:r>
      <w:proofErr w:type="spellEnd"/>
      <w:r w:rsidRPr="00430A4D">
        <w:t xml:space="preserve"> </w:t>
      </w:r>
      <w:proofErr w:type="spellStart"/>
      <w:r w:rsidRPr="00430A4D">
        <w:t>Hills</w:t>
      </w:r>
      <w:proofErr w:type="spellEnd"/>
      <w:r w:rsidRPr="00430A4D">
        <w:t xml:space="preserve">, poslovni pospeševalnik na področju biotehnologije dovoli uporabo besede »Slovenija« v nameravani spremembi imena zavoda. Ta se bo glasila »Slovenija </w:t>
      </w:r>
      <w:proofErr w:type="spellStart"/>
      <w:r w:rsidRPr="00430A4D">
        <w:t>Biotech</w:t>
      </w:r>
      <w:proofErr w:type="spellEnd"/>
      <w:r w:rsidRPr="00430A4D">
        <w:t xml:space="preserve"> </w:t>
      </w:r>
      <w:proofErr w:type="spellStart"/>
      <w:r w:rsidRPr="00430A4D">
        <w:t>Hills</w:t>
      </w:r>
      <w:proofErr w:type="spellEnd"/>
      <w:r w:rsidRPr="00430A4D">
        <w:t xml:space="preserve">, poslovni pospeševalnik na področju biotehnologije«, skrajšano »Zavod Slovenija </w:t>
      </w:r>
      <w:proofErr w:type="spellStart"/>
      <w:r w:rsidRPr="00430A4D">
        <w:t>Biotech</w:t>
      </w:r>
      <w:proofErr w:type="spellEnd"/>
      <w:r w:rsidRPr="00430A4D">
        <w:t xml:space="preserve"> </w:t>
      </w:r>
      <w:proofErr w:type="spellStart"/>
      <w:r w:rsidRPr="00430A4D">
        <w:t>Hills</w:t>
      </w:r>
      <w:proofErr w:type="spellEnd"/>
      <w:r w:rsidRPr="00430A4D">
        <w:t xml:space="preserve">«, v tujem jeziku »Institute </w:t>
      </w:r>
      <w:proofErr w:type="spellStart"/>
      <w:r w:rsidRPr="00430A4D">
        <w:t>Slovenia</w:t>
      </w:r>
      <w:proofErr w:type="spellEnd"/>
      <w:r w:rsidRPr="00430A4D">
        <w:t xml:space="preserve"> </w:t>
      </w:r>
      <w:proofErr w:type="spellStart"/>
      <w:r w:rsidRPr="00430A4D">
        <w:t>Biotech</w:t>
      </w:r>
      <w:proofErr w:type="spellEnd"/>
      <w:r w:rsidRPr="00430A4D">
        <w:t xml:space="preserve"> </w:t>
      </w:r>
      <w:proofErr w:type="spellStart"/>
      <w:r w:rsidRPr="00430A4D">
        <w:t>Hills</w:t>
      </w:r>
      <w:proofErr w:type="spellEnd"/>
      <w:r w:rsidRPr="00430A4D">
        <w:t xml:space="preserve">«. Zakon o zavodih določa, da sme ime zavoda vsebovati ime republike, občine ali mesta le z dovoljenjem pristojnega organa – v tem primeru vlade, če ustanovitelj zavoda ni republika, občina ali mesto. </w:t>
      </w:r>
    </w:p>
    <w:p w14:paraId="5A8660F9" w14:textId="77777777" w:rsidR="00430A4D" w:rsidRPr="00430A4D" w:rsidRDefault="00430A4D" w:rsidP="00430A4D">
      <w:r w:rsidRPr="00430A4D">
        <w:t xml:space="preserve">Vlada je v postopku izdaje dovoljenja za uporabo imena »Slovenija« v imenu zavoda ugotovila, da dejavnost, ki jo opravlja predlagatelj, izkazuje javni interes za Republiko Slovenijo. </w:t>
      </w:r>
    </w:p>
    <w:p w14:paraId="70430F04" w14:textId="77777777" w:rsidR="00430A4D" w:rsidRPr="00430A4D" w:rsidRDefault="00430A4D" w:rsidP="00430A4D">
      <w:r w:rsidRPr="00430A4D">
        <w:lastRenderedPageBreak/>
        <w:t xml:space="preserve">Ustanovitelji zavoda – Lek farmacevtska družba d. d., LABENA trgovina, svetovanje in proizvodnja laboratorijske opreme d. o. o., Novartis farmacevtska proizvodnja d. o. o., </w:t>
      </w:r>
      <w:proofErr w:type="spellStart"/>
      <w:r w:rsidRPr="00430A4D">
        <w:t>AmCham</w:t>
      </w:r>
      <w:proofErr w:type="spellEnd"/>
      <w:r w:rsidRPr="00430A4D">
        <w:t xml:space="preserve"> poslovne rešitve d. o. o. ter Herman &amp; partnerji SK, strateško komuniciranje, </w:t>
      </w:r>
      <w:proofErr w:type="spellStart"/>
      <w:r w:rsidRPr="00430A4D">
        <w:t>d.o.o</w:t>
      </w:r>
      <w:proofErr w:type="spellEnd"/>
      <w:r w:rsidRPr="00430A4D">
        <w:t xml:space="preserve">. – želijo z oblikovanjem strateških partnerstev umestiti Slovenijo na mednarodni zemljevid kot center biotehnološkega ekosistema, pri čemer bo zavod deloval kot pobudnik in nosilec takšnih strateških partnerstev. </w:t>
      </w:r>
    </w:p>
    <w:p w14:paraId="57A3EF22" w14:textId="77777777" w:rsidR="00430A4D" w:rsidRPr="00430A4D" w:rsidRDefault="00430A4D" w:rsidP="00430A4D">
      <w:r w:rsidRPr="00430A4D">
        <w:t>Temeljni cilj zavoda je, da Slovenija vzpostavi spodbuden ekosistem za razvoj biotehnološke industrije in postane najprivlačnejša destinacija v Evropi za raziskave in razvoj, proizvodnjo ter investicije v zagonska, majhna, srednja in velika podjetja na področju biotehnologije. Dodatno je v vlogi navedeno, da sta vlada in predlagatelj septembra 2024 v okviru Blejskega strateškega foruma podpisala »Pismo o nameri« za skupno zavezanost na področju razvoja celovitega ekosistema na področju biotehnologije in farmacije, kar po besedah predlagatelja predstavlja strateški odziv Slovenije za izboljšanje evropske gospodarske odpornosti, trajnosti in inovativnosti.</w:t>
      </w:r>
    </w:p>
    <w:p w14:paraId="4719CDBB" w14:textId="77777777" w:rsidR="00430A4D" w:rsidRPr="00430A4D" w:rsidRDefault="00430A4D" w:rsidP="00430A4D">
      <w:r w:rsidRPr="00430A4D">
        <w:t xml:space="preserve">Ustanovitelji si bodo prizadevali, da Slovenija postane prva izbira in najprivlačnejša destinacija za investicije v biotehnološke start-upe, majhna, srednja in velika podjetja, za inovacije, proizvodnjo ter izobraževanje usposobljene delovne sile v Evropi. </w:t>
      </w:r>
    </w:p>
    <w:p w14:paraId="271B14AD" w14:textId="1474C05F" w:rsidR="00430A4D" w:rsidRPr="00430A4D" w:rsidRDefault="00430A4D" w:rsidP="00430A4D">
      <w:r w:rsidRPr="00430A4D">
        <w:t xml:space="preserve">Vlada je v postopku izdaje dovoljenja za uporabo imena »Slovenija« v imenu zavoda ugotovila, da dejavnost, ki jo opravlja predlagatelj, izkazuje javni interes za Republiko Slovenijo. Prav tako je delovanje Zavoda razširjeno na celotno Slovenijo. Zavod pa je ustanovljen in deluje za podporo pri izgradnji privlačnega ekosistema za konkurenčen napredek ter s tem prispeva k razvoju in stabilnosti slovenskega gospodarstva. Biotehnološka panoga je skupaj s farmacijo v Republiki Sloveniji pomemben in uspešen del gospodarstva, ter nudi perspektivo za nadaljnji razvoj in povezovanje. </w:t>
      </w:r>
    </w:p>
    <w:p w14:paraId="02E92ACA" w14:textId="22348802" w:rsidR="000E08CA" w:rsidRPr="00E21BBE" w:rsidRDefault="00430A4D" w:rsidP="00E21BBE">
      <w:pPr>
        <w:pStyle w:val="Vir"/>
      </w:pPr>
      <w:r w:rsidRPr="00430A4D">
        <w:t>Vir: Ministrstvo za gospodarstvo, turizem in šport</w:t>
      </w:r>
    </w:p>
    <w:p w14:paraId="27C2BE15" w14:textId="14EA7A7F" w:rsidR="00E21BBE" w:rsidRPr="00E21BBE" w:rsidRDefault="00E21BBE" w:rsidP="00E21BBE">
      <w:pPr>
        <w:pStyle w:val="Naslov2"/>
      </w:pPr>
      <w:r w:rsidRPr="00E21BBE">
        <w:t>Vlada zavrnila zahtevo za dodelitev koncesije za prirejanje posebnih iger na srečo</w:t>
      </w:r>
    </w:p>
    <w:p w14:paraId="7503011F" w14:textId="54527AB5" w:rsidR="00E21BBE" w:rsidRPr="00E21BBE" w:rsidRDefault="00E21BBE" w:rsidP="00E21BBE">
      <w:r w:rsidRPr="00E21BBE">
        <w:t>Vlada je na današnji seji izdala odločbo, s katero se zahteva gospodarske družbe LIDO 777, igre na srečo in gostinstvo, d. o. o., za dodelitev koncesije za prirejanje posebnih iger na srečo v igralnem salonu na naslovu Slovenska cesta 16, 1000 Ljubljana, zavrne.</w:t>
      </w:r>
    </w:p>
    <w:p w14:paraId="0F4EE5C5" w14:textId="77777777" w:rsidR="00E21BBE" w:rsidRPr="00E21BBE" w:rsidRDefault="00E21BBE" w:rsidP="00E21BBE">
      <w:r w:rsidRPr="00E21BBE">
        <w:t xml:space="preserve">Glede na to, da so predvideni prostori igralnega salona znotraj istega objekta, v katerem se nahaja 96 stanovanj, se njegova lokacija šteje za neposredno bližino stanovanjskega območja, kar pravilnik izrecno prepoveduje. </w:t>
      </w:r>
    </w:p>
    <w:p w14:paraId="5E1FEB2F" w14:textId="534E7AAF" w:rsidR="00E21BBE" w:rsidRPr="00E21BBE" w:rsidRDefault="00E21BBE" w:rsidP="00E21BBE">
      <w:r w:rsidRPr="00E21BBE">
        <w:t>Na podlagi teh ugotovitev, iz katerih izhaja, da umestitev igralnega salona v objekt Šumi ni skladna z drugim odstavkom 6. člena pravilnika, je vlada odločila, da se vlagatelju ne dodeli koncesija za prirejanje posebnih iger na srečo v igralnem salonu na naslovu Slovenska cesta 16, 1000 Ljubljana.</w:t>
      </w:r>
    </w:p>
    <w:p w14:paraId="6497B072" w14:textId="4660913F" w:rsidR="000E08CA" w:rsidRPr="00395959" w:rsidRDefault="00E21BBE" w:rsidP="00395959">
      <w:pPr>
        <w:pStyle w:val="Vir"/>
      </w:pPr>
      <w:r w:rsidRPr="00E21BBE">
        <w:t>Vir: Ministrstvo za finance</w:t>
      </w:r>
    </w:p>
    <w:p w14:paraId="48CA3CD5" w14:textId="25EC5622" w:rsidR="00395959" w:rsidRPr="00395959" w:rsidRDefault="00395959" w:rsidP="00395959">
      <w:pPr>
        <w:pStyle w:val="Naslov2"/>
      </w:pPr>
      <w:r w:rsidRPr="00395959">
        <w:t>Vlada sklenila Pogodbo o opravljanju nalog inženiringa v javno cestno in železniško infrastrukturo z gospodarsko družbo DRI upravljanje investicij</w:t>
      </w:r>
    </w:p>
    <w:p w14:paraId="118CA467" w14:textId="77777777" w:rsidR="00395959" w:rsidRPr="00395959" w:rsidRDefault="00395959" w:rsidP="00395959">
      <w:r w:rsidRPr="00395959">
        <w:t>Vlada Republike Slovenije je z družbo DRI upravljanje investicij, Družba za razvoj infrastrukture, d. o. o. sklenila Pogodbo o opravljanju nalog inženiringa v javno cestno in železniško infrastrukturo. S pogodbo se ureja opravljanje nalog inženiringa v javno cestno in javno železniško infrastrukturo. Gre za temeljno pogodbo, ki se sklepa za obdobje sedmih let od podpisa, na osnovi katere so mogoči posebni dogovori za izvajanje posameznih projektov. Določa splošen pravni okvir za sklepanje letnih pogodb, torej mehanizem, ki se uporabi, ko nastopijo okoliščine, ki zahtevajo sklenitev pogodbe. Vključuje upravljanje, vzdrževanje, varstvo državnih cest, umeščanje infrastrukture v prostor, pripravo investicijske in projektne dokumentacije, nadgradnjo in gradnjo infrastrukture ter spremljanje objektov v garancijski dobi.</w:t>
      </w:r>
    </w:p>
    <w:p w14:paraId="5B8BC1E8" w14:textId="77777777" w:rsidR="00395959" w:rsidRPr="00395959" w:rsidRDefault="00395959" w:rsidP="00395959"/>
    <w:p w14:paraId="1CD8059B" w14:textId="4EDE229A" w:rsidR="00395959" w:rsidRPr="00395959" w:rsidRDefault="00395959" w:rsidP="00395959">
      <w:r w:rsidRPr="00395959">
        <w:t xml:space="preserve">Enkrat letno se sklene posebna pogodba za storitve na področju inženiringa v cestno infrastrukturo in posebna pogodba za storitve inženiringa v železniško infrastrukturo, v kateri bosta pogodbeni stranki </w:t>
      </w:r>
      <w:r w:rsidRPr="00395959">
        <w:lastRenderedPageBreak/>
        <w:t xml:space="preserve">opredelili predviden obseg storitev za posamično obdobje, ko bo ta znan, in bodo zagotovljena temu pripadajoča sredstva v okviru vsakoletnih zagotovljenih pravic porabe znotraj finančnega načrta proračunskega uporabnika. </w:t>
      </w:r>
    </w:p>
    <w:p w14:paraId="3B653986" w14:textId="40D09FA8" w:rsidR="000E08CA" w:rsidRPr="00956288" w:rsidRDefault="00395959" w:rsidP="00956288">
      <w:pPr>
        <w:pStyle w:val="Vir"/>
      </w:pPr>
      <w:r w:rsidRPr="00395959">
        <w:t>Vir: Ministrstvo za infrastrukturo</w:t>
      </w:r>
    </w:p>
    <w:p w14:paraId="292B5C87" w14:textId="5952AE43" w:rsidR="000504BA" w:rsidRPr="000504BA" w:rsidRDefault="000504BA" w:rsidP="000504BA">
      <w:pPr>
        <w:pStyle w:val="Naslov2"/>
      </w:pPr>
      <w:r w:rsidRPr="000504BA">
        <w:t>Več razpisanih mest za tujce, državljane držav, ki niso države članice Evropske unije, v dodiplomske in enovite magistrske študijske programe na javnih in koncesioniranih visokošolskih zavodih v študijskem letu 2025/2026</w:t>
      </w:r>
    </w:p>
    <w:p w14:paraId="57BDBFCF" w14:textId="77777777" w:rsidR="000504BA" w:rsidRPr="000504BA" w:rsidRDefault="000504BA" w:rsidP="000504BA">
      <w:r w:rsidRPr="000504BA">
        <w:t xml:space="preserve">Vlada Republike Slovenije je že konec januarja letos dala soglasje k številu razpisanih vpisnih mest na javnih visokošolskih zavodih in zasebnih visokošolskih zavodih za študijske programe s koncesijo v študijskem letu 2025/2026. Po izteku prvega prijavnega roka sta Univerza v Ljubljani in Univerza v Mariboru za tujce, državljane držav, ki niso članice Evropske unije, na določenih študijskih programih zabeležili bistveno večji interes od razpoložljivih mest. Zato sta senata obeh univerz sprejela sklepe o povečanju vpisnih mest zanje, za kar pa je potrebno soglasje Vlade RS. </w:t>
      </w:r>
    </w:p>
    <w:p w14:paraId="25744E07" w14:textId="77777777" w:rsidR="000504BA" w:rsidRPr="000504BA" w:rsidRDefault="000504BA" w:rsidP="000504BA">
      <w:r w:rsidRPr="000504BA">
        <w:t>Vlada je na današnji seji sprejela Sklep o soglasju k omejitvam vpisa in povečanju števila razpisanih mest za tujce, državljane držav, ki niso države članice Evropske unije, v dodiplomske in enovite magistrske študijske programe na javnih in koncesioniranih visokošolskih zavodih v študijskem letu 2025/2026.</w:t>
      </w:r>
    </w:p>
    <w:p w14:paraId="7655F73A" w14:textId="417263C3" w:rsidR="000504BA" w:rsidRPr="000504BA" w:rsidRDefault="000504BA" w:rsidP="000504BA">
      <w:r w:rsidRPr="000504BA">
        <w:t>Skupno gre za povečanje za 192 vpisnih mest, od tega 117 mest za redni študij in 75 mest za izredni študij. Univerza v Ljubljani je predlagala povečanje za 15 rednih mest na šestih študijskih programih, Univerza v Mariboru pa povečanje za 177 mest (102 rednih in 75 izrednih) na devetih študijskih programih.</w:t>
      </w:r>
    </w:p>
    <w:p w14:paraId="33EF9237" w14:textId="296FEBC9" w:rsidR="000E08CA" w:rsidRPr="00F87276" w:rsidRDefault="000504BA" w:rsidP="00F87276">
      <w:pPr>
        <w:pStyle w:val="Vir"/>
      </w:pPr>
      <w:r w:rsidRPr="000504BA">
        <w:t>Vir: Ministrstvo za visoko šolstvo, znanost in inovacije</w:t>
      </w:r>
    </w:p>
    <w:p w14:paraId="2BF3D17E" w14:textId="370309BD" w:rsidR="00F87276" w:rsidRDefault="00F87276" w:rsidP="00F87276">
      <w:pPr>
        <w:pStyle w:val="Naslov2"/>
      </w:pPr>
      <w:r w:rsidRPr="00F87276">
        <w:t>Vlada je leto 2028 razglasila za leto Otona Župančiča</w:t>
      </w:r>
    </w:p>
    <w:p w14:paraId="36B54D3C" w14:textId="298D2C01" w:rsidR="00F87276" w:rsidRPr="00F87276" w:rsidRDefault="00F87276" w:rsidP="00F87276">
      <w:r w:rsidRPr="00F87276">
        <w:t xml:space="preserve">Vlada </w:t>
      </w:r>
      <w:r>
        <w:t>je</w:t>
      </w:r>
      <w:r w:rsidRPr="00F87276">
        <w:t xml:space="preserve"> leto 2028 razglasila za leto Otona Župančiča, ob 150. obletnici rojstva enega najvidnejših pesnikov slovenske moderne. Pobudo za razglasitev je podala Občina Črnomelj, kjer se je pesnik rodil – v vasi Vinica – in preživel otroštvo.</w:t>
      </w:r>
    </w:p>
    <w:p w14:paraId="6460B7C2" w14:textId="77777777" w:rsidR="00F87276" w:rsidRPr="00F87276" w:rsidRDefault="00F87276" w:rsidP="00F87276">
      <w:r w:rsidRPr="00F87276">
        <w:t>Ministrstvo za kulturo je pobudo podprlo, saj Oton Župančič s svojo literarno, gledališko in kulturno zapuščino predstavlja enega najpomembnejših umetniških ustvarjalcev slovenskega prostora. Njegova poezija – tako za odrasle kot otroke – ostaja aktualna, zvočna, vsebinsko močna in izrazno dovršena. S svojim delom je vplival na razvoj slovenske književnosti in gledališča ter pomembno prispeval k modernizaciji slovenskega umetniškega jezika.</w:t>
      </w:r>
    </w:p>
    <w:p w14:paraId="6D7679D2" w14:textId="77777777" w:rsidR="00F87276" w:rsidRPr="00F87276" w:rsidRDefault="00F87276" w:rsidP="00F87276">
      <w:r w:rsidRPr="00F87276">
        <w:t>Občina Črnomelj in številni državni ter lokalni partnerji že načrtujejo bogat program obeleževanja. Med osrednjimi projekti bo odprtje prenovljene Spominske hiše Otona Župančiča v Vinici, ki je že v procesu celostne obnove. Predvidene so tudi potujoče razstave, uprizoritve Župančičevih dramskih del, literarni natečaji, ponatisi del ter številni izobraževalni, znanstveni in umetniški dogodki po vsej državi.</w:t>
      </w:r>
    </w:p>
    <w:p w14:paraId="752C6027" w14:textId="77777777" w:rsidR="00F87276" w:rsidRPr="00F87276" w:rsidRDefault="00F87276" w:rsidP="00F87276">
      <w:r w:rsidRPr="00F87276">
        <w:t>Pobudo je podprla široka mreža kulturnih, znanstvenih in izobraževalnih ustanov, med njimi Slovenska akademija znanosti in umetnosti, Slovenska matica, Filozofska fakulteta Univerze v Ljubljani, Društvo slovenskih pisateljev, Narodna in univerzitetna knjižnica, Slovensko narodno gledališče Drama Ljubljana, ZRC SAZU, Združenje kulturnih domov Slovenije in Slovenski center PEN.</w:t>
      </w:r>
    </w:p>
    <w:p w14:paraId="4271A38A" w14:textId="77777777" w:rsidR="00F87276" w:rsidRPr="00F87276" w:rsidRDefault="00F87276" w:rsidP="00F87276">
      <w:r w:rsidRPr="00F87276">
        <w:t>Leto Otona Župančiča bo poudarjalo pomen branja, književnosti in slovenskega jezika za sodobno družbo. Poseben poudarek bo namenjen mlajšim generacijam, bralni pismenosti in spodbujanju odnosa do slovenske literature. Projekt bo povezal kulturne, vzgojno-izobraževalne, znanstvene, knjižnične in druge ustanove, hkrati pa spodbudil sodelovanje različnih resorjev – od izobraževanja do turizma.</w:t>
      </w:r>
    </w:p>
    <w:p w14:paraId="145C7CE2" w14:textId="18759FE0" w:rsidR="00F87276" w:rsidRPr="00F87276" w:rsidRDefault="00F87276" w:rsidP="00F87276">
      <w:r w:rsidRPr="00F87276">
        <w:t xml:space="preserve">Ministrstvo za kulturo bo v prihodnjih mesecih pozvalo javne zavode, sklade in agencije na področju kulture, da v svoje letne programe za leto 2028 vključijo vsebine, povezane z Župančičevim letom. K </w:t>
      </w:r>
      <w:r w:rsidRPr="00F87276">
        <w:lastRenderedPageBreak/>
        <w:t>sodelovanju bodo vabljena tudi druga ministrstva ter Slovenci po svetu, saj Oton Župančič presega meje kraja in časa – njegovo delo povezuje ves slovenski kulturni prostor.</w:t>
      </w:r>
    </w:p>
    <w:p w14:paraId="487FCC52" w14:textId="07354C53" w:rsidR="000E08CA" w:rsidRPr="00F87276" w:rsidRDefault="00F87276" w:rsidP="00F87276">
      <w:pPr>
        <w:pStyle w:val="Vir"/>
      </w:pPr>
      <w:r w:rsidRPr="00F87276">
        <w:t>Vir: Ministrstvo za kulturo</w:t>
      </w:r>
    </w:p>
    <w:p w14:paraId="42D1B748" w14:textId="2E85F28F" w:rsidR="00EC7707" w:rsidRPr="00EC7707" w:rsidRDefault="00EC7707" w:rsidP="00EC7707">
      <w:pPr>
        <w:pStyle w:val="Naslov2"/>
      </w:pPr>
      <w:r w:rsidRPr="00EC7707">
        <w:t xml:space="preserve">Vlada potrdila interes za podaljšanje začasnega prebivanja iranskega novinarja in pisatelja </w:t>
      </w:r>
      <w:proofErr w:type="spellStart"/>
      <w:r w:rsidRPr="00EC7707">
        <w:t>Hameda</w:t>
      </w:r>
      <w:proofErr w:type="spellEnd"/>
      <w:r w:rsidRPr="00EC7707">
        <w:t xml:space="preserve"> </w:t>
      </w:r>
      <w:proofErr w:type="spellStart"/>
      <w:r w:rsidRPr="00EC7707">
        <w:t>Aynehvanda</w:t>
      </w:r>
      <w:proofErr w:type="spellEnd"/>
    </w:p>
    <w:p w14:paraId="48B64EB2" w14:textId="4B68161D" w:rsidR="00EC7707" w:rsidRPr="00EC7707" w:rsidRDefault="00EC7707" w:rsidP="00EC7707">
      <w:r w:rsidRPr="00EC7707">
        <w:t xml:space="preserve">Vlada </w:t>
      </w:r>
      <w:r>
        <w:t xml:space="preserve">je </w:t>
      </w:r>
      <w:r w:rsidRPr="00EC7707">
        <w:t xml:space="preserve">ugotovila, da obstaja interes Republike Slovenije za izdajo dovoljenja za začasno prebivanje </w:t>
      </w:r>
      <w:proofErr w:type="spellStart"/>
      <w:r w:rsidRPr="00EC7707">
        <w:t>Hamedu</w:t>
      </w:r>
      <w:proofErr w:type="spellEnd"/>
      <w:r w:rsidRPr="00EC7707">
        <w:t xml:space="preserve"> </w:t>
      </w:r>
      <w:proofErr w:type="spellStart"/>
      <w:r w:rsidRPr="00EC7707">
        <w:t>Aynehvandu</w:t>
      </w:r>
      <w:proofErr w:type="spellEnd"/>
      <w:r w:rsidRPr="00EC7707">
        <w:t>, iranskemu pisatelju, novinarju in borcu za človekove pravice. Dovoljenje se izdaja za obdobje enega leta.</w:t>
      </w:r>
    </w:p>
    <w:p w14:paraId="14F5E86C" w14:textId="77777777" w:rsidR="00EC7707" w:rsidRPr="00EC7707" w:rsidRDefault="00EC7707" w:rsidP="00EC7707">
      <w:proofErr w:type="spellStart"/>
      <w:r w:rsidRPr="00EC7707">
        <w:t>Hamed</w:t>
      </w:r>
      <w:proofErr w:type="spellEnd"/>
      <w:r w:rsidRPr="00EC7707">
        <w:t xml:space="preserve"> </w:t>
      </w:r>
      <w:proofErr w:type="spellStart"/>
      <w:r w:rsidRPr="00EC7707">
        <w:t>Aynehvand</w:t>
      </w:r>
      <w:proofErr w:type="spellEnd"/>
      <w:r w:rsidRPr="00EC7707">
        <w:t xml:space="preserve">, ki trenutno biva v Ljubljani v okviru programa ICORN (Mesta zatočišča za preganjane pisatelje), je dejaven član Slovenskega centra PEN, kjer se udejstvuje na področju svobode govora, človekovih pravic in sodeluje z mednarodno skupnostjo pisateljev, zlasti v povezavi z dogajanjem v Iranu. Redno sodeluje na dogodkih, svoje izkušnje pa deli tudi z domačo in tujo javnostjo. Njegovi prispevki so med drugim objavljeni v spletni reviji Tednik PEN, sodeluje pa tudi z BBC </w:t>
      </w:r>
      <w:proofErr w:type="spellStart"/>
      <w:r w:rsidRPr="00EC7707">
        <w:t>Persian</w:t>
      </w:r>
      <w:proofErr w:type="spellEnd"/>
      <w:r w:rsidRPr="00EC7707">
        <w:t>.</w:t>
      </w:r>
    </w:p>
    <w:p w14:paraId="38E234FA" w14:textId="77777777" w:rsidR="00EC7707" w:rsidRPr="00EC7707" w:rsidRDefault="00EC7707" w:rsidP="00EC7707">
      <w:r w:rsidRPr="00EC7707">
        <w:t xml:space="preserve">Svojo publicistično in aktivistično pot je začel kot svobodni novinar v Iranu, kjer je med drugim sodeloval z vplivnim opozicijskim portalom </w:t>
      </w:r>
      <w:proofErr w:type="spellStart"/>
      <w:r w:rsidRPr="00EC7707">
        <w:t>Amad</w:t>
      </w:r>
      <w:proofErr w:type="spellEnd"/>
      <w:r w:rsidRPr="00EC7707">
        <w:t xml:space="preserve"> </w:t>
      </w:r>
      <w:proofErr w:type="spellStart"/>
      <w:r w:rsidRPr="00EC7707">
        <w:t>News</w:t>
      </w:r>
      <w:proofErr w:type="spellEnd"/>
      <w:r w:rsidRPr="00EC7707">
        <w:t>. Leta 2018 je bil zaradi svojega dela aretiran, pridržan v samici, fizično in psihično zlorabljen, nato pa v politično motiviranem sodnem postopku obsojen na šestletno zaporno kazen. Po več kot dveh letih prestajanja kazni je bil izpuščen zaradi mednarodnih pritiskov. Kljub temu je bil ob izpustitvi še naprej pod grožnjo represije, kar mu je onemogočilo nadaljevanje doktorskega študija na univerzi v Teheranu.</w:t>
      </w:r>
    </w:p>
    <w:p w14:paraId="59172812" w14:textId="77777777" w:rsidR="00EC7707" w:rsidRPr="00EC7707" w:rsidRDefault="00EC7707" w:rsidP="00EC7707">
      <w:r w:rsidRPr="00EC7707">
        <w:t>Njegova varnostna in eksistencialna ogroženost ob morebitni vrnitvi v Iran ostaja velika, zaradi česar se zavzema za podaljšanje svojega bivanja v Sloveniji. Njegovo trenutno dovoljenje za prebivanje se je izteklo 4. julija 2025, Mestna občina Ljubljana pa mu je zaradi zaostrenih razmer podaljšala pogodbo o rezidenci za pol leta, do 3. februarja 2026.</w:t>
      </w:r>
    </w:p>
    <w:p w14:paraId="68691ECA" w14:textId="77777777" w:rsidR="00EC7707" w:rsidRPr="00EC7707" w:rsidRDefault="00EC7707" w:rsidP="00EC7707">
      <w:proofErr w:type="spellStart"/>
      <w:r w:rsidRPr="00EC7707">
        <w:t>Hamed</w:t>
      </w:r>
      <w:proofErr w:type="spellEnd"/>
      <w:r w:rsidRPr="00EC7707">
        <w:t xml:space="preserve"> </w:t>
      </w:r>
      <w:proofErr w:type="spellStart"/>
      <w:r w:rsidRPr="00EC7707">
        <w:t>Aynehvand</w:t>
      </w:r>
      <w:proofErr w:type="spellEnd"/>
      <w:r w:rsidRPr="00EC7707">
        <w:t xml:space="preserve"> se želi še naprej umetniško in akademsko razvijati – med drugim načrtuje dokončanje študija mednarodnih odnosov, iz katerih je v Iranu že opravil vse obveznosti za doktorat. V Sloveniji pa se dejavno vključuje v kulturno življenje in prispeva k boljšemu razumevanju razmer na Bližnjem vzhodu, tudi s pomočjo organizacije okroglih miz in sodelovanja z mednarodnimi organizacijami.</w:t>
      </w:r>
    </w:p>
    <w:p w14:paraId="23CF2CF0" w14:textId="77777777" w:rsidR="00EC7707" w:rsidRPr="00EC7707" w:rsidRDefault="00EC7707" w:rsidP="00EC7707">
      <w:r w:rsidRPr="00EC7707">
        <w:t>Mestna občina Ljubljana se je ob tem zavezala, da bo v času njegovega bivanja zagotovila stanovanje, zdravstveno zavarovanje in mesečno štipendijo.</w:t>
      </w:r>
    </w:p>
    <w:p w14:paraId="1A88F5AF" w14:textId="5CAD0223" w:rsidR="00EC7707" w:rsidRPr="00EC7707" w:rsidRDefault="00EC7707" w:rsidP="00EC7707">
      <w:r w:rsidRPr="00EC7707">
        <w:t>Z odločitvijo o izdaji dovoljenja Republika Slovenija potrjuje, da ostaja prostor svobode izražanja in zatočišče za ustvarjalce, ki so zaradi svojega dela in prepričanj ogroženi. Ob tem vlada poudarja, da je tudi več kot tri desetletja po osamosvojitvi spodbujanje in zaščita človekovih pravic temelj vsake demokratične družbe, in da moramo kot odgovorna država podpirati tiste, ki se zoperstavljajo nasilju in represiji – tudi, ko se to dogaja izven naših meja.</w:t>
      </w:r>
    </w:p>
    <w:p w14:paraId="24BB880C" w14:textId="7D31F504" w:rsidR="000E08CA" w:rsidRPr="00971F78" w:rsidRDefault="00EC7707" w:rsidP="00971F78">
      <w:pPr>
        <w:pStyle w:val="Vir"/>
      </w:pPr>
      <w:r w:rsidRPr="00EC7707">
        <w:t>Vir: Ministrstvo za kulturo</w:t>
      </w:r>
    </w:p>
    <w:p w14:paraId="42F41C2F" w14:textId="7EEBBE4A" w:rsidR="00BF391A" w:rsidRPr="00BF391A" w:rsidRDefault="00BF391A" w:rsidP="00BF391A">
      <w:pPr>
        <w:pStyle w:val="Naslov2"/>
      </w:pPr>
      <w:r w:rsidRPr="00BF391A">
        <w:t xml:space="preserve">Vlada potrdila interes za podaljšanje začasnega prebivanja iranske pisateljice </w:t>
      </w:r>
      <w:proofErr w:type="spellStart"/>
      <w:r w:rsidRPr="00BF391A">
        <w:t>Somayeh</w:t>
      </w:r>
      <w:proofErr w:type="spellEnd"/>
      <w:r w:rsidRPr="00BF391A">
        <w:t xml:space="preserve"> </w:t>
      </w:r>
      <w:proofErr w:type="spellStart"/>
      <w:r w:rsidRPr="00BF391A">
        <w:t>Cheraghi</w:t>
      </w:r>
      <w:proofErr w:type="spellEnd"/>
    </w:p>
    <w:p w14:paraId="13CE503A" w14:textId="77777777" w:rsidR="00BF391A" w:rsidRPr="00BF391A" w:rsidRDefault="00BF391A" w:rsidP="00BF391A">
      <w:r w:rsidRPr="00BF391A">
        <w:t xml:space="preserve">Vlada je ugotovila obstoj interesa Republike Slovenije za izdajo dovoljenja za začasno prebivanje </w:t>
      </w:r>
      <w:proofErr w:type="spellStart"/>
      <w:r w:rsidRPr="00BF391A">
        <w:t>Somayeh</w:t>
      </w:r>
      <w:proofErr w:type="spellEnd"/>
      <w:r w:rsidRPr="00BF391A">
        <w:t xml:space="preserve"> </w:t>
      </w:r>
      <w:proofErr w:type="spellStart"/>
      <w:r w:rsidRPr="00BF391A">
        <w:t>Cheraghi</w:t>
      </w:r>
      <w:proofErr w:type="spellEnd"/>
      <w:r w:rsidRPr="00BF391A">
        <w:t>, iranski pisateljici kratkih zgodb in radijski napovedovalki. Dovoljenje se izdaja za obdobje enega leta.</w:t>
      </w:r>
    </w:p>
    <w:p w14:paraId="6CE87285" w14:textId="77777777" w:rsidR="00BF391A" w:rsidRPr="00BF391A" w:rsidRDefault="00BF391A" w:rsidP="00BF391A">
      <w:proofErr w:type="spellStart"/>
      <w:r w:rsidRPr="00BF391A">
        <w:t>Somayeh</w:t>
      </w:r>
      <w:proofErr w:type="spellEnd"/>
      <w:r w:rsidRPr="00BF391A">
        <w:t xml:space="preserve"> </w:t>
      </w:r>
      <w:proofErr w:type="spellStart"/>
      <w:r w:rsidRPr="00BF391A">
        <w:t>Cheraghi</w:t>
      </w:r>
      <w:proofErr w:type="spellEnd"/>
      <w:r w:rsidRPr="00BF391A">
        <w:t xml:space="preserve"> se že dve leti skupaj z možem, iranskim novinarjem in zagovornikom človekovih pravic </w:t>
      </w:r>
      <w:proofErr w:type="spellStart"/>
      <w:r w:rsidRPr="00BF391A">
        <w:t>Hamedom</w:t>
      </w:r>
      <w:proofErr w:type="spellEnd"/>
      <w:r w:rsidRPr="00BF391A">
        <w:t xml:space="preserve"> </w:t>
      </w:r>
      <w:proofErr w:type="spellStart"/>
      <w:r w:rsidRPr="00BF391A">
        <w:t>Aynehvandom</w:t>
      </w:r>
      <w:proofErr w:type="spellEnd"/>
      <w:r w:rsidRPr="00BF391A">
        <w:t>, vključuje v slovenski literarni prostor, kjer aktivno sodeluje s Slovenskim PEN-om in obiskuje mednarodne dogodke, zlasti Blejska srečanja. V svojih kratkih zgodbah z literarno močjo izpostavlja položaj žensk v Iranu, njeni prispevki pa so bili večkrat prevedeni in objavljeni v spletni reviji Tednik PEN.</w:t>
      </w:r>
    </w:p>
    <w:p w14:paraId="2C7E5406" w14:textId="77777777" w:rsidR="00BF391A" w:rsidRPr="00BF391A" w:rsidRDefault="00BF391A" w:rsidP="00BF391A">
      <w:proofErr w:type="spellStart"/>
      <w:r w:rsidRPr="00BF391A">
        <w:lastRenderedPageBreak/>
        <w:t>Somayeh</w:t>
      </w:r>
      <w:proofErr w:type="spellEnd"/>
      <w:r w:rsidRPr="00BF391A">
        <w:t xml:space="preserve"> </w:t>
      </w:r>
      <w:proofErr w:type="spellStart"/>
      <w:r w:rsidRPr="00BF391A">
        <w:t>Cheraghi</w:t>
      </w:r>
      <w:proofErr w:type="spellEnd"/>
      <w:r w:rsidRPr="00BF391A">
        <w:t xml:space="preserve"> je bila leta 2023 sprejeta v Slovenijo zaradi združitve z možem, ki mu je bilo omogočeno začasno prebivanje kot članu mednarodne mreže mest zatočišč ICORN, v katero je vključena tudi Ljubljana. V tem času je Mestna občina Ljubljana zanjo in njenega moža zagotovila stanovanje, štipendijo in zdravstveno zavarovanje. Obema se je dovoljenje izteklo 4. julija 2025, a je občina zaradi zaostrenih razmer za iranske kulturnike že podaljšala rezidenco do februarja 2026.</w:t>
      </w:r>
    </w:p>
    <w:p w14:paraId="056A3FD4" w14:textId="77777777" w:rsidR="00BF391A" w:rsidRPr="00BF391A" w:rsidRDefault="00BF391A" w:rsidP="00BF391A">
      <w:r w:rsidRPr="00BF391A">
        <w:t xml:space="preserve">Razlogi za prvotno odločitev vlade o obstoju interesa ostajajo nespremenjeni. Če bi bila </w:t>
      </w:r>
      <w:proofErr w:type="spellStart"/>
      <w:r w:rsidRPr="00BF391A">
        <w:t>Somayeh</w:t>
      </w:r>
      <w:proofErr w:type="spellEnd"/>
      <w:r w:rsidRPr="00BF391A">
        <w:t xml:space="preserve"> </w:t>
      </w:r>
      <w:proofErr w:type="spellStart"/>
      <w:r w:rsidRPr="00BF391A">
        <w:t>Cheraghi</w:t>
      </w:r>
      <w:proofErr w:type="spellEnd"/>
      <w:r w:rsidRPr="00BF391A">
        <w:t xml:space="preserve"> prisiljena v vrnitev v Iran, bi bila zaradi povezave z možem, ki je v domovini politično preganjan, izpostavljena grožnjam, ustrahovanju ali celo zaporu. Tovrstne prakse so v represivnih režimih, kot je iranski, žal pogosto uporabljane proti bližnjim preganjanih aktivistov.</w:t>
      </w:r>
    </w:p>
    <w:p w14:paraId="581F4CBB" w14:textId="77777777" w:rsidR="00BF391A" w:rsidRPr="00BF391A" w:rsidRDefault="00BF391A" w:rsidP="00BF391A">
      <w:r w:rsidRPr="00BF391A">
        <w:t>Vlada se zaveda, da so osebne vezi in psihosocialna opora ključne za uspešno vključevanje ogroženih posameznikov v novo okolje. Mednarodne študije, med drugim tudi poročilo Katedre za človekove pravice Univerze v Yorku, poudarjajo pomen družine za varnost in duševno zdravje zagovornikov človekovih pravic. Zato je ohranitev družinske skupnosti v Sloveniji tako humanitarna kot strateška odločitev.</w:t>
      </w:r>
    </w:p>
    <w:p w14:paraId="43CF7BEC" w14:textId="77777777" w:rsidR="00BF391A" w:rsidRPr="00BF391A" w:rsidRDefault="00BF391A" w:rsidP="00BF391A">
      <w:r w:rsidRPr="00BF391A">
        <w:t xml:space="preserve">Z odločitvijo o izdaji dovoljenja vlada potrjuje, da Slovenija ostaja predana boju za človekove pravice in svobodo izražanja, tudi v primeru, ko se krivice dogajajo izven njenih meja. Z omogočanjem začasnega bivanja </w:t>
      </w:r>
      <w:proofErr w:type="spellStart"/>
      <w:r w:rsidRPr="00BF391A">
        <w:t>Somayeh</w:t>
      </w:r>
      <w:proofErr w:type="spellEnd"/>
      <w:r w:rsidRPr="00BF391A">
        <w:t xml:space="preserve"> </w:t>
      </w:r>
      <w:proofErr w:type="spellStart"/>
      <w:r w:rsidRPr="00BF391A">
        <w:t>Cheraghi</w:t>
      </w:r>
      <w:proofErr w:type="spellEnd"/>
      <w:r w:rsidRPr="00BF391A">
        <w:t xml:space="preserve"> Slovenija ne ščiti le posameznice, temveč aktivno prispeva k ohranjanju svobodne misli, umetniškega izraza in demokratičnih vrednot.</w:t>
      </w:r>
    </w:p>
    <w:p w14:paraId="5564BD1D" w14:textId="05CCE6F8" w:rsidR="00BF391A" w:rsidRPr="00BF391A" w:rsidRDefault="00BF391A" w:rsidP="00BF391A">
      <w:r w:rsidRPr="00BF391A">
        <w:t>Mestna občina Ljubljana se je, v skladu z dogovorom z mednarodno mrežo ICORN, tudi v tem primeru zavezala, da bo zagotovila osnovno bivanjsko, zdravstveno in socialno varnost za gostujočo umetnico. Ljubljana je s tem še enkrat potrdila svojo vlogo varnega zatočišča za ogrožene ustvarjalce iz vsega sveta.</w:t>
      </w:r>
    </w:p>
    <w:p w14:paraId="3A87D0B0" w14:textId="4E77EBD6" w:rsidR="000E08CA" w:rsidRPr="00BF391A" w:rsidRDefault="00BF391A" w:rsidP="00BF391A">
      <w:pPr>
        <w:pStyle w:val="Vir"/>
      </w:pPr>
      <w:r w:rsidRPr="00BF391A">
        <w:t>Vir: Ministrstvo za kulturo</w:t>
      </w:r>
    </w:p>
    <w:p w14:paraId="55004323" w14:textId="21C2145F" w:rsidR="00F96044" w:rsidRPr="00F96044" w:rsidRDefault="00F96044" w:rsidP="00F96044">
      <w:pPr>
        <w:pStyle w:val="Naslov2"/>
      </w:pPr>
      <w:r w:rsidRPr="00F96044">
        <w:t>Vlada sprejela letno poročilo Slovenskega podjetniškega sklada za leto 2024</w:t>
      </w:r>
    </w:p>
    <w:p w14:paraId="0D68FB52" w14:textId="6A3D4ED3" w:rsidR="00F96044" w:rsidRPr="00F96044" w:rsidRDefault="00F96044" w:rsidP="00F96044">
      <w:r w:rsidRPr="00F96044">
        <w:t xml:space="preserve">Vlada je sprejela letno poročilo Slovenskega podjetniškega sklada (SPS) za leto 2024. Preko javnih razpisov ter pozivov z ugodnimi finančnimi spodbudami in spodbudami za dvig poslovnih in razvojnih kompetenc je SPS podprl več kot 3.300 projektov </w:t>
      </w:r>
      <w:proofErr w:type="spellStart"/>
      <w:r w:rsidRPr="00F96044">
        <w:t>mikro</w:t>
      </w:r>
      <w:proofErr w:type="spellEnd"/>
      <w:r w:rsidRPr="00F96044">
        <w:t xml:space="preserve">, malih in srednje velikih podjetij v skupni vrednosti skoraj 136 milijonov evrov. Z omenjenimi spodbudami je spodbudil za približno 183 milijonov evrov investicij v gospodarstvu. </w:t>
      </w:r>
    </w:p>
    <w:p w14:paraId="0F7E290C" w14:textId="77777777" w:rsidR="00F96044" w:rsidRPr="00F96044" w:rsidRDefault="00F96044" w:rsidP="00F96044"/>
    <w:p w14:paraId="75F963EF" w14:textId="77777777" w:rsidR="00F96044" w:rsidRPr="00F96044" w:rsidRDefault="00F96044" w:rsidP="00F96044">
      <w:r w:rsidRPr="00F96044">
        <w:t xml:space="preserve">Poleg odobravanja finančnih in vsebinskih spodbud je SPS v letu 2024 uspešno upravljal svoj portfelj, ki je na dan 31. decembra 2024 znaša 886 milijonov evrov oziroma približno 17.100 aktivnih pogodb. </w:t>
      </w:r>
    </w:p>
    <w:p w14:paraId="7B7BB8F6" w14:textId="77777777" w:rsidR="00F96044" w:rsidRPr="00F96044" w:rsidRDefault="00F96044" w:rsidP="00F96044"/>
    <w:p w14:paraId="5473C05C" w14:textId="77777777" w:rsidR="00F96044" w:rsidRPr="00F96044" w:rsidRDefault="00F96044" w:rsidP="00F96044">
      <w:r w:rsidRPr="00F96044">
        <w:t xml:space="preserve">Vlada je sklenila, da se presežek prihodkov nad odhodki v višini 4.456.222,56 evra nameni za financiranje delovanja SPS, morebitni preostanek pa za oblikovanje in izvajanje programov za podporo podjetništvu glede na potrebe trga, usmeritve vlade, resornega ministrstva in nadzornega sveta SPS v letu 2025 oziroma tudi v naslednjih letih. </w:t>
      </w:r>
    </w:p>
    <w:p w14:paraId="77A76129" w14:textId="77777777" w:rsidR="00F96044" w:rsidRPr="00F96044" w:rsidRDefault="00F96044" w:rsidP="00F96044"/>
    <w:p w14:paraId="2AD35EB1" w14:textId="0E5C5CFF" w:rsidR="00F96044" w:rsidRPr="00F96044" w:rsidRDefault="00F96044" w:rsidP="00F96044">
      <w:r w:rsidRPr="00F96044">
        <w:t>Poleg tega se namensko premoženje in kapital SPS zmanjša za 201.636,54 evra zaradi pokritja presežka odhodkov nad prihodki, ugotovljenega v računovodskih izkazih SPS za leto 2024. To se nanaša na pokritje izgub zaradi povečanja namenskega premoženja za izvajanje finančnih produktov, skladno z Zakonom o interventnih ukrepih za omilitev in odpravo posledic epidemije COVID-19, po pogodbi, sklenjeni julija 2020 med vlado in SPS. Prav tako je sklenila, da se namensko premoženje in kapital SPS zmanjša za 111.847,80 evra zaradi pokritja presežka odhodkov nad prihodki, ki se nanaša na povečanje namenskega premoženja za izvajanje finančnih produktov skladno z Zakonom o interventnih ukrepih za pomoč pri omilitvi posledic drugega vala epidemije COVID-19, po pogodbi, sklenjeni aprila 2021 med vlado in SPS.</w:t>
      </w:r>
    </w:p>
    <w:p w14:paraId="202346CB" w14:textId="5527A8DF" w:rsidR="000E08CA" w:rsidRPr="003B46FC" w:rsidRDefault="00F96044" w:rsidP="003B46FC">
      <w:pPr>
        <w:pStyle w:val="Vir"/>
      </w:pPr>
      <w:r w:rsidRPr="00F96044">
        <w:t>Vir: Ministrstvo za gospodarstvo, turizem in šport</w:t>
      </w:r>
    </w:p>
    <w:p w14:paraId="0C09BA5A" w14:textId="017FA891" w:rsidR="003B46FC" w:rsidRPr="003B46FC" w:rsidRDefault="003B46FC" w:rsidP="003B46FC">
      <w:pPr>
        <w:pStyle w:val="Naslov2"/>
      </w:pPr>
      <w:r w:rsidRPr="003B46FC">
        <w:lastRenderedPageBreak/>
        <w:t>Končno poročilo o izvajanju Programa Vlade Republike Slovenije za krepitev integritete in transparentnosti v javnem sektorju 2023–2026</w:t>
      </w:r>
    </w:p>
    <w:p w14:paraId="3DA08FAF" w14:textId="77777777" w:rsidR="003B46FC" w:rsidRPr="003B46FC" w:rsidRDefault="003B46FC" w:rsidP="003B46FC">
      <w:r w:rsidRPr="003B46FC">
        <w:t>Vlada Republike Slovenije je sprejela Končno poročilo o izvajanju Programa Vlade Republike Slovenije za krepitev integritete in transparentnosti v javnem sektorju 2023–2026. Vlada ugotavlja, da so trajni ter neizvedeni ukrepi in priporočila za občine iz programa preneseni v Akcijski načrt za uresničevanje Resolucije o preprečevanju korupcije Republike Slovenije in se bodo nadalje izvajali v okviru rokov, določenih z akcijskim načrtom, zato je danes obravnavano poročilo o izvajanju programa vlade končno.</w:t>
      </w:r>
    </w:p>
    <w:p w14:paraId="53B505AA" w14:textId="77777777" w:rsidR="003B46FC" w:rsidRPr="003B46FC" w:rsidRDefault="003B46FC" w:rsidP="003B46FC"/>
    <w:p w14:paraId="62A72379" w14:textId="77777777" w:rsidR="003B46FC" w:rsidRPr="003B46FC" w:rsidRDefault="003B46FC" w:rsidP="003B46FC">
      <w:r w:rsidRPr="003B46FC">
        <w:t xml:space="preserve">Že ob sprejemu programa, 9. februarja 2023, je bilo predvideno, da se ukrepi iz programa izvajajo do sprejema Resolucije o preprečevanju korupcije in Akcijskega načrta za njeno izvajanje. Državni zbor je novo resolucijo sprejel 28. marca 2025, Akcijski načrt pa je Komisija za preprečevanje korupcije sprejela na seji senata 24. 6. 2025. </w:t>
      </w:r>
    </w:p>
    <w:p w14:paraId="4108B532" w14:textId="77777777" w:rsidR="003B46FC" w:rsidRPr="003B46FC" w:rsidRDefault="003B46FC" w:rsidP="003B46FC"/>
    <w:p w14:paraId="061C09A6" w14:textId="77777777" w:rsidR="003B46FC" w:rsidRPr="003B46FC" w:rsidRDefault="003B46FC" w:rsidP="003B46FC">
      <w:r w:rsidRPr="003B46FC">
        <w:t>Od sprejetja programa februarja 2023 je Vlada obravnavala in sprejela tri vmesna polletna poročila. Na današnji seji je sprejela končno poročilo, za katerega so ministrstva, ki so v programu določena kot nosilci ukrepov, poročala o izvedenih aktivnostih za njihovo izvedbo v obdobju od 1. 9. 2024 do 28. 2. 2025. Iz poročil izhaja, da se aktivnosti v okviru trajnih ukrepov izvajajo redno. Sem spadajo ukrepi, namenjeni ozaveščanju javnih uslužbencev, zaposlenih v pravosodju, in tistih, ki so zaposleni v drugih subjektih javnega sektorja, o zagotavljanju etike in integritete. Od začetnih petnajstih novih ukrepov in enega nezaključenega iz prejšnjega programa vlade ter štirih trajnih ukrepov in dveh priporočil za občine, je zaključenih sedem ukrepov, v izvajanju pa je bilo še devet ukrepov, katerih aktivnosti se nadaljujejo v skladu s predvidenim načinom za dosego začrtanega cilja.</w:t>
      </w:r>
    </w:p>
    <w:p w14:paraId="7CAAC78B" w14:textId="77777777" w:rsidR="003B46FC" w:rsidRPr="003B46FC" w:rsidRDefault="003B46FC" w:rsidP="003B46FC"/>
    <w:p w14:paraId="6099F6CD" w14:textId="3EB62013" w:rsidR="000E08CA" w:rsidRPr="003B46FC" w:rsidRDefault="003B46FC" w:rsidP="003B46FC">
      <w:r w:rsidRPr="003B46FC">
        <w:t>Vir: Ministrstvo za javno upravo</w:t>
      </w:r>
    </w:p>
    <w:p w14:paraId="0D9DF6D5" w14:textId="77777777" w:rsidR="000E08CA" w:rsidRPr="000E08CA" w:rsidRDefault="000E08CA" w:rsidP="000E08CA">
      <w:pPr>
        <w:rPr>
          <w:color w:val="FF0000"/>
        </w:rPr>
      </w:pPr>
      <w:r w:rsidRPr="000E08CA">
        <w:rPr>
          <w:color w:val="FF0000"/>
        </w:rPr>
        <w:t xml:space="preserve"> </w:t>
      </w:r>
    </w:p>
    <w:p w14:paraId="2E70281A" w14:textId="08080191" w:rsidR="00097A54" w:rsidRPr="00097A54" w:rsidRDefault="00097A54" w:rsidP="00097A54">
      <w:pPr>
        <w:pStyle w:val="Naslov2"/>
      </w:pPr>
      <w:r w:rsidRPr="00097A54">
        <w:t>Vlada se je seznanila z uresničevanjem načela enakosti volilne pravice v občinah</w:t>
      </w:r>
    </w:p>
    <w:p w14:paraId="08358C29" w14:textId="77777777" w:rsidR="00097A54" w:rsidRPr="00097A54" w:rsidRDefault="00097A54" w:rsidP="00097A54">
      <w:r w:rsidRPr="00097A54">
        <w:t>Vlada Republike Slovenije se je seznanila z uresničevanjem načela enakosti volilne pravice v občinah. Pri tem ugotavlja, da 20 občin še ni odpravilo neskladnosti občinskega odloka, ki določa volilne enote za volitve v občinski svet, z ustavo in zakonom. Zato je Vlada naložila Ministrstvu za javno upravo, naj te občine ponovno pozove k odpravi neskladnosti. Vlada je sprejela tudi sklep, da bo za občine, ki do 5. septembra 2025 neskladja ne bodo odpravile, na Ustavno sodišče vložila zahtevo za začetek postopka za oceno ustavnosti in zakonitosti občinskih odlokov, ki niso skladni z ustavo in zakonom.</w:t>
      </w:r>
    </w:p>
    <w:p w14:paraId="094EB952" w14:textId="77777777" w:rsidR="00097A54" w:rsidRPr="00097A54" w:rsidRDefault="00097A54" w:rsidP="00097A54"/>
    <w:p w14:paraId="2C2829A6" w14:textId="77777777" w:rsidR="00097A54" w:rsidRPr="00097A54" w:rsidRDefault="00097A54" w:rsidP="00097A54">
      <w:r w:rsidRPr="00097A54">
        <w:t>Oktobra 2023 je Ministrstvo za javno upravo izvedlo analizo spoštovanja načela splošne in enake volilne pravice pri določitvi volilnih enot za volitve članov občinskih svetov. Ugotovilo je, da v nekaterih občinah prihaja do bistvenih odstopanj od ustavnega načela enakosti volilne pravice. Ustava namreč določa, da mora biti volilna pravica splošna in enaka (da ima vsak volilni glas približno enako težo), enako načelo pa določa tudi Zakon o lokalnih volitvah, ki občinam nalaga oblikovanje volilnih enot tako, da se en član občinskega sveta voli na približno enako število prebivalcev. Ob tem Kodeks dobre prakse v volilnih zadevah Sveta Evrope določa, da odstopanje med volilnimi enotami praviloma ne sme presegati 10 odstotkov (v določenih izjemah 15 odstotkov).</w:t>
      </w:r>
    </w:p>
    <w:p w14:paraId="1BD29B40" w14:textId="77777777" w:rsidR="00097A54" w:rsidRPr="00097A54" w:rsidRDefault="00097A54" w:rsidP="00097A54"/>
    <w:p w14:paraId="299DF4DB" w14:textId="38BD3077" w:rsidR="00097A54" w:rsidRPr="00097A54" w:rsidRDefault="00097A54" w:rsidP="00097A54">
      <w:r w:rsidRPr="00097A54">
        <w:t xml:space="preserve">Ministrstvo za javno upravo je 65 občin, kjer so matematična odstopanja med volilnimi enotami presegala dopustno odstopanje, januarja 2024 obvestilo, naj ugotovljeno neskladje v roku šestih mesecev odpravijo. Ministrstvo je proces odprave neskladij v občinah periodično preverjalo, organiziralo strokovni posvet, predstavniki ministrstva so se s predstavniki občin srečevali tudi na ločenih sestankih ter aktivno pomagali pri odpravi zaznanih neskladij. Občinam, ki svojih predpisov tudi po tem še niso uskladile, je ministrstvo junija 2024 in aprila 2025 poslalo ponovne pozive za odpravo neskladij. Kljub vsem naporom ministrstva 20 občin do konca junija 2025 svojih splošnih aktov še ni uskladilo z ustavo in zakonom. </w:t>
      </w:r>
    </w:p>
    <w:p w14:paraId="6EE0AECD" w14:textId="0D1E1C39" w:rsidR="000E08CA" w:rsidRPr="00097A54" w:rsidRDefault="00097A54" w:rsidP="00097A54">
      <w:pPr>
        <w:pStyle w:val="Vir"/>
      </w:pPr>
      <w:r w:rsidRPr="00097A54">
        <w:lastRenderedPageBreak/>
        <w:t>Vir: Ministrstvo za javno upravo</w:t>
      </w:r>
    </w:p>
    <w:p w14:paraId="69C7AA85" w14:textId="6C934CAD" w:rsidR="001D0484" w:rsidRPr="001D0484" w:rsidRDefault="001D0484" w:rsidP="001D0484">
      <w:pPr>
        <w:pStyle w:val="Naslov2"/>
      </w:pPr>
      <w:r w:rsidRPr="001D0484">
        <w:t>Sklep o kritju presežka odhodkov nad prihodki javnega socialno varstvenega zavoda Dom za varstvo odraslih Velenje</w:t>
      </w:r>
    </w:p>
    <w:p w14:paraId="46AA0E33" w14:textId="5983507A" w:rsidR="001D0484" w:rsidRPr="001D0484" w:rsidRDefault="001D0484" w:rsidP="001D0484">
      <w:r w:rsidRPr="001D0484">
        <w:t>Vlada je potrdila sklep, s katerim se bo iz sredstev proračuna Republike Slovenije kril presežek odhodkov nad prihodki javnega socialno varstvenega zavoda Dom za varstvo odraslih Velenje v višini 4.767.269,02 evra. Sredstva bo iz svojega finančnega načrta zagotovilo Ministrstvo za solidarno prihodnost. Dom za varstvo odraslih Velenje je v letih 2022–2025 izvajal investicijo v rekonstrukcijo in prizidavo zavoda, ki se je sprva financirala iz Evropskih sredstev, zaradi dodatnih stroškov pa tudi z zadolževanjem pri enotnem zakladniškem računu in SID banki. Zaradi nepredvidenih okoliščin, med drugim selitve na nadomestno lokacijo, porasta cen gradbenih materialov in storitev ter posledičnega podaljšanja izvedbe, je zavod v letih 2022, 2023 in 2024 posloval negativno. Do 31. 12. 2024 je kumulativni presežek odhodkov nad prihodki znašal prej omenjenih 4.767.269,02 evra, zaradi česar je posledično ogroženo tudi izvajanje osnovne dejavnosti Doma za varstvo odraslih Velenje.</w:t>
      </w:r>
    </w:p>
    <w:p w14:paraId="15765F5C" w14:textId="0024CEB9" w:rsidR="000E08CA" w:rsidRPr="001D0484" w:rsidRDefault="001D0484" w:rsidP="001D0484">
      <w:pPr>
        <w:pStyle w:val="Vir"/>
      </w:pPr>
      <w:r w:rsidRPr="001D0484">
        <w:t>Vir: Ministrstvo za solidarno prihodnost</w:t>
      </w:r>
    </w:p>
    <w:p w14:paraId="3B775025" w14:textId="224F521F" w:rsidR="003F2163" w:rsidRPr="003F2163" w:rsidRDefault="003F2163" w:rsidP="003F2163">
      <w:pPr>
        <w:pStyle w:val="Naslov2"/>
      </w:pPr>
      <w:r w:rsidRPr="003F2163">
        <w:t>V Načrt razvojnih programov uvrščen projekt centralne pralnice Splošne bolnišnice Celje</w:t>
      </w:r>
    </w:p>
    <w:p w14:paraId="2190A7B2" w14:textId="77777777" w:rsidR="003F2163" w:rsidRPr="003F2163" w:rsidRDefault="003F2163" w:rsidP="003F2163">
      <w:r w:rsidRPr="003F2163">
        <w:t>Vlada je potrdila, da se v Načrt razvojnih programov za obdobje 2025-2028 uvrsti projekt celovite energetske prenove stavbe centralne pralnice Splošne bolnišnice Celje.</w:t>
      </w:r>
    </w:p>
    <w:p w14:paraId="457E0BBD" w14:textId="77777777" w:rsidR="003F2163" w:rsidRPr="003F2163" w:rsidRDefault="003F2163" w:rsidP="003F2163"/>
    <w:p w14:paraId="0F9534B8" w14:textId="77777777" w:rsidR="003F2163" w:rsidRPr="003F2163" w:rsidRDefault="003F2163" w:rsidP="003F2163">
      <w:r w:rsidRPr="003F2163">
        <w:t>Namen investicije je povečanje energetske učinkovitosti, zmanjšanje stroškov rabe energije, funkcionalno izboljšanje stavbe in zmanjševanje obremenjevanja okolja z emisijami toplogrednih plinov. Energetska sanacija bo zajemala izvedbo ukrepov za izboljšanje toplotne izolacije ovoja stavbe, prenovo ogrevalnih, prezračevalnih in sistemov razsvetljave ter uvedbo obnovljivih virov energije, kjer je to mogoče. S celovito izvedbo investicije bo stavba energetsko učinkovitejša, okolju prijaznejša in bolj trajnostna, kar bo dolgoročno prispevalo zmanjšanju negativnega vpliva na okolje ter izboljšalo delovne pogoje za zaposlene ter s tem tudi kakovost storitev.</w:t>
      </w:r>
    </w:p>
    <w:p w14:paraId="6A142F43" w14:textId="77777777" w:rsidR="003F2163" w:rsidRPr="003F2163" w:rsidRDefault="003F2163" w:rsidP="003F2163"/>
    <w:p w14:paraId="1E3D9E0B" w14:textId="3F3F3C31" w:rsidR="003F2163" w:rsidRPr="003F2163" w:rsidRDefault="003F2163" w:rsidP="003F2163">
      <w:r w:rsidRPr="003F2163">
        <w:t xml:space="preserve">Ocenjena vrednost investicije znaša 3.457.620,43 evra z DDV, od tega bo 3.380.000 evrov zagotovil Sklad za podnebne spremembe, 77.620,43 evra pa Splošna bolnišnica Celje. Zaključek investicije je predviden v letu 2026. </w:t>
      </w:r>
    </w:p>
    <w:p w14:paraId="71C9547E" w14:textId="6A9C8B29" w:rsidR="000E08CA" w:rsidRPr="00971F78" w:rsidRDefault="003F2163" w:rsidP="00971F78">
      <w:pPr>
        <w:pStyle w:val="Vir"/>
      </w:pPr>
      <w:r w:rsidRPr="003F2163">
        <w:t>Vir: Ministrstvo za zdravje</w:t>
      </w:r>
    </w:p>
    <w:p w14:paraId="645343D9" w14:textId="63B6CE09" w:rsidR="0055159E" w:rsidRDefault="0055159E" w:rsidP="0055159E">
      <w:pPr>
        <w:pStyle w:val="Naslov2"/>
      </w:pPr>
      <w:r w:rsidRPr="0055159E">
        <w:t>Predlog uvrstitve LIFE projektov v veljavni NRP 2025-2028</w:t>
      </w:r>
    </w:p>
    <w:p w14:paraId="5430DC0C" w14:textId="19C2E18B" w:rsidR="0055159E" w:rsidRPr="0055159E" w:rsidRDefault="0055159E" w:rsidP="0055159E">
      <w:r w:rsidRPr="0055159E">
        <w:t>Vlada je sprejela sklep, da se v veljavnem Načrtu razvojnih programov 2025-2028 uvrstijo naslednji projekti:</w:t>
      </w:r>
    </w:p>
    <w:p w14:paraId="7176981D" w14:textId="77777777" w:rsidR="0055159E" w:rsidRPr="0055159E" w:rsidRDefault="0055159E" w:rsidP="0055159E">
      <w:pPr>
        <w:numPr>
          <w:ilvl w:val="0"/>
          <w:numId w:val="32"/>
        </w:numPr>
      </w:pPr>
      <w:r w:rsidRPr="0055159E">
        <w:t>2570-25-5010 LIFE Novi modeli razogljičenja pri prenovi stavb,</w:t>
      </w:r>
    </w:p>
    <w:p w14:paraId="6DB695FB" w14:textId="77777777" w:rsidR="0055159E" w:rsidRPr="0055159E" w:rsidRDefault="0055159E" w:rsidP="0055159E">
      <w:pPr>
        <w:numPr>
          <w:ilvl w:val="0"/>
          <w:numId w:val="32"/>
        </w:numPr>
      </w:pPr>
      <w:r w:rsidRPr="0055159E">
        <w:t>2570-25-5011 LIFE Kontaktna točka za občine-obnova stanovanj,</w:t>
      </w:r>
    </w:p>
    <w:p w14:paraId="10A4AB5B" w14:textId="77777777" w:rsidR="0055159E" w:rsidRPr="0055159E" w:rsidRDefault="0055159E" w:rsidP="0055159E">
      <w:pPr>
        <w:numPr>
          <w:ilvl w:val="0"/>
          <w:numId w:val="32"/>
        </w:numPr>
      </w:pPr>
      <w:r w:rsidRPr="0055159E">
        <w:t>2570-25-5012 LIFE Model izobraževanja-ogrevanje/hlajenje stavb,</w:t>
      </w:r>
    </w:p>
    <w:p w14:paraId="184E8E90" w14:textId="77777777" w:rsidR="0055159E" w:rsidRPr="0055159E" w:rsidRDefault="0055159E" w:rsidP="0055159E">
      <w:pPr>
        <w:numPr>
          <w:ilvl w:val="0"/>
          <w:numId w:val="32"/>
        </w:numPr>
      </w:pPr>
      <w:r w:rsidRPr="0055159E">
        <w:t>2570-25-5013 LIFE Izboljšanje energetskega svetovanja in</w:t>
      </w:r>
    </w:p>
    <w:p w14:paraId="18BFEF40" w14:textId="77777777" w:rsidR="0055159E" w:rsidRPr="0055159E" w:rsidRDefault="0055159E" w:rsidP="0055159E">
      <w:pPr>
        <w:numPr>
          <w:ilvl w:val="0"/>
          <w:numId w:val="32"/>
        </w:numPr>
      </w:pPr>
      <w:r w:rsidRPr="0055159E">
        <w:t>2570-25-5014 LIFE Izobraževanje energetsko revnih prebivalcev.</w:t>
      </w:r>
    </w:p>
    <w:p w14:paraId="164A21ED" w14:textId="77777777" w:rsidR="0055159E" w:rsidRPr="0055159E" w:rsidRDefault="0055159E" w:rsidP="0055159E">
      <w:r w:rsidRPr="0055159E">
        <w:t xml:space="preserve">Ministrstvo za okolje, podnebje in energijo je v Uradnem listu RS št. 113/23 objavilo Javni poziv za Sofinanciranje projektov s programskega področja LIFE za leto 2023. Na Javni poziv so se prijavili in bili izbrani vlagatelji, ki so za izvajanje aktivnosti na področju energetske prenove stavb v okviru programa LIFE 23 - CET podpisali pogodbo z </w:t>
      </w:r>
      <w:proofErr w:type="spellStart"/>
      <w:r w:rsidRPr="0055159E">
        <w:t>European</w:t>
      </w:r>
      <w:proofErr w:type="spellEnd"/>
      <w:r w:rsidRPr="0055159E">
        <w:t xml:space="preserve"> </w:t>
      </w:r>
      <w:proofErr w:type="spellStart"/>
      <w:r w:rsidRPr="0055159E">
        <w:t>Climate</w:t>
      </w:r>
      <w:proofErr w:type="spellEnd"/>
      <w:r w:rsidRPr="0055159E">
        <w:t xml:space="preserve">, </w:t>
      </w:r>
      <w:proofErr w:type="spellStart"/>
      <w:r w:rsidRPr="0055159E">
        <w:t>Infrastructure</w:t>
      </w:r>
      <w:proofErr w:type="spellEnd"/>
      <w:r w:rsidRPr="0055159E">
        <w:t xml:space="preserve"> </w:t>
      </w:r>
      <w:proofErr w:type="spellStart"/>
      <w:r w:rsidRPr="0055159E">
        <w:t>and</w:t>
      </w:r>
      <w:proofErr w:type="spellEnd"/>
      <w:r w:rsidRPr="0055159E">
        <w:t xml:space="preserve"> </w:t>
      </w:r>
      <w:proofErr w:type="spellStart"/>
      <w:r w:rsidRPr="0055159E">
        <w:t>Environment</w:t>
      </w:r>
      <w:proofErr w:type="spellEnd"/>
      <w:r w:rsidRPr="0055159E">
        <w:t xml:space="preserve"> </w:t>
      </w:r>
      <w:proofErr w:type="spellStart"/>
      <w:r w:rsidRPr="0055159E">
        <w:t>Executive</w:t>
      </w:r>
      <w:proofErr w:type="spellEnd"/>
      <w:r w:rsidRPr="0055159E">
        <w:t xml:space="preserve"> </w:t>
      </w:r>
      <w:proofErr w:type="spellStart"/>
      <w:r w:rsidRPr="0055159E">
        <w:t>Agency</w:t>
      </w:r>
      <w:proofErr w:type="spellEnd"/>
      <w:r w:rsidRPr="0055159E">
        <w:t xml:space="preserve"> (CINEA). Cilj projektov je pridobiti znanje za izvajanje aktivnosti na področju energetske prenove stavb, ki izhajajo iz direktive o energetski učinkovitosti in razogljičenja stavb. </w:t>
      </w:r>
      <w:r w:rsidRPr="0055159E">
        <w:lastRenderedPageBreak/>
        <w:t xml:space="preserve">Vrednost vseh LIFE projektov skupaj je 8.471.781,71 EUR od tega je udeležba EU v višini 95 %, ostalih 5 % pa morajo zagotoviti partnerji sami. </w:t>
      </w:r>
    </w:p>
    <w:p w14:paraId="6DF954EC" w14:textId="4336E454" w:rsidR="0055159E" w:rsidRPr="0055159E" w:rsidRDefault="0055159E" w:rsidP="0055159E">
      <w:r w:rsidRPr="0055159E">
        <w:t>Ministrstvo za ta namen uvršča pet novih projektov, in sicer: 2570-25-5010 LIFE Novi modeli razogljičenja pri prenovi stavb, 2570-25-5011 LIFE Kontaktna točka za občine-obnova stanovanj, 2570-25-5012 LIFE Model izobraževanja-ogrevanje/hlajenje stavb, 2570-25-5013 LIFE - Izboljšanje energetskega svetovanja in 2570-25-5014 LIFE Izobraževanje energetsko revnih prebivalcev, za izplačilo 5 % slovenske udeležbe prejemnikov sredstev po posameznih pogodbah, ki so Inovacijsko-razvojni inštitut Univerze v Ljubljani, Energetsko podnebna Agencija za Podravje in Gradbeni inštitut ZRMK d. o. o. Skupna vrednost za slovenske partnerje za vseh pet projektov znaša 2.476.184,37 EUR, od tega slovenska udeležba, ki vključuje proračunska sredstva in lastna sredstva, v višini 123.809,20 EUR (5 %) in EU udeležba v višini 2.352.375,17 EUR (95 %). Sredstva posameznim vlagateljem se bodo izplačala iz Sklada za podnebne spremembe.</w:t>
      </w:r>
    </w:p>
    <w:p w14:paraId="16EDAFE5" w14:textId="24173534" w:rsidR="000E08CA" w:rsidRPr="0055159E" w:rsidRDefault="0055159E" w:rsidP="0055159E">
      <w:pPr>
        <w:pStyle w:val="Vir"/>
      </w:pPr>
      <w:r w:rsidRPr="0055159E">
        <w:t>Vir: Ministrstvo za okolje, podnebje in energijo</w:t>
      </w:r>
    </w:p>
    <w:p w14:paraId="70BBE854" w14:textId="157D2C5E" w:rsidR="00294D02" w:rsidRPr="00294D02" w:rsidRDefault="00294D02" w:rsidP="00294D02">
      <w:pPr>
        <w:pStyle w:val="Naslov2"/>
      </w:pPr>
      <w:r w:rsidRPr="00294D02">
        <w:t>Vlada v veljavni Načrt razvojnih programov uvrstila projekt prenove Strokovnega centra Frana Milčinskega Smlednik</w:t>
      </w:r>
    </w:p>
    <w:p w14:paraId="4BBB40E2" w14:textId="7BC5B613" w:rsidR="00294D02" w:rsidRPr="00294D02" w:rsidRDefault="00294D02" w:rsidP="00294D02">
      <w:r w:rsidRPr="00294D02">
        <w:t>Vlada</w:t>
      </w:r>
      <w:r>
        <w:t xml:space="preserve"> </w:t>
      </w:r>
      <w:r w:rsidRPr="00294D02">
        <w:t xml:space="preserve">je v veljavni Načrt razvojnih programov za obdobje od 2025-2028 uvrstila investicijo, katere namen je zagotoviti ustrezne prostore ter izboljšati prostorske pogoje strokovnega centra. Vrednost investicije znaša 1.057.361,50 evra in jo bo v celoti zagotovilo Ministrstvo za vzgojo in izobraževanje. </w:t>
      </w:r>
    </w:p>
    <w:p w14:paraId="7FCD45EB" w14:textId="69B50CD8" w:rsidR="000E08CA" w:rsidRPr="00294D02" w:rsidRDefault="00294D02" w:rsidP="00294D02">
      <w:pPr>
        <w:pStyle w:val="Vir"/>
      </w:pPr>
      <w:r w:rsidRPr="00294D02">
        <w:t>Vir: Ministrstvo za vzgojo in izobraževanje</w:t>
      </w:r>
    </w:p>
    <w:p w14:paraId="599909D3" w14:textId="2368E786" w:rsidR="00F335A2" w:rsidRPr="00F335A2" w:rsidRDefault="00F335A2" w:rsidP="00F335A2">
      <w:pPr>
        <w:pStyle w:val="Naslov2"/>
      </w:pPr>
      <w:r w:rsidRPr="00F335A2">
        <w:t>V Načrt razvojnih programov uvrščen projekt delovnih štipendij za samozaposlene v kulturi</w:t>
      </w:r>
    </w:p>
    <w:p w14:paraId="428E2728" w14:textId="56FB9115" w:rsidR="00F335A2" w:rsidRPr="00F335A2" w:rsidRDefault="00F335A2" w:rsidP="00F335A2">
      <w:r w:rsidRPr="00F335A2">
        <w:t xml:space="preserve">Vlada </w:t>
      </w:r>
      <w:r>
        <w:t>je</w:t>
      </w:r>
      <w:r w:rsidRPr="00F335A2">
        <w:t xml:space="preserve"> v veljavni Načrt razvojnih programov 2025–2028 uvrstila projekt Delovne štipendije za samozaposlene v kulturi 2025. Projekt je namenjen spodbujanju vrhunske umetniške ustvarjalnosti, razvoju deficitarnih kulturnih dejavnosti in zagotavljanju boljših pogojev delovanja samozaposlenih v kulturi.</w:t>
      </w:r>
    </w:p>
    <w:p w14:paraId="0DD50438" w14:textId="77777777" w:rsidR="00F335A2" w:rsidRDefault="00F335A2" w:rsidP="00F335A2"/>
    <w:p w14:paraId="62811367" w14:textId="453E9B34" w:rsidR="00F335A2" w:rsidRPr="00F335A2" w:rsidRDefault="00F335A2" w:rsidP="00F335A2">
      <w:r w:rsidRPr="00F335A2">
        <w:t>Za izvedbo javnega razpisa bo Ministrstvo za kulturo zagotovilo 700.000 evrov iz proračuna za leto 2025. Predvidoma bo podeljenih 87 delovnih štipendij, in sicer:</w:t>
      </w:r>
    </w:p>
    <w:p w14:paraId="0CD24983" w14:textId="4AFE670D" w:rsidR="00F335A2" w:rsidRPr="00F335A2" w:rsidRDefault="00F335A2" w:rsidP="00F335A2">
      <w:r w:rsidRPr="00F335A2">
        <w:t>•</w:t>
      </w:r>
      <w:r>
        <w:t xml:space="preserve"> </w:t>
      </w:r>
      <w:r w:rsidRPr="00F335A2">
        <w:t>34 štipendij po 5.000 evrov za podporo profesionalnemu razvoju,</w:t>
      </w:r>
    </w:p>
    <w:p w14:paraId="7A5ADA10" w14:textId="2CAE96D8" w:rsidR="00F335A2" w:rsidRPr="00F335A2" w:rsidRDefault="00F335A2" w:rsidP="00F335A2">
      <w:r w:rsidRPr="00F335A2">
        <w:t>•</w:t>
      </w:r>
      <w:r>
        <w:t xml:space="preserve"> </w:t>
      </w:r>
      <w:r w:rsidRPr="00F335A2">
        <w:t>53 štipendij po 10.000 evrov za spodbujanje razvoja umetniškega področja.</w:t>
      </w:r>
    </w:p>
    <w:p w14:paraId="0FB9DF26" w14:textId="77777777" w:rsidR="00F335A2" w:rsidRDefault="00F335A2" w:rsidP="00F335A2"/>
    <w:p w14:paraId="0A6C8FDA" w14:textId="40DD956A" w:rsidR="00F335A2" w:rsidRPr="00F335A2" w:rsidRDefault="00F335A2" w:rsidP="00F335A2">
      <w:r w:rsidRPr="00F335A2">
        <w:t>Delovne štipendije predstavljajo pomemben ukrep za dvig kompetenc, povečanje mobilnosti, vključevanje samozaposlenih v projekte javnih zavodov, NVO in zasebnega sektorja ter za zmanjševanje števila brezposelnih na področju kulture. S tem ukrepom država odgovarja tudi na vplive sprememb v zakonodaji in na trgu dela, ki vplivajo na položaj ustvarjalcev.</w:t>
      </w:r>
    </w:p>
    <w:p w14:paraId="202EFA22" w14:textId="77777777" w:rsidR="00F335A2" w:rsidRDefault="00F335A2" w:rsidP="00F335A2"/>
    <w:p w14:paraId="01D75160" w14:textId="68B26DE6" w:rsidR="00F335A2" w:rsidRPr="00F335A2" w:rsidRDefault="00F335A2" w:rsidP="00F335A2">
      <w:r w:rsidRPr="00F335A2">
        <w:t>Upravičenci bodo izbrani na podlagi javnega razpisa, pri čemer bodo osnovna merila:</w:t>
      </w:r>
    </w:p>
    <w:p w14:paraId="3C5985AD" w14:textId="2E00F9A5" w:rsidR="00F335A2" w:rsidRPr="00F335A2" w:rsidRDefault="00F335A2" w:rsidP="00F335A2">
      <w:r w:rsidRPr="00F335A2">
        <w:t>•</w:t>
      </w:r>
      <w:r>
        <w:t xml:space="preserve"> </w:t>
      </w:r>
      <w:r w:rsidRPr="00F335A2">
        <w:t>kakovost in izvedljivost načrta dela,</w:t>
      </w:r>
    </w:p>
    <w:p w14:paraId="516A015C" w14:textId="28589C8C" w:rsidR="00F335A2" w:rsidRPr="00F335A2" w:rsidRDefault="00F335A2" w:rsidP="00F335A2">
      <w:r w:rsidRPr="00F335A2">
        <w:t>•</w:t>
      </w:r>
      <w:r>
        <w:t xml:space="preserve"> </w:t>
      </w:r>
      <w:r w:rsidRPr="00F335A2">
        <w:t>prispevek k umetniškemu razvoju ali razvoju umetniškega področja,</w:t>
      </w:r>
    </w:p>
    <w:p w14:paraId="6AC30A26" w14:textId="75A5C75B" w:rsidR="00F335A2" w:rsidRPr="00F335A2" w:rsidRDefault="00F335A2" w:rsidP="00F335A2">
      <w:r w:rsidRPr="00F335A2">
        <w:t>•</w:t>
      </w:r>
      <w:r>
        <w:t xml:space="preserve"> </w:t>
      </w:r>
      <w:r w:rsidRPr="00F335A2">
        <w:t xml:space="preserve">umetniška </w:t>
      </w:r>
      <w:proofErr w:type="spellStart"/>
      <w:r w:rsidRPr="00F335A2">
        <w:t>referenčnost</w:t>
      </w:r>
      <w:proofErr w:type="spellEnd"/>
      <w:r w:rsidRPr="00F335A2">
        <w:t xml:space="preserve"> prijavitelja,</w:t>
      </w:r>
    </w:p>
    <w:p w14:paraId="57694AF1" w14:textId="22C2A0D5" w:rsidR="00F335A2" w:rsidRPr="00F335A2" w:rsidRDefault="00F335A2" w:rsidP="00F335A2">
      <w:r w:rsidRPr="00F335A2">
        <w:t>•</w:t>
      </w:r>
      <w:r>
        <w:t xml:space="preserve"> </w:t>
      </w:r>
      <w:r w:rsidRPr="00F335A2">
        <w:t>dodatne točke za vpisane z deficitarnimi poklici v kulturi.</w:t>
      </w:r>
    </w:p>
    <w:p w14:paraId="772DCD8D" w14:textId="77777777" w:rsidR="00F335A2" w:rsidRDefault="00F335A2" w:rsidP="00F335A2"/>
    <w:p w14:paraId="7D6CD20B" w14:textId="1FA0CEE4" w:rsidR="00F335A2" w:rsidRPr="00F335A2" w:rsidRDefault="00F335A2" w:rsidP="00F335A2">
      <w:r w:rsidRPr="00F335A2">
        <w:t>Vsak prijavitelj bo moral v prijavi opredeliti konkretne aktivnosti in njihovo vrednost, pri čemer bo vrednost dela, ki ga prijavlja, morala biti vsaj enaka višini zaprošenih sredstev.</w:t>
      </w:r>
    </w:p>
    <w:p w14:paraId="233A160A" w14:textId="34DC2CF8" w:rsidR="00F335A2" w:rsidRPr="00F335A2" w:rsidRDefault="00F335A2" w:rsidP="00F335A2">
      <w:r w:rsidRPr="00F335A2">
        <w:t>Z vključitvijo tega projekta v Načrt razvojnih programov Republika Slovenija nadgrajuje svojo podporo samozaposlenim v kulturi. Gre za ukrep, ki omogoča hitre in preverljive rezultate, hkrati pa dolgoročno krepi ustvarjalni potencial kulturnega sektorja, spodbuja raznoliko kulturno produkcijo in utrjuje družbeni pomen umetnosti in kulture.</w:t>
      </w:r>
    </w:p>
    <w:p w14:paraId="62A88C65" w14:textId="7DB5FCEF" w:rsidR="00F335A2" w:rsidRPr="00F335A2" w:rsidRDefault="00F335A2" w:rsidP="00F335A2">
      <w:pPr>
        <w:pStyle w:val="Vir"/>
      </w:pPr>
      <w:r w:rsidRPr="00F335A2">
        <w:lastRenderedPageBreak/>
        <w:t>Vir: Ministrstvo za kulturo</w:t>
      </w:r>
    </w:p>
    <w:p w14:paraId="1F4ECA7D" w14:textId="338BA94A" w:rsidR="00B46326" w:rsidRPr="00B46326" w:rsidRDefault="00B46326" w:rsidP="00B46326">
      <w:pPr>
        <w:pStyle w:val="Naslov2"/>
      </w:pPr>
      <w:r w:rsidRPr="00B46326">
        <w:t>Vlada v veljavni Načrt razvojnih programov 2025–2028 uvrstila nov projekt Ureditev postajnega poslopja železniške postaje Koper ter sprejela spremembe k nekaterim že uvrščenim projektom</w:t>
      </w:r>
    </w:p>
    <w:p w14:paraId="1767D512" w14:textId="77777777" w:rsidR="00B46326" w:rsidRPr="00B46326" w:rsidRDefault="00B46326" w:rsidP="00B46326">
      <w:r w:rsidRPr="00B46326">
        <w:t xml:space="preserve">Vlada Republike Slovenije je v veljavni Načrt razvojnih programov 2025–2028 uvrstila nov projekt Ureditev postajnega poslopja železniške postaje Koper z namenom izboljšanja prometnih rešitev, znižanja obratovalnih stroškov in zmanjšanja negativnih vplivov na okolje. Cilji investicije so: ureditev železniške postaje za potrebe potniškega prometa in </w:t>
      </w:r>
      <w:proofErr w:type="spellStart"/>
      <w:r w:rsidRPr="00B46326">
        <w:t>multimodalnega</w:t>
      </w:r>
      <w:proofErr w:type="spellEnd"/>
      <w:r w:rsidRPr="00B46326">
        <w:t xml:space="preserve"> vozlišča, arhitekturna preureditev končne oz. vstopne železniške postaje na slovensko železniško omrežje, uskladitev obstoječega stanja s potrebami sodobnega železniškega potniškega prometa, zmanjšanje vplivov na okolje z uporabo okolju prijaznejših materialov in tehnologij med izvedbo investicije in po njej, zmanjšanje porabe energije zaradi izboljšanja </w:t>
      </w:r>
      <w:proofErr w:type="spellStart"/>
      <w:r w:rsidRPr="00B46326">
        <w:t>izolativnih</w:t>
      </w:r>
      <w:proofErr w:type="spellEnd"/>
      <w:r w:rsidRPr="00B46326">
        <w:t xml:space="preserve"> karakteristik vgrajenih materialov ter znižanje obratovalnih stroškov. Ocenjena vrednost projekta po tekočih cenah znaša 2.45 milijona evrov.</w:t>
      </w:r>
    </w:p>
    <w:p w14:paraId="0565BFAD" w14:textId="77777777" w:rsidR="00B46326" w:rsidRPr="00B46326" w:rsidRDefault="00B46326" w:rsidP="00B46326"/>
    <w:p w14:paraId="69BA8ACE" w14:textId="6CB277A5" w:rsidR="00B46326" w:rsidRPr="00B46326" w:rsidRDefault="00B46326" w:rsidP="00B46326">
      <w:r w:rsidRPr="00B46326">
        <w:t xml:space="preserve">Vlada je sprejela tudi  spremembe k nekaterim že uvrščenim projektom, ker so bile izdelane </w:t>
      </w:r>
      <w:proofErr w:type="spellStart"/>
      <w:r w:rsidRPr="00B46326">
        <w:t>novelacije</w:t>
      </w:r>
      <w:proofErr w:type="spellEnd"/>
      <w:r w:rsidRPr="00B46326">
        <w:t xml:space="preserve"> investicijske dokumentacije: Modernizacija ceste Lokve-Čepovan, Križišče Prekopa, Ureditev križišča v Parižljah za Poljče, Rekonstrukcija križišča - AC priključek Brnik, Sanacija plazov z reko. ceste Štore-Svetina-Laško, Sanacija plazu Komarnica, Ureditev ceste Sodražica-Zamostec, Ureditev ceste Zapoge-Vodice, Ureditev ceste Stara Bučka, Ureditev krožišča v Fari, Ureditev križišča Prelesje, Ureditev križišča v Škocjanu, Ureditev ceste Soteska-Podturn, Ureditev skozi naselje Puščava, Ureditev ceste skozi Kapele in Ureditev ceste Dol pri Hrastniku.</w:t>
      </w:r>
    </w:p>
    <w:p w14:paraId="7E742FD6" w14:textId="6F97B539" w:rsidR="000E08CA" w:rsidRPr="00BF5F1A" w:rsidRDefault="00B46326" w:rsidP="00BF5F1A">
      <w:pPr>
        <w:pStyle w:val="Vir"/>
      </w:pPr>
      <w:r w:rsidRPr="00B46326">
        <w:t>Vir: Ministrstvo za infrastrukturo</w:t>
      </w:r>
    </w:p>
    <w:p w14:paraId="0405BB14" w14:textId="59122514" w:rsidR="00563599" w:rsidRPr="00563599" w:rsidRDefault="00563599" w:rsidP="00563599">
      <w:pPr>
        <w:pStyle w:val="Naslov2"/>
      </w:pPr>
      <w:r w:rsidRPr="00563599">
        <w:t xml:space="preserve">Mnenje </w:t>
      </w:r>
      <w:r w:rsidR="00C63D87">
        <w:t>v</w:t>
      </w:r>
      <w:r w:rsidRPr="00563599">
        <w:t>lade glede zahteve za oceno ustavnosti prvega odstavka 180. člena Zakona o prekrških</w:t>
      </w:r>
    </w:p>
    <w:p w14:paraId="2EC35195" w14:textId="77777777" w:rsidR="00563599" w:rsidRPr="00563599" w:rsidRDefault="00563599" w:rsidP="00563599">
      <w:r w:rsidRPr="00563599">
        <w:t>Vlada Republike Slovenije je sprejela mnenje v zvezi z zahtevo za oceno ustavnosti prvega odstavka 180. člena Zakona o prekrških, ki jo je vložilo Okrajno sodišče v Ljubljani, ter ga posreduje Državnemu zboru Republike Slovenije.</w:t>
      </w:r>
    </w:p>
    <w:p w14:paraId="161D8C6F" w14:textId="77777777" w:rsidR="00563599" w:rsidRPr="00563599" w:rsidRDefault="00563599" w:rsidP="00563599"/>
    <w:p w14:paraId="06A146DC" w14:textId="77777777" w:rsidR="00563599" w:rsidRPr="00563599" w:rsidRDefault="00563599" w:rsidP="00563599">
      <w:r w:rsidRPr="00563599">
        <w:t>Vlada meni, da prvi odstavek 180. člena Zakona o prekrških ni v neskladju z Ustavo Republike Slovenije.</w:t>
      </w:r>
    </w:p>
    <w:p w14:paraId="742812CD" w14:textId="77777777" w:rsidR="00563599" w:rsidRPr="00563599" w:rsidRDefault="00563599" w:rsidP="00563599"/>
    <w:p w14:paraId="40663B1C" w14:textId="75E1DAF0" w:rsidR="00563599" w:rsidRPr="00563599" w:rsidRDefault="00563599" w:rsidP="00563599">
      <w:r w:rsidRPr="00563599">
        <w:t>Okrajno sodišče v Ljubljani je prekinilo postopek o prekršku zoper mladoletno storilko prekrška in na Ustavno sodišče Republike Slovenije vložilo zahtevo za oceno ustavnosti zoper prvi odstavek 180. člena Zakona o prekrških, ki se glasi: »(1) V postopku proti mladoletniku se sodba oziroma sklep o prekršku ne moreta izdati brez njegovega zaslišanja.«. Vlagatelj zahteve za oceno ustavnosti očita, da je prvi odstavek 180. člena ZP-1 v neskladju z 2., 14., 19., 21., 22., 29., 32., 34., 35., 38., 53. in 56. členom Ustave. Meni, da je določba tako toga, da mora sodišče vedno in brez izjem (domnevnega) mladoletnega storilca prekrška zaslišati – preden izda sodbo ali sklep o prekršku - tudi v primeru, če meni, da uvedba začetka postopka proti domnevnemu mladoletnemu storilcu prekrška ne bi bila smotrna</w:t>
      </w:r>
      <w:r w:rsidR="005E0748">
        <w:t>.</w:t>
      </w:r>
    </w:p>
    <w:p w14:paraId="2CF665BC" w14:textId="77777777" w:rsidR="00563599" w:rsidRPr="00563599" w:rsidRDefault="00563599" w:rsidP="00563599"/>
    <w:p w14:paraId="03A9987F" w14:textId="77777777" w:rsidR="00563599" w:rsidRPr="00563599" w:rsidRDefault="00563599" w:rsidP="00563599">
      <w:r w:rsidRPr="00563599">
        <w:t xml:space="preserve">Vlada meni, da je očitek glede domnevnega neskladja prvega odstavka 180. člena ZP-1 z Ustavo pretiran, saj se po njeni oceni nanaša na celoten postopek oziroma natančneje: posebnosti postopka proti mladoletnikom. </w:t>
      </w:r>
    </w:p>
    <w:p w14:paraId="1C4BE049" w14:textId="77777777" w:rsidR="00563599" w:rsidRPr="00563599" w:rsidRDefault="00563599" w:rsidP="00563599"/>
    <w:p w14:paraId="507E045A" w14:textId="715D74CA" w:rsidR="00563599" w:rsidRPr="00563599" w:rsidRDefault="00563599" w:rsidP="00563599">
      <w:r w:rsidRPr="00563599">
        <w:t xml:space="preserve">Vlada v mnenju nadalje pojasnjuje, da glede na to, da je z mladoletniki potrebno ravnati obzirno in upoštevati njihovo duševno razvitost, občutljivost in osebne lastnosti, in zato ni videti ovir, da sodišče pred vročitvijo </w:t>
      </w:r>
      <w:proofErr w:type="spellStart"/>
      <w:r w:rsidRPr="00563599">
        <w:t>obdolžilnega</w:t>
      </w:r>
      <w:proofErr w:type="spellEnd"/>
      <w:r w:rsidRPr="00563599">
        <w:t xml:space="preserve"> predloga z vabilom na zaslišanje, ne bi moglo pridobiti vsaj osnovnih podatkov o morebitni </w:t>
      </w:r>
      <w:proofErr w:type="spellStart"/>
      <w:r w:rsidRPr="00563599">
        <w:t>prekrškovni</w:t>
      </w:r>
      <w:proofErr w:type="spellEnd"/>
      <w:r w:rsidRPr="00563599">
        <w:t xml:space="preserve"> oziroma kazenski predkaznovanosti ter se na ta način okvirno </w:t>
      </w:r>
      <w:r w:rsidRPr="00563599">
        <w:lastRenderedPageBreak/>
        <w:t xml:space="preserve">seznaniti s predhodnim življenjem mladoletnika. Če pa je bil mladoletnik predhodno že obravnavan v </w:t>
      </w:r>
      <w:proofErr w:type="spellStart"/>
      <w:r w:rsidRPr="00563599">
        <w:t>prekrškovnem</w:t>
      </w:r>
      <w:proofErr w:type="spellEnd"/>
      <w:r w:rsidRPr="00563599">
        <w:t xml:space="preserve"> ali celo kazenskem postopku, bi to kazalo, da ga je v </w:t>
      </w:r>
      <w:proofErr w:type="spellStart"/>
      <w:r w:rsidRPr="00563599">
        <w:t>prekrškovnem</w:t>
      </w:r>
      <w:proofErr w:type="spellEnd"/>
      <w:r w:rsidRPr="00563599">
        <w:t xml:space="preserve"> postopku zaradi storitve (tudi manjšega) prekrška vseeno smotrno obravnavati in posledično tudi zaslišati. V nasprotnem primeru pa Vlada meni, da bi sodišče lahko vseeno postopalo v skladu s prvim odstavkom 185. člena ZP-1 in s sklepom zavrnilo </w:t>
      </w:r>
      <w:proofErr w:type="spellStart"/>
      <w:r w:rsidRPr="00563599">
        <w:t>obdolžilni</w:t>
      </w:r>
      <w:proofErr w:type="spellEnd"/>
      <w:r w:rsidRPr="00563599">
        <w:t xml:space="preserve"> predlog zoper mladoletnika iz razlogov smotrnosti brez predhodnega zaslišanja (domnevnega) mladoletnega storilca prekrška. </w:t>
      </w:r>
    </w:p>
    <w:p w14:paraId="56A5EC56" w14:textId="71D2E009" w:rsidR="000E08CA" w:rsidRPr="00563599" w:rsidRDefault="00563599" w:rsidP="00563599">
      <w:pPr>
        <w:pStyle w:val="Vir"/>
      </w:pPr>
      <w:r w:rsidRPr="00563599">
        <w:t>Vir: Ministrstvo za pravosodje</w:t>
      </w:r>
    </w:p>
    <w:p w14:paraId="48777451" w14:textId="69F26DC0" w:rsidR="00B413C7" w:rsidRPr="00B413C7" w:rsidRDefault="00B413C7" w:rsidP="00B413C7">
      <w:pPr>
        <w:pStyle w:val="Naslov2"/>
      </w:pPr>
      <w:r w:rsidRPr="00B413C7">
        <w:t>Vlada za nadaljnjo obravnavo Predloga Uredbe Evropskega parlamenta in Sveta za povečanje razpoložljivosti kritičnih zdravil in zanesljivosti preskrbe z njimi</w:t>
      </w:r>
    </w:p>
    <w:p w14:paraId="4D4926CD" w14:textId="77777777" w:rsidR="00B413C7" w:rsidRPr="00B413C7" w:rsidRDefault="00B413C7" w:rsidP="00B413C7">
      <w:r w:rsidRPr="00B413C7">
        <w:t>Vlada Republike Slovenije je določila Predlog stališča Republike Slovenije do Predloga Uredbe Evropskega parlamenta in Sveta o določitvi okvira za povečanje razpoložljivosti kritičnih zdravil in zanesljivosti preskrbe z njimi ter razpoložljivosti in dostopnosti zdravil v skupnem interesu ter o spremembi Uredbe (EU) 2024/795, in sicer podpira osnovne namene in cilje predloga uredbe ter zato tudi nadaljnjo obravnavo predloga.</w:t>
      </w:r>
    </w:p>
    <w:p w14:paraId="0A62767E" w14:textId="77777777" w:rsidR="00B413C7" w:rsidRPr="00B413C7" w:rsidRDefault="00B413C7" w:rsidP="00B413C7"/>
    <w:p w14:paraId="7E688873" w14:textId="77777777" w:rsidR="00B413C7" w:rsidRPr="00B413C7" w:rsidRDefault="00B413C7" w:rsidP="00B413C7">
      <w:r w:rsidRPr="00B413C7">
        <w:t>Cilj Predloga uredbe je okrepiti odpornost evropske preskrbe z zdravili, zmanjšati pomanjkanja kritičnih zdravil ter zagotoviti boljšo razpoložljivost in dostopnost zdravil za vse paciente v Evropski uniji. Predlog določa mehanizme za prepoznavanje kritičnih zdravil, vzpostavitev skupnih strateških zalog ter krepitev sodelovanja med državami članicami in evropskimi institucijami.</w:t>
      </w:r>
    </w:p>
    <w:p w14:paraId="0B61051B" w14:textId="029F56C9" w:rsidR="00B413C7" w:rsidRPr="00B413C7" w:rsidRDefault="00B413C7" w:rsidP="00B413C7">
      <w:r w:rsidRPr="00B413C7">
        <w:t>Republika Slovenija meni, da bodo predlagani ukrepi pomagali pri povečanju zanesljivosti oskrbe in razpoložljivosti cenovno dostopnih kritičnih in drugih zdravil, ki so v skupnem interesu držav članic, zlasti kadar trg sam ne zagotavlja ustrezne dostopnosti ter razpoložljivosti teh zdravil za paciente. Se bo pa Slovenija v procesu pogajanj zavzemala za izboljšanje besedila določil Predloga uredbe, ki bodo prispevala k večji jasnosti, predvidljivosti in pravni varnosti. Posebna pozornost bo namenjena vlogi in obveznostim pristojnih organov oziroma držav članic ter racionalizaciji predvidenih ukrepov. Stremela bo k temu, da bo zakonodajni okvir hkrati omogočal učinkovito odzivanje na motnje v preskrbi z zdravili, spodbujal strateške naložbe v proizvodnjo kritičnih zdravil v EU, okrepil preglednost dobavnih verig zdravil ter omogočil pravočasno in usklajeno delovanje na ravni EU. Ob tem si bo prizadevala za izboljšanje dostopnosti, razpoložljivosti in cenovne dostopnosti zdravil za vse paciente ter celovito ureditev področja znotraj Predloga uredbe.</w:t>
      </w:r>
    </w:p>
    <w:p w14:paraId="5351BD9D" w14:textId="2F6475F8" w:rsidR="000E08CA" w:rsidRPr="00B413C7" w:rsidRDefault="00B413C7" w:rsidP="00B413C7">
      <w:pPr>
        <w:pStyle w:val="Vir"/>
      </w:pPr>
      <w:r w:rsidRPr="00B413C7">
        <w:t>Vir: Ministrstvo za zdravje</w:t>
      </w:r>
    </w:p>
    <w:p w14:paraId="75533591" w14:textId="34DDD2F6" w:rsidR="00924321" w:rsidRPr="00924321" w:rsidRDefault="00924321" w:rsidP="00924321">
      <w:pPr>
        <w:pStyle w:val="Naslov2"/>
      </w:pPr>
      <w:r w:rsidRPr="00924321">
        <w:t>Sprejeta državna usmeritev glede naložb, povezanih z obrambo</w:t>
      </w:r>
    </w:p>
    <w:p w14:paraId="32E6DAA1" w14:textId="77777777" w:rsidR="00924321" w:rsidRPr="00924321" w:rsidRDefault="00924321" w:rsidP="00924321">
      <w:r w:rsidRPr="00924321">
        <w:t xml:space="preserve">Vlada je na današnji seji sprejela usmeritev Republike Slovenije k Predlogu uredbe Evropskega parlamenta in Sveta o spremembi uredb (EU) 2021/694, (EU) 2021/695, (EU) 2021/697, (EU) 2021/1153, (EU) 2023/1525 in (EU) 2024/795 glede spodbujanja naložb, povezanih z obrambo, v proračunu EU za izvedbo načrta za ponovno oborožitev Evrope </w:t>
      </w:r>
      <w:proofErr w:type="spellStart"/>
      <w:r w:rsidRPr="00924321">
        <w:t>ReArm</w:t>
      </w:r>
      <w:proofErr w:type="spellEnd"/>
      <w:r w:rsidRPr="00924321">
        <w:t xml:space="preserve"> </w:t>
      </w:r>
      <w:proofErr w:type="spellStart"/>
      <w:r w:rsidRPr="00924321">
        <w:t>Europe</w:t>
      </w:r>
      <w:proofErr w:type="spellEnd"/>
      <w:r w:rsidRPr="00924321">
        <w:t xml:space="preserve"> - 8763/25.</w:t>
      </w:r>
    </w:p>
    <w:p w14:paraId="5D5E1A45" w14:textId="77777777" w:rsidR="00924321" w:rsidRPr="00924321" w:rsidRDefault="00924321" w:rsidP="00924321"/>
    <w:p w14:paraId="7E22A35A" w14:textId="77777777" w:rsidR="00924321" w:rsidRPr="00924321" w:rsidRDefault="00924321" w:rsidP="00924321">
      <w:r w:rsidRPr="00924321">
        <w:t xml:space="preserve">Z navedeno usmeritvijo Republika Slovenija pozdravlja predlog uredbe </w:t>
      </w:r>
      <w:proofErr w:type="spellStart"/>
      <w:r w:rsidRPr="00924321">
        <w:t>ReArm</w:t>
      </w:r>
      <w:proofErr w:type="spellEnd"/>
      <w:r w:rsidRPr="00924321">
        <w:t xml:space="preserve"> </w:t>
      </w:r>
      <w:proofErr w:type="spellStart"/>
      <w:r w:rsidRPr="00924321">
        <w:t>Europe</w:t>
      </w:r>
      <w:proofErr w:type="spellEnd"/>
      <w:r w:rsidRPr="00924321">
        <w:t xml:space="preserve"> in poudarja pomen vključevanja informacijske in kibernetske varnosti v vse faze izvajanja ukrepov, zlasti glede projektov, ki vključujejo digitalne kapacitete in tehnologije z dvojno rabo. </w:t>
      </w:r>
    </w:p>
    <w:p w14:paraId="11E1AF2E" w14:textId="77777777" w:rsidR="00924321" w:rsidRPr="00924321" w:rsidRDefault="00924321" w:rsidP="00924321"/>
    <w:p w14:paraId="1A0A3860" w14:textId="77777777" w:rsidR="00924321" w:rsidRPr="00924321" w:rsidRDefault="00924321" w:rsidP="00924321">
      <w:r w:rsidRPr="00924321">
        <w:t xml:space="preserve">Projekti, kot so </w:t>
      </w:r>
      <w:proofErr w:type="spellStart"/>
      <w:r w:rsidRPr="00924321">
        <w:t>gigatovarne</w:t>
      </w:r>
      <w:proofErr w:type="spellEnd"/>
      <w:r w:rsidRPr="00924321">
        <w:t xml:space="preserve"> umetne inteligence, podatkovni centri in infrastruktura za visoko zmogljivo računalništvo, morajo vključevati ustrezne varnostne ukrepe, ocene tveganj ter mehanizme za zaščito pred tako imenovanimi naprednimi stalnimi grožnjami (angleško </w:t>
      </w:r>
      <w:proofErr w:type="spellStart"/>
      <w:r w:rsidRPr="00924321">
        <w:t>Advanced</w:t>
      </w:r>
      <w:proofErr w:type="spellEnd"/>
      <w:r w:rsidRPr="00924321">
        <w:t xml:space="preserve"> </w:t>
      </w:r>
      <w:proofErr w:type="spellStart"/>
      <w:r w:rsidRPr="00924321">
        <w:t>Persistent</w:t>
      </w:r>
      <w:proofErr w:type="spellEnd"/>
      <w:r w:rsidRPr="00924321">
        <w:t xml:space="preserve"> </w:t>
      </w:r>
      <w:proofErr w:type="spellStart"/>
      <w:r w:rsidRPr="00924321">
        <w:t>Threats</w:t>
      </w:r>
      <w:proofErr w:type="spellEnd"/>
      <w:r w:rsidRPr="00924321">
        <w:t xml:space="preserve"> – APT) in nadzor tujega lastništva. </w:t>
      </w:r>
    </w:p>
    <w:p w14:paraId="15218B5A" w14:textId="77777777" w:rsidR="00924321" w:rsidRPr="00924321" w:rsidRDefault="00924321" w:rsidP="00924321"/>
    <w:p w14:paraId="6724B739" w14:textId="44993D38" w:rsidR="00924321" w:rsidRPr="00924321" w:rsidRDefault="00924321" w:rsidP="00924321">
      <w:r w:rsidRPr="00924321">
        <w:lastRenderedPageBreak/>
        <w:t>Urad Vlade Republike Slovenije za informacijsko varnost v okviru širšega stališča Republike Slovenije na področjih notranje varnosti, civilne obrambe in vojaške pripravljenosti priporoča poudarek na kibernetski odpornosti kritične infrastrukture, varni komunikaciji med civilnimi in vojaškimi strukturami ter zaščiti sistemov za krizno upravljanje. Ključno je, da se horizontalno uveljavi kibernetska varnost kot kriterij za sofinanciranje projektov ter da imajo nacionalni varnostni organi formalno vlogo v ocenjevanju in nadzoru nad izvajanjem občutljivih projektov.</w:t>
      </w:r>
    </w:p>
    <w:p w14:paraId="1CA9A7F4" w14:textId="745127BB" w:rsidR="000E08CA" w:rsidRDefault="00924321" w:rsidP="005E0748">
      <w:pPr>
        <w:pStyle w:val="Vir"/>
      </w:pPr>
      <w:r w:rsidRPr="00924321">
        <w:t>Vir: Ministrstvo za obrambo</w:t>
      </w:r>
    </w:p>
    <w:p w14:paraId="3CDD2963" w14:textId="77777777" w:rsidR="0004257E" w:rsidRPr="0004257E" w:rsidRDefault="0004257E" w:rsidP="0004257E"/>
    <w:p w14:paraId="6C3DF681" w14:textId="795FEAD1" w:rsidR="005E0748" w:rsidRPr="005E0748" w:rsidRDefault="005E0748" w:rsidP="005E0748">
      <w:pPr>
        <w:pStyle w:val="Naslov2"/>
      </w:pPr>
      <w:r w:rsidRPr="005E0748">
        <w:t>Skupna evropska nabava sistemov CAESAR</w:t>
      </w:r>
    </w:p>
    <w:p w14:paraId="04188E50" w14:textId="77777777" w:rsidR="005E0748" w:rsidRPr="005E0748" w:rsidRDefault="005E0748" w:rsidP="005E0748">
      <w:r w:rsidRPr="005E0748">
        <w:t>Vlada Republike Slovenije je potrdila okvirni dogovor med Ministrstvom za obrambo Republike Hrvaške, Ministrstvom za obrambo Republike Estonije in ministrom za obrambo Francoske republike za skupno evropsko nabavo sistemov CAESAR, sklenjen 19. junija 2024, in Spremembo 1 k Okvirnemu dogovoru med Ministrstvom za obrambo Republike Hrvaške, Ministrstvom za obrambo Republike Estonije in ministrom za obrambo Francoske republike za skupno evropsko nabavo sistemov CAESAR glede sprejema Bolgarije, Portugalske in Slovenije, sklenjeno 23. maja 2025.</w:t>
      </w:r>
    </w:p>
    <w:p w14:paraId="3D183515" w14:textId="77777777" w:rsidR="005E0748" w:rsidRPr="005E0748" w:rsidRDefault="005E0748" w:rsidP="005E0748">
      <w:r w:rsidRPr="005E0748">
        <w:t xml:space="preserve">V luči spodbujanja držav članic EU k sodelovanju pri javnih naročilih na področju obrambe in potreb po krepitvi tehnološke in industrijske baze evropske obrambe sta v juliju 2024 francoska in slovenska stran podpisali Pismo o nameri med Ministrstvom za obrambo Republike Slovenije in ministrom za oborožene sile Francoske republike v zvezi z evropskimi skupnimi javnimi naročili artilerijskih oborožitvenih sistemov CAESAR in sistemov Mistral. </w:t>
      </w:r>
    </w:p>
    <w:p w14:paraId="43636663" w14:textId="6B12534B" w:rsidR="005E0748" w:rsidRPr="005E0748" w:rsidRDefault="005E0748" w:rsidP="005E0748">
      <w:r w:rsidRPr="005E0748">
        <w:t>Pred tem so junija 2024 za konkretizacijo sodelovanja za oborožitveni sistem CAESAR francoska, hrvaška in estonska stran podpisale okvirni dogovor, v katerem s podpisom spremembe okvirnega dogovora kot novi udeleženec poleg Slovenije sodelujeta še Portugalska in Bolgarija. Skladno z določbami okvirnega dogovora novi udeleženec s podpisom spremembe potrdi prejem okvirnega dogovora in sprejme njegove pogoje. V okvirnem dogovoru so podrobneje opredeljeni pogoji za sodelovanje pri nabavi sistemov CAESAR, določbe v zvezi z organizacijo in upravljanjem, pogodbeno in finančno ureditvijo, zahtevki in odgovornostjo, uporabo informacij, varnostjo in drugo.</w:t>
      </w:r>
    </w:p>
    <w:p w14:paraId="4514E3BD" w14:textId="10B8AC22" w:rsidR="000E08CA" w:rsidRPr="005E0748" w:rsidRDefault="005E0748" w:rsidP="005E0748">
      <w:pPr>
        <w:pStyle w:val="Vir"/>
      </w:pPr>
      <w:r w:rsidRPr="005E0748">
        <w:t>Vir: Ministrstvo za zunanje in evropske zadeve</w:t>
      </w:r>
    </w:p>
    <w:p w14:paraId="36E440BD" w14:textId="12EFCAAC" w:rsidR="00D842BB" w:rsidRPr="00D842BB" w:rsidRDefault="00D842BB" w:rsidP="00D842BB">
      <w:pPr>
        <w:pStyle w:val="Naslov2"/>
      </w:pPr>
      <w:r w:rsidRPr="00D842BB">
        <w:t xml:space="preserve">Potrditev Spremembe dve k Memorandumu o soglasju v fazi programov </w:t>
      </w:r>
      <w:proofErr w:type="spellStart"/>
      <w:r w:rsidRPr="00D842BB">
        <w:t>Boxer</w:t>
      </w:r>
      <w:proofErr w:type="spellEnd"/>
    </w:p>
    <w:p w14:paraId="702D7206" w14:textId="77777777" w:rsidR="00D842BB" w:rsidRPr="00D842BB" w:rsidRDefault="00D842BB" w:rsidP="00D842BB">
      <w:r w:rsidRPr="00D842BB">
        <w:t xml:space="preserve">Vlada Republike Slovenije je potrdila Spremembo dve k Memorandumu o soglasju med Zveznim ministrstvom za obrambo Zvezne republike Nemčije in Ministrstvom za nacionalno obrambo Republike Litve in Ministrstvom za obrambo Kraljevine Nizozemske in Ministrstvom za obrambo Republike Slovenije in Ministrstvom za obrambo Združenega kraljestva Velika Britanija in Severna Irska o 3., 4., 5. in 6. fazi programa </w:t>
      </w:r>
      <w:proofErr w:type="spellStart"/>
      <w:r w:rsidRPr="00D842BB">
        <w:t>Boxer</w:t>
      </w:r>
      <w:proofErr w:type="spellEnd"/>
      <w:r w:rsidRPr="00D842BB">
        <w:t>, sklenjeno 10. februarja 2025.</w:t>
      </w:r>
    </w:p>
    <w:p w14:paraId="1A7C55EE" w14:textId="77777777" w:rsidR="00D842BB" w:rsidRPr="00D842BB" w:rsidRDefault="00D842BB" w:rsidP="00D842BB"/>
    <w:p w14:paraId="2EF947C8" w14:textId="77777777" w:rsidR="00D842BB" w:rsidRPr="00D842BB" w:rsidRDefault="00D842BB" w:rsidP="00D842BB">
      <w:r w:rsidRPr="00D842BB">
        <w:t xml:space="preserve">Vlada Republike Slovenije je odločila, da se Republika Slovenija umakne iz programa </w:t>
      </w:r>
      <w:proofErr w:type="spellStart"/>
      <w:r w:rsidRPr="00D842BB">
        <w:t>Boxer</w:t>
      </w:r>
      <w:proofErr w:type="spellEnd"/>
      <w:r w:rsidRPr="00D842BB">
        <w:t xml:space="preserve"> (sklep vlade dne 15. 9. 2022), pri čemer je med drugim Ministrstvu za obrambo naložila, da izvede vse ustrezne nadaljnje postopke za umik iz programa </w:t>
      </w:r>
      <w:proofErr w:type="spellStart"/>
      <w:r w:rsidRPr="00D842BB">
        <w:t>Boxer</w:t>
      </w:r>
      <w:proofErr w:type="spellEnd"/>
      <w:r w:rsidRPr="00D842BB">
        <w:t xml:space="preserve">. </w:t>
      </w:r>
    </w:p>
    <w:p w14:paraId="2C437F9A" w14:textId="77777777" w:rsidR="00D842BB" w:rsidRPr="00D842BB" w:rsidRDefault="00D842BB" w:rsidP="00D842BB"/>
    <w:p w14:paraId="3482F669" w14:textId="77777777" w:rsidR="00D842BB" w:rsidRPr="00D842BB" w:rsidRDefault="00D842BB" w:rsidP="00D842BB">
      <w:r w:rsidRPr="00D842BB">
        <w:t xml:space="preserve">Ministrstvo za obrambo je s tem v zvezi izvedlo potrebne formalne postopke za umik Republike Slovenije iz programa </w:t>
      </w:r>
      <w:proofErr w:type="spellStart"/>
      <w:r w:rsidRPr="00D842BB">
        <w:t>Boxer</w:t>
      </w:r>
      <w:proofErr w:type="spellEnd"/>
      <w:r w:rsidRPr="00D842BB">
        <w:t xml:space="preserve">, in sicer za odstop oziroma odpoved mednarodnopravnega akta (memoranduma) in civilnopravnih aktov (programske odločitve  in pogodbe o nakupu vozil </w:t>
      </w:r>
      <w:proofErr w:type="spellStart"/>
      <w:r w:rsidRPr="00D842BB">
        <w:t>Boxer</w:t>
      </w:r>
      <w:proofErr w:type="spellEnd"/>
      <w:r w:rsidRPr="00D842BB">
        <w:t xml:space="preserve"> z glavnim dobaviteljem </w:t>
      </w:r>
      <w:proofErr w:type="spellStart"/>
      <w:r w:rsidRPr="00D842BB">
        <w:t>Artec</w:t>
      </w:r>
      <w:proofErr w:type="spellEnd"/>
      <w:r w:rsidRPr="00D842BB">
        <w:t xml:space="preserve"> ), sklenjenih za namen sodelovanja v programu </w:t>
      </w:r>
      <w:proofErr w:type="spellStart"/>
      <w:r w:rsidRPr="00D842BB">
        <w:t>Boxer</w:t>
      </w:r>
      <w:proofErr w:type="spellEnd"/>
      <w:r w:rsidRPr="00D842BB">
        <w:t xml:space="preserve"> in nakup bojnih kolesnih vozil 8x8 </w:t>
      </w:r>
      <w:proofErr w:type="spellStart"/>
      <w:r w:rsidRPr="00D842BB">
        <w:t>Boxer</w:t>
      </w:r>
      <w:proofErr w:type="spellEnd"/>
      <w:r w:rsidRPr="00D842BB">
        <w:t>.</w:t>
      </w:r>
    </w:p>
    <w:p w14:paraId="1F33EE37" w14:textId="77777777" w:rsidR="00D842BB" w:rsidRPr="00D842BB" w:rsidRDefault="00D842BB" w:rsidP="00D842BB"/>
    <w:p w14:paraId="2646862E" w14:textId="77777777" w:rsidR="00D842BB" w:rsidRPr="00D842BB" w:rsidRDefault="00D842BB" w:rsidP="00D842BB">
      <w:r w:rsidRPr="00D842BB">
        <w:lastRenderedPageBreak/>
        <w:t xml:space="preserve">S spremembo dve k memorandumu, ki jo je Republika Slovenija podpisala 6. decembra 2024, je Republika Slovenija izstopila iz programa </w:t>
      </w:r>
      <w:proofErr w:type="spellStart"/>
      <w:r w:rsidRPr="00D842BB">
        <w:t>Boxer</w:t>
      </w:r>
      <w:proofErr w:type="spellEnd"/>
      <w:r w:rsidRPr="00D842BB">
        <w:t xml:space="preserve">, udeleženki programa </w:t>
      </w:r>
      <w:proofErr w:type="spellStart"/>
      <w:r w:rsidRPr="00D842BB">
        <w:t>Boxer</w:t>
      </w:r>
      <w:proofErr w:type="spellEnd"/>
      <w:r w:rsidRPr="00D842BB">
        <w:t>, Litva in Združeno kraljestvo pa sta naročila dodatna vozila.</w:t>
      </w:r>
    </w:p>
    <w:p w14:paraId="7A965026" w14:textId="77777777" w:rsidR="00D842BB" w:rsidRPr="00D842BB" w:rsidRDefault="00D842BB" w:rsidP="00D842BB"/>
    <w:p w14:paraId="20081C19" w14:textId="2BC3F6E5" w:rsidR="00D842BB" w:rsidRPr="00D842BB" w:rsidRDefault="00D842BB" w:rsidP="00D842BB">
      <w:r w:rsidRPr="00D842BB">
        <w:t xml:space="preserve">Sprememba dve k Memorandumu o soglasju ne pomeni novih finančnih obveznosti za Republiko Slovenijo, saj ji v skladu z dogovorom  z ostalimi udeleženkami programa </w:t>
      </w:r>
      <w:proofErr w:type="spellStart"/>
      <w:r w:rsidRPr="00D842BB">
        <w:t>Boxer</w:t>
      </w:r>
      <w:proofErr w:type="spellEnd"/>
      <w:r w:rsidRPr="00D842BB">
        <w:t xml:space="preserve"> ni treba plačati vstopne pristojbine v višini 7,2 mio evrov, kot povrnitev razvojnih stroškov ostalim udeleženkam programa </w:t>
      </w:r>
      <w:proofErr w:type="spellStart"/>
      <w:r w:rsidRPr="00D842BB">
        <w:t>Boxer</w:t>
      </w:r>
      <w:proofErr w:type="spellEnd"/>
      <w:r w:rsidRPr="00D842BB">
        <w:t>.</w:t>
      </w:r>
    </w:p>
    <w:p w14:paraId="0FE34361" w14:textId="0B897CD5" w:rsidR="0050774E" w:rsidRDefault="00D842BB" w:rsidP="0004257E">
      <w:pPr>
        <w:pStyle w:val="Vir"/>
      </w:pPr>
      <w:r w:rsidRPr="00D842BB">
        <w:t>Vir: Ministrstvo za zunanje in evropske zadeve</w:t>
      </w:r>
    </w:p>
    <w:p w14:paraId="2B641B9B" w14:textId="77777777" w:rsidR="0004257E" w:rsidRPr="0004257E" w:rsidRDefault="0004257E" w:rsidP="0004257E"/>
    <w:p w14:paraId="1A6A34CC" w14:textId="117DCE8B" w:rsidR="00724D56" w:rsidRPr="00724D56" w:rsidRDefault="00724D56" w:rsidP="00724D56">
      <w:pPr>
        <w:pStyle w:val="Naslov2"/>
      </w:pPr>
      <w:r w:rsidRPr="00724D56">
        <w:t xml:space="preserve">Odgovor </w:t>
      </w:r>
      <w:r w:rsidR="002C2EB4">
        <w:t>v</w:t>
      </w:r>
      <w:r w:rsidRPr="00724D56">
        <w:t>lade na Sklepe Komisije za nadzor javnih financ o stroških reprezentance</w:t>
      </w:r>
    </w:p>
    <w:p w14:paraId="57E8D0C6" w14:textId="77777777" w:rsidR="00724D56" w:rsidRPr="00724D56" w:rsidRDefault="00724D56" w:rsidP="00724D56">
      <w:r w:rsidRPr="00724D56">
        <w:t>Vlada Republike Slovenije je sprejela Odgovor na Sklepe Komisije za nadzor javnih financ Državnega zbora (KNJF) z dne 19. 6. 2025 v zvezi z naraščanjem stroškov za reprezentanco posameznih ministrstev in Vlade Republike Slovenije in ga pošlje Državnemu zboru.</w:t>
      </w:r>
    </w:p>
    <w:p w14:paraId="199E2F66" w14:textId="77777777" w:rsidR="00724D56" w:rsidRPr="00724D56" w:rsidRDefault="00724D56" w:rsidP="00724D56"/>
    <w:p w14:paraId="12128C29" w14:textId="0AB1C94C" w:rsidR="00724D56" w:rsidRPr="00724D56" w:rsidRDefault="00724D56" w:rsidP="00724D56">
      <w:r w:rsidRPr="00724D56">
        <w:t>V odgovoru na prvi sklep komisije Vlada navede podatke o stroških reprezentance za vsa ministrstva in kabinet predsednika vlade v obdobju zadnjih treh let. Ob tem je v odgovoru pojasnjen tudi namen porabe sredstev za reprezentanco po posameznih organih. Vlada ugotavlja, da ob primerjavi podatkov za leto 2022 in 2024 ni prišlo do bistvenega povečanja stroškov za reprezentanco, zato ne obstaja objektiven in v dejstvih utemeljen razlog za pripravo načrta za zmanjšanje stroškov reprezentance, kar KNJF predlaga v drugem sklepu. Seveda pa bo Vlada pri stroških reprezentance še naprej upoštevala omejitve iz 4. člena Uredbe o stroških reprezentance, ki določa omejitve tako glede tega, komu pripada reprezentanca, kot tudi glede tega, kakšni smejo biti stroški reprezentance.</w:t>
      </w:r>
    </w:p>
    <w:p w14:paraId="258F2963" w14:textId="61842899" w:rsidR="000E08CA" w:rsidRPr="00724D56" w:rsidRDefault="00724D56" w:rsidP="00724D56">
      <w:pPr>
        <w:pStyle w:val="Vir"/>
      </w:pPr>
      <w:r w:rsidRPr="00724D56">
        <w:t>Vir: Ministrstvo za javno upravo</w:t>
      </w:r>
    </w:p>
    <w:p w14:paraId="68AD71C9" w14:textId="3E884916" w:rsidR="00C01A39" w:rsidRPr="00C01A39" w:rsidRDefault="00C01A39" w:rsidP="00C01A39">
      <w:pPr>
        <w:pStyle w:val="Naslov2"/>
      </w:pPr>
      <w:r w:rsidRPr="00C01A39">
        <w:t xml:space="preserve">Vlada potrdila zakonska predloga s področja </w:t>
      </w:r>
      <w:proofErr w:type="spellStart"/>
      <w:r w:rsidRPr="00C01A39">
        <w:t>kriptosredstev</w:t>
      </w:r>
      <w:proofErr w:type="spellEnd"/>
      <w:r w:rsidRPr="00C01A39">
        <w:t xml:space="preserve"> in izvedenih finančnih instrumentov</w:t>
      </w:r>
    </w:p>
    <w:p w14:paraId="60F32926" w14:textId="5ECA4AEC" w:rsidR="00C01A39" w:rsidRPr="00C01A39" w:rsidRDefault="00C01A39" w:rsidP="00C01A39">
      <w:r w:rsidRPr="00C01A39">
        <w:t>Vlada je</w:t>
      </w:r>
      <w:r>
        <w:t xml:space="preserve"> </w:t>
      </w:r>
      <w:r w:rsidRPr="00C01A39">
        <w:t xml:space="preserve">potrdila predlog Zakona o davku od dobička iz odsvojitve </w:t>
      </w:r>
      <w:proofErr w:type="spellStart"/>
      <w:r w:rsidRPr="00C01A39">
        <w:t>kriptosredstev</w:t>
      </w:r>
      <w:proofErr w:type="spellEnd"/>
      <w:r w:rsidRPr="00C01A39">
        <w:t xml:space="preserve"> in predlog novele Zakona o davku od dobička od odsvojitve izvedenih finančnih instrumentov. Z zakonoma želimo uskladiti obdavčitev dohodkov iz istovrstnih oziroma podobnih instrumentov ter zagotoviti jasno ureditev z minimalnimi administrativnimi obremenitvami.</w:t>
      </w:r>
    </w:p>
    <w:p w14:paraId="15B965C6" w14:textId="77777777" w:rsidR="00EF327A" w:rsidRDefault="00EF327A" w:rsidP="00C01A39"/>
    <w:p w14:paraId="6B7E7DAE" w14:textId="2EC34EF9" w:rsidR="00C01A39" w:rsidRPr="00C01A39" w:rsidRDefault="00C01A39" w:rsidP="00C01A39">
      <w:pPr>
        <w:rPr>
          <w:u w:val="single"/>
        </w:rPr>
      </w:pPr>
      <w:r w:rsidRPr="00C01A39">
        <w:rPr>
          <w:u w:val="single"/>
        </w:rPr>
        <w:t xml:space="preserve">Predlog Zakona o davku od dobička iz odsvojitve </w:t>
      </w:r>
      <w:proofErr w:type="spellStart"/>
      <w:r w:rsidRPr="00C01A39">
        <w:rPr>
          <w:u w:val="single"/>
        </w:rPr>
        <w:t>kriptosredstev</w:t>
      </w:r>
      <w:proofErr w:type="spellEnd"/>
      <w:r w:rsidRPr="00C01A39">
        <w:rPr>
          <w:u w:val="single"/>
        </w:rPr>
        <w:t xml:space="preserve"> </w:t>
      </w:r>
    </w:p>
    <w:p w14:paraId="6EA8651C" w14:textId="77777777" w:rsidR="00C01A39" w:rsidRPr="00C01A39" w:rsidRDefault="00C01A39" w:rsidP="00C01A39">
      <w:r w:rsidRPr="00C01A39">
        <w:t xml:space="preserve">Z zakonom med drugim uvajamo obveznost plačevanja davka od dobička fizičnih oseb iz odsvojitve </w:t>
      </w:r>
      <w:proofErr w:type="spellStart"/>
      <w:r w:rsidRPr="00C01A39">
        <w:t>kriptosredstev</w:t>
      </w:r>
      <w:proofErr w:type="spellEnd"/>
      <w:r w:rsidRPr="00C01A39">
        <w:t xml:space="preserve">, s čimer želimo zagotoviti večjo enakost davčne obravnave dohodkov iz različnih vrst finančnih naložb fizičnih oseb, pri čemer izhajamo iz načela, da naj bodo primerljivi dohodki približno enako obdavčeni. </w:t>
      </w:r>
    </w:p>
    <w:p w14:paraId="4D3BC866" w14:textId="77777777" w:rsidR="00C01A39" w:rsidRPr="00C01A39" w:rsidRDefault="00C01A39" w:rsidP="00C01A39">
      <w:r w:rsidRPr="00C01A39">
        <w:t xml:space="preserve">Z zakonom se upoštevajo upravna enostavnost izvajanja zakona, tako za davčne zavezance kot za davčni organ, ter tudi pravna jasnost in gotovost pravil in njihova čim večja tehnološka nevtralnost. Slovenija s tem sledi trendom mednarodnega urejanja področja </w:t>
      </w:r>
      <w:proofErr w:type="spellStart"/>
      <w:r w:rsidRPr="00C01A39">
        <w:t>kriptosredstev</w:t>
      </w:r>
      <w:proofErr w:type="spellEnd"/>
      <w:r w:rsidRPr="00C01A39">
        <w:t xml:space="preserve">, skladno z evropsko uredbo o trgih </w:t>
      </w:r>
      <w:proofErr w:type="spellStart"/>
      <w:r w:rsidRPr="00C01A39">
        <w:t>kriptosredstev</w:t>
      </w:r>
      <w:proofErr w:type="spellEnd"/>
      <w:r w:rsidRPr="00C01A39">
        <w:t xml:space="preserve"> (</w:t>
      </w:r>
      <w:proofErr w:type="spellStart"/>
      <w:r w:rsidRPr="00C01A39">
        <w:t>MiCA</w:t>
      </w:r>
      <w:proofErr w:type="spellEnd"/>
      <w:r w:rsidRPr="00C01A39">
        <w:t xml:space="preserve">) ter upoštevaje okvir za poročanje in izmenjavo informacij o transakcijah s </w:t>
      </w:r>
      <w:proofErr w:type="spellStart"/>
      <w:r w:rsidRPr="00C01A39">
        <w:t>kriptosredstvi</w:t>
      </w:r>
      <w:proofErr w:type="spellEnd"/>
      <w:r w:rsidRPr="00C01A39">
        <w:t>.</w:t>
      </w:r>
    </w:p>
    <w:p w14:paraId="0F87F741" w14:textId="77777777" w:rsidR="00EF327A" w:rsidRDefault="00EF327A" w:rsidP="00C01A39"/>
    <w:p w14:paraId="0983DA2F" w14:textId="04822311" w:rsidR="00C01A39" w:rsidRPr="00C01A39" w:rsidRDefault="00C01A39" w:rsidP="00C01A39">
      <w:pPr>
        <w:rPr>
          <w:u w:val="single"/>
        </w:rPr>
      </w:pPr>
      <w:r w:rsidRPr="00C01A39">
        <w:rPr>
          <w:u w:val="single"/>
        </w:rPr>
        <w:t>Novela Zakona o davku od dobička od odsvojitve izvedenih finančnih instrumentov</w:t>
      </w:r>
    </w:p>
    <w:p w14:paraId="2255EA7C" w14:textId="77777777" w:rsidR="00C01A39" w:rsidRPr="00C01A39" w:rsidRDefault="00C01A39" w:rsidP="00C01A39">
      <w:r w:rsidRPr="00C01A39">
        <w:t>S spremembami pri obdavčitvi izvedenih finančnih instrumentov, s katerimi izpolnjujemo zaveze iz Strategije razvoja trga kapitala v Sloveniji za obdobje 2023-2030, želimo poenostaviti ureditev in izboljšati jasnost obdavčitve.</w:t>
      </w:r>
    </w:p>
    <w:p w14:paraId="55114D5E" w14:textId="77777777" w:rsidR="00C01A39" w:rsidRPr="00C01A39" w:rsidRDefault="00C01A39" w:rsidP="00C01A39">
      <w:r w:rsidRPr="00C01A39">
        <w:lastRenderedPageBreak/>
        <w:t xml:space="preserve">Za te instrumente predlagamo obdavčitev po proporcionalni stopnji 25 odstotkov ne glede na obdobje </w:t>
      </w:r>
      <w:proofErr w:type="spellStart"/>
      <w:r w:rsidRPr="00C01A39">
        <w:t>imetništva</w:t>
      </w:r>
      <w:proofErr w:type="spellEnd"/>
      <w:r w:rsidRPr="00C01A39">
        <w:t xml:space="preserve"> oziroma čas, ki je minil od sklenitve posla.</w:t>
      </w:r>
    </w:p>
    <w:p w14:paraId="247AD01F" w14:textId="77777777" w:rsidR="00EF327A" w:rsidRDefault="00EF327A" w:rsidP="00C01A39"/>
    <w:p w14:paraId="11305CA1" w14:textId="6E25354D" w:rsidR="00C01A39" w:rsidRPr="00C01A39" w:rsidRDefault="00C01A39" w:rsidP="00C01A39">
      <w:r w:rsidRPr="00C01A39">
        <w:t>Več informacij o obeh zakonih najdete na spletni strani Ministrstva za finance.</w:t>
      </w:r>
    </w:p>
    <w:p w14:paraId="32FB04A0" w14:textId="75AAEA61" w:rsidR="000E08CA" w:rsidRPr="00844939" w:rsidRDefault="00C01A39" w:rsidP="00844939">
      <w:pPr>
        <w:pStyle w:val="Vir"/>
      </w:pPr>
      <w:r w:rsidRPr="00C01A39">
        <w:t>Vir: Ministrstvo za finance</w:t>
      </w:r>
    </w:p>
    <w:p w14:paraId="5DB6131A" w14:textId="3ED0335B" w:rsidR="0007595B" w:rsidRPr="0007595B" w:rsidRDefault="0007595B" w:rsidP="0007595B">
      <w:pPr>
        <w:pStyle w:val="Naslov2"/>
      </w:pPr>
      <w:r w:rsidRPr="0007595B">
        <w:t>Vlada o noveli zakona o davku od dohodkov pravnih oseb</w:t>
      </w:r>
    </w:p>
    <w:p w14:paraId="2D07B280" w14:textId="5BE28D80" w:rsidR="0007595B" w:rsidRPr="0007595B" w:rsidRDefault="0007595B" w:rsidP="0007595B">
      <w:r w:rsidRPr="0007595B">
        <w:t xml:space="preserve">Vlada je na današnji seji potrdila novelo Zakona o davku od dohodkov pravnih oseb. Predlog Zakona o spremembah in dopolnitvah Zakona o davku od dohodkov pravnih oseb je bil pripravljen zlasti s ciljem »oživitve« določbe ZDDPO-2, ki določa davčno obravnavo investicijskih skladov (obdavčitev po 0 odstotni stopnji za investicijske sklade). </w:t>
      </w:r>
    </w:p>
    <w:p w14:paraId="1B579B1D" w14:textId="77777777" w:rsidR="0007595B" w:rsidRPr="0007595B" w:rsidRDefault="0007595B" w:rsidP="0007595B">
      <w:r w:rsidRPr="0007595B">
        <w:t>Navedena določba je zaradi bistvene spremembe matičnega pravnega okvira za alternativne investicijske sklade (sprejem Zakona o oblikah alternativnih investicijskih skladov) postala neuporabna oziroma pomeni določeno negotovost obdavčitve za predmetne zavezance.</w:t>
      </w:r>
    </w:p>
    <w:p w14:paraId="0AE66D5F" w14:textId="77777777" w:rsidR="0007595B" w:rsidRPr="0007595B" w:rsidRDefault="0007595B" w:rsidP="0007595B">
      <w:r w:rsidRPr="0007595B">
        <w:t>Z novelo se predlaga še nadgraditev definicije »obrata«, v smislu jasnosti in nedvoumnosti, ki bo prispevala k bolj učinkovitemu izvajanju režima nevtralne obdavčitve v času reorganizacij. Te določbe podpira zlasti Finančna uprava RS zaradi boljšega izvajanja.</w:t>
      </w:r>
    </w:p>
    <w:p w14:paraId="716967C3" w14:textId="5C3ED0C0" w:rsidR="0007595B" w:rsidRPr="0007595B" w:rsidRDefault="0007595B" w:rsidP="0007595B">
      <w:r w:rsidRPr="0007595B">
        <w:t>Cilj predloga zakona je zagotoviti večjo gotovost in predvidljivost davčnega sistema predvsem zaradi sprememb matične zakonodaje, ki ureja področje investicijskih skladov tako na nacionalni kot na ravni EU. Druge spremembe, ki so bolj izvedbene oziroma tehnične, pa so namenjene večji jasnosti, preglednosti in enostavnosti davčnih določb.</w:t>
      </w:r>
    </w:p>
    <w:p w14:paraId="22F1EFCF" w14:textId="18776FE2" w:rsidR="000E08CA" w:rsidRPr="0007595B" w:rsidRDefault="0007595B" w:rsidP="0007595B">
      <w:pPr>
        <w:pStyle w:val="Vir"/>
      </w:pPr>
      <w:r w:rsidRPr="0007595B">
        <w:t>Vir: Ministrstvo za finance</w:t>
      </w:r>
    </w:p>
    <w:p w14:paraId="06849296" w14:textId="0E934210" w:rsidR="00370CB6" w:rsidRPr="00370CB6" w:rsidRDefault="00370CB6" w:rsidP="00370CB6">
      <w:pPr>
        <w:pStyle w:val="Naslov2"/>
      </w:pPr>
      <w:r w:rsidRPr="00370CB6">
        <w:t>Vlada potrdila predloge za bolj učinkovito ukrepanje ob naravnih nesrečah</w:t>
      </w:r>
    </w:p>
    <w:p w14:paraId="26F83F03" w14:textId="525E76E1" w:rsidR="00370CB6" w:rsidRPr="00370CB6" w:rsidRDefault="00370CB6" w:rsidP="00370CB6">
      <w:r w:rsidRPr="00370CB6">
        <w:t>Vlada je potrdila predlog sprememb in dopolnitev Zakona o odpravi posledic naravnih nesreč, ki bodo zagotovile celostne, hitrejše in bolj učinkovite rešitve ob naravnih nesrečah. Državnemu zboru predlaga, da predlog zakona sprejme po skrajšanem postopku.</w:t>
      </w:r>
    </w:p>
    <w:p w14:paraId="1C962A9D" w14:textId="77777777" w:rsidR="00370CB6" w:rsidRPr="00370CB6" w:rsidRDefault="00370CB6" w:rsidP="00370CB6"/>
    <w:p w14:paraId="7C2D8680" w14:textId="09CAB6A2" w:rsidR="00370CB6" w:rsidRPr="00370CB6" w:rsidRDefault="00370CB6" w:rsidP="00370CB6">
      <w:r w:rsidRPr="00370CB6">
        <w:t xml:space="preserve">S spremembami in dopolnitvami bomo omogočili hitrejše izvajanje nujnih ukrepov pri odpravi posledic hujših nesreč, ki onemogočajo normalizacijo življenja na prizadetem območju. Z njimi bomo omogočili bolj prožne oblike financiranja in razširili krog upravičencev do pomoči. Predvideni so tudi ukrepi za hitrejšo obdelavo vlog prebivalstva ter poenostavitev in pohitritev postopkov nakupa in komunalne ureditve zemljišč. </w:t>
      </w:r>
    </w:p>
    <w:p w14:paraId="3B323EA9" w14:textId="5AB8B330" w:rsidR="000E08CA" w:rsidRPr="00971F78" w:rsidRDefault="00370CB6" w:rsidP="00971F78">
      <w:pPr>
        <w:pStyle w:val="Vir"/>
      </w:pPr>
      <w:r w:rsidRPr="00370CB6">
        <w:t>Vir: Ministrstvo za naravne vire in prostor</w:t>
      </w:r>
    </w:p>
    <w:p w14:paraId="0A067D73" w14:textId="3AC12A9C" w:rsidR="008B42CD" w:rsidRPr="008B42CD" w:rsidRDefault="008B42CD" w:rsidP="008B42CD">
      <w:pPr>
        <w:pStyle w:val="Naslov2"/>
      </w:pPr>
      <w:r w:rsidRPr="008B42CD">
        <w:t xml:space="preserve">Vlada se je seznanila z Informacijo o izvajanju Načrta za okrevanje in odpornost </w:t>
      </w:r>
    </w:p>
    <w:p w14:paraId="360756FB" w14:textId="52A4B3B0" w:rsidR="008B42CD" w:rsidRPr="008B42CD" w:rsidRDefault="008B42CD" w:rsidP="008B42CD">
      <w:r w:rsidRPr="008B42CD">
        <w:t>Svet Evropske unije za ekonomske in finančne zadeve je 20. junija 2025 potrdil tretjo spremembo Načrta za okrevanje in odpornost (NOO). Za izvedbo načrta je po novem na voljo 2,23 milijarde evrov iz Mehanizma za okrevanje in odpornost (Mehanizem), od tega 613,25 milijona evrov posojil (prej 1,07 milijarde evrov) in nespremenjena višina nepovratnih sredstev v vrednosti 1,61 milijarde evrov. Po tretji spremembi NOO vključuje 84 ukrepov (prej 86), od tega 36 reform (enako kot prej) in 48 naložb (prej 50), s katerimi je povezanih 200 mejnikov in ciljev (prej 203).</w:t>
      </w:r>
    </w:p>
    <w:p w14:paraId="52A0A97C" w14:textId="77777777" w:rsidR="008B42CD" w:rsidRPr="008B42CD" w:rsidRDefault="008B42CD" w:rsidP="008B42CD">
      <w:r w:rsidRPr="008B42CD">
        <w:t>Slovenija je za izvedbo NOO do zdaj prejela 1,10 milijarde evrov iz Mehanizma. Država je končnim prejemnikom za izvedene projektne aktivnosti od začetka izvajanja NOO v letu 2021 do danes izplačala 948 milijonov evrov, od tega 208 milijonov v letošnjem letu.</w:t>
      </w:r>
    </w:p>
    <w:p w14:paraId="7892CCC4" w14:textId="77777777" w:rsidR="008B42CD" w:rsidRPr="008B42CD" w:rsidRDefault="008B42CD" w:rsidP="008B42CD">
      <w:r w:rsidRPr="008B42CD">
        <w:lastRenderedPageBreak/>
        <w:t>Skladno z vladno usmeritvijo je Urad Republike Slovenije za okrevanj in odpornost 24. junija 2025 Evropski komisiji (EK) poslal zahtevek za plačilo petega in šestega obroka za nepovratna sredstva ter tretjega za posojila Mehanizma v skupni vrednosti 502 milijonov evrov bruto. Zaradi sorazmernega upoštevanja predplačila nepovratnih sredstev, ki jih je Slovenija prejela na začetku izvajanja NOO, lahko država prejme maksimalni znesek izplačila v okvirni višini 440 milijonov evrov neto.</w:t>
      </w:r>
    </w:p>
    <w:p w14:paraId="32C6696C" w14:textId="77777777" w:rsidR="008B42CD" w:rsidRPr="008B42CD" w:rsidRDefault="008B42CD" w:rsidP="008B42CD">
      <w:r w:rsidRPr="008B42CD">
        <w:t>Ministrstva, ki so odgovorna za izvedbo naložb in reform, ocenjujejo, da so od skupno 200 izpolnila 106 mejnikov in ciljev. Od tega je:</w:t>
      </w:r>
    </w:p>
    <w:p w14:paraId="00C73592" w14:textId="57DCA099" w:rsidR="008B42CD" w:rsidRPr="008B42CD" w:rsidRDefault="008B42CD" w:rsidP="008B42CD">
      <w:r w:rsidRPr="008B42CD">
        <w:t>•</w:t>
      </w:r>
      <w:r>
        <w:t xml:space="preserve"> </w:t>
      </w:r>
      <w:r w:rsidRPr="008B42CD">
        <w:t>64 mejnikov in ciljev formalno izpolnjenih - del prvih treh že izplačanih zahtevkov za plačilo;</w:t>
      </w:r>
    </w:p>
    <w:p w14:paraId="755ED3A3" w14:textId="05A98448" w:rsidR="008B42CD" w:rsidRPr="008B42CD" w:rsidRDefault="008B42CD" w:rsidP="008B42CD">
      <w:r w:rsidRPr="008B42CD">
        <w:t>•</w:t>
      </w:r>
      <w:r>
        <w:t xml:space="preserve"> </w:t>
      </w:r>
      <w:r w:rsidRPr="008B42CD">
        <w:t>27 mejnikov in ciljev trenutno v pregledu na EK – del aktualnega četrtega zahtevka za plačilo;</w:t>
      </w:r>
    </w:p>
    <w:p w14:paraId="51EA1DDC" w14:textId="01C59CAD" w:rsidR="008B42CD" w:rsidRPr="008B42CD" w:rsidRDefault="008B42CD" w:rsidP="008B42CD">
      <w:r w:rsidRPr="008B42CD">
        <w:t>•</w:t>
      </w:r>
      <w:r>
        <w:t xml:space="preserve"> </w:t>
      </w:r>
      <w:r w:rsidRPr="008B42CD">
        <w:t>15 mejnikov in ciljev, ki bodo vključeni v naslednje zahtevke za plačilo.</w:t>
      </w:r>
    </w:p>
    <w:p w14:paraId="7655BF9C" w14:textId="77D82E58" w:rsidR="008B42CD" w:rsidRPr="008B42CD" w:rsidRDefault="008B42CD" w:rsidP="008B42CD">
      <w:r w:rsidRPr="008B42CD">
        <w:t>Končno višino izplačanih sredstev za posamezni zahtevek določi EK glede na zadovoljivost izpolnjenih mejnikov in ciljev.</w:t>
      </w:r>
    </w:p>
    <w:p w14:paraId="3EF4B7E2" w14:textId="6173EF78" w:rsidR="000E08CA" w:rsidRPr="008B42CD" w:rsidRDefault="008B42CD" w:rsidP="008B42CD">
      <w:pPr>
        <w:pStyle w:val="Vir"/>
      </w:pPr>
      <w:r w:rsidRPr="008B42CD">
        <w:t>Vir: Ministrstvo za finance</w:t>
      </w:r>
    </w:p>
    <w:p w14:paraId="489EDA43" w14:textId="6DE46CC2" w:rsidR="00211E48" w:rsidRPr="008F06C6" w:rsidRDefault="00211E48" w:rsidP="008F06C6">
      <w:pPr>
        <w:pStyle w:val="Naslov2"/>
      </w:pPr>
      <w:r w:rsidRPr="008F06C6">
        <w:t>Pism</w:t>
      </w:r>
      <w:r w:rsidR="008F06C6" w:rsidRPr="008F06C6">
        <w:t>o</w:t>
      </w:r>
      <w:r w:rsidRPr="008F06C6">
        <w:t xml:space="preserve"> o nameri za organizacijo izvedbe dogodka </w:t>
      </w:r>
      <w:proofErr w:type="spellStart"/>
      <w:r w:rsidRPr="008F06C6">
        <w:t>Tour</w:t>
      </w:r>
      <w:proofErr w:type="spellEnd"/>
      <w:r w:rsidRPr="008F06C6">
        <w:t xml:space="preserve"> de France – Grand </w:t>
      </w:r>
      <w:proofErr w:type="spellStart"/>
      <w:r w:rsidRPr="008F06C6">
        <w:t>Départ</w:t>
      </w:r>
      <w:proofErr w:type="spellEnd"/>
      <w:r w:rsidRPr="008F06C6">
        <w:t xml:space="preserve"> v Republiki Sloveniji</w:t>
      </w:r>
    </w:p>
    <w:p w14:paraId="20DE2A1A" w14:textId="77777777" w:rsidR="008F06C6" w:rsidRPr="008F06C6" w:rsidRDefault="008F06C6" w:rsidP="008F06C6">
      <w:r w:rsidRPr="008F06C6">
        <w:t>Vsako leto poteka tritedenska kolesarska Dirka po Franciji (</w:t>
      </w:r>
      <w:proofErr w:type="spellStart"/>
      <w:r w:rsidRPr="008F06C6">
        <w:t>Tour</w:t>
      </w:r>
      <w:proofErr w:type="spellEnd"/>
      <w:r w:rsidRPr="008F06C6">
        <w:t xml:space="preserve"> de France), ki se odvija v mesecu juliju in se praviloma začne s tremi etapami v posameznem mestu ali regiji ali tuji državi – </w:t>
      </w:r>
      <w:proofErr w:type="spellStart"/>
      <w:r w:rsidRPr="008F06C6">
        <w:t>t.i</w:t>
      </w:r>
      <w:proofErr w:type="spellEnd"/>
      <w:r w:rsidRPr="008F06C6">
        <w:t xml:space="preserve">. veliki start oziroma Grand </w:t>
      </w:r>
      <w:proofErr w:type="spellStart"/>
      <w:r w:rsidRPr="008F06C6">
        <w:t>Départ</w:t>
      </w:r>
      <w:proofErr w:type="spellEnd"/>
      <w:r w:rsidRPr="008F06C6">
        <w:t xml:space="preserve">. Slovenija ima možnost sodelovanja kot gostiteljica Grand </w:t>
      </w:r>
      <w:proofErr w:type="spellStart"/>
      <w:r w:rsidRPr="008F06C6">
        <w:t>Départ</w:t>
      </w:r>
      <w:proofErr w:type="spellEnd"/>
      <w:r w:rsidRPr="008F06C6">
        <w:t xml:space="preserve"> leta 2029 oz. 2031. </w:t>
      </w:r>
    </w:p>
    <w:p w14:paraId="0601DCE0" w14:textId="77777777" w:rsidR="008F06C6" w:rsidRPr="008F06C6" w:rsidRDefault="008F06C6" w:rsidP="008F06C6">
      <w:r w:rsidRPr="008F06C6">
        <w:t xml:space="preserve">Grand </w:t>
      </w:r>
      <w:proofErr w:type="spellStart"/>
      <w:r w:rsidRPr="008F06C6">
        <w:t>Départ</w:t>
      </w:r>
      <w:proofErr w:type="spellEnd"/>
      <w:r w:rsidRPr="008F06C6">
        <w:t xml:space="preserve"> je bil izven Francije prvič izveden leta 1954 v Amsterdamu na Nizozemskem. Od takrat se je dirka izven Francije začela 26-krat, od tega v 11 različnih državah. Leta 2026 se bo dirka začela v Barceloni, za 2027 je dogovorjeno gostovanje v Veliki Britaniji. </w:t>
      </w:r>
    </w:p>
    <w:p w14:paraId="10831E0C" w14:textId="77777777" w:rsidR="008F06C6" w:rsidRPr="008F06C6" w:rsidRDefault="008F06C6" w:rsidP="008F06C6">
      <w:r w:rsidRPr="008F06C6">
        <w:t xml:space="preserve">Republika Slovenija je v zadnjih letih postala ena vodilnih evropskih in svetovnih kolesarskih držav. Z izjemnimi uspehi naših kolesarjev v preteklih letih (Tadej Pogačar, Primož Roglič, Matej Mohorič, itd.) se je nakazala možnost za dodelitev organizacije izvedbe dogodka </w:t>
      </w:r>
      <w:proofErr w:type="spellStart"/>
      <w:r w:rsidRPr="008F06C6">
        <w:t>Tour</w:t>
      </w:r>
      <w:proofErr w:type="spellEnd"/>
      <w:r w:rsidRPr="008F06C6">
        <w:t xml:space="preserve"> de France - Grand </w:t>
      </w:r>
      <w:proofErr w:type="spellStart"/>
      <w:r w:rsidRPr="008F06C6">
        <w:t>Départ</w:t>
      </w:r>
      <w:proofErr w:type="spellEnd"/>
      <w:r w:rsidRPr="008F06C6">
        <w:t xml:space="preserve"> v Republiki Sloveniji, v letu 2029 oziroma 2031. </w:t>
      </w:r>
    </w:p>
    <w:p w14:paraId="11246D55" w14:textId="77777777" w:rsidR="008F06C6" w:rsidRPr="008F06C6" w:rsidRDefault="008F06C6" w:rsidP="008F06C6">
      <w:r w:rsidRPr="008F06C6">
        <w:t xml:space="preserve">Dirka velja za enega najbolj prepoznanih športnih dogodkov na svetu, ki ga prenaša približno 190 držav sveta, celotno dirko v živo ob trasi pa spremlja od 10 do 12 milijonov ljudi, na slovitih vzponih tudi do pol milijona, kar vse bo nedvomno imelo tudi izjemen vpliv na turizem in prepoznavnost Slovenije v svetu. </w:t>
      </w:r>
    </w:p>
    <w:p w14:paraId="3D83077B" w14:textId="77777777" w:rsidR="008F06C6" w:rsidRPr="008F06C6" w:rsidRDefault="008F06C6" w:rsidP="008F06C6">
      <w:r w:rsidRPr="008F06C6">
        <w:t xml:space="preserve">Slovenija se v tujini predstavlja kot aktivna država, ki na športnem področju dosega presežke, ima dobro športno infrastrukturo in je odlična organizatorka velikih športnih prireditev. Smo v samem vrhu po številu olimpijskih medalj na prebivalca, slovenski športniki so prvi ambasadorji naše države. Vrhunske športne rezultate dosegamo v skupinskih in individualnih športih v različnih panogah. Prav tako se je Slovenija že izkazala kot izjemna gostiteljica velikih športnih tekmovanj, ki so Sloveniji prinesla številne multiplikativne učinke in povečala ugled ter prepoznavnost naše države v svetu. </w:t>
      </w:r>
    </w:p>
    <w:p w14:paraId="66C2DCF6" w14:textId="77777777" w:rsidR="008F06C6" w:rsidRPr="008F06C6" w:rsidRDefault="008F06C6" w:rsidP="008F06C6">
      <w:r w:rsidRPr="008F06C6">
        <w:t xml:space="preserve">Organizacija Grand </w:t>
      </w:r>
      <w:proofErr w:type="spellStart"/>
      <w:r w:rsidRPr="008F06C6">
        <w:t>Départ</w:t>
      </w:r>
      <w:proofErr w:type="spellEnd"/>
      <w:r w:rsidRPr="008F06C6">
        <w:t xml:space="preserve"> v Sloveniji bi naši državi prinesla pozitivne učinke na gospodarskem, promocijskem in družbenem področju. Države, ki so ta dogodek že gostile, navajajo številne pozitivne učinke. Kot primer lahko navedemo Grand </w:t>
      </w:r>
      <w:proofErr w:type="spellStart"/>
      <w:r w:rsidRPr="008F06C6">
        <w:t>Départ</w:t>
      </w:r>
      <w:proofErr w:type="spellEnd"/>
      <w:r w:rsidRPr="008F06C6">
        <w:t xml:space="preserve"> v Belgiji (Bruselj, 2019), ki je prinesel več kot 60 milijonov evrov neposredne gospodarske koristi, pri čemer podatek ne vključuje dolgoročnih koristi zaradi turizma in promocije države. </w:t>
      </w:r>
    </w:p>
    <w:p w14:paraId="5CA3BD0E" w14:textId="77777777" w:rsidR="008F06C6" w:rsidRPr="008F06C6" w:rsidRDefault="008F06C6" w:rsidP="008F06C6">
      <w:r w:rsidRPr="008F06C6">
        <w:t xml:space="preserve">Z organizacijo A.S.O., ki skrbi za izvedbo </w:t>
      </w:r>
      <w:proofErr w:type="spellStart"/>
      <w:r w:rsidRPr="008F06C6">
        <w:t>Tour</w:t>
      </w:r>
      <w:proofErr w:type="spellEnd"/>
      <w:r w:rsidRPr="008F06C6">
        <w:t xml:space="preserve"> de France, so že bili opravljeni prvi pogovori, na katerih so njeni vodilni predstavniki podali informacije o poteku postopka oddaje vloge za organizacijo Grand </w:t>
      </w:r>
      <w:proofErr w:type="spellStart"/>
      <w:r w:rsidRPr="008F06C6">
        <w:t>Départ</w:t>
      </w:r>
      <w:proofErr w:type="spellEnd"/>
      <w:r w:rsidRPr="008F06C6">
        <w:t xml:space="preserve">-a. Prvi korak je oddaja pisma o nameri, s katerim se začne postopek za pripravo vloge. </w:t>
      </w:r>
    </w:p>
    <w:p w14:paraId="56DA1BBE" w14:textId="6A0F70CD" w:rsidR="008F06C6" w:rsidRPr="008F06C6" w:rsidRDefault="008F06C6" w:rsidP="008F06C6">
      <w:r w:rsidRPr="008F06C6">
        <w:t xml:space="preserve">Po oddaji pisma o nameri se bodo začeli tehnični pogovori z A.S.O., na katerih bodo predstavili tehnične zahteve, ki bodo omogočale pripravo končne vloge za kandidaturo, ki bo zajemala tehnične informacije, logistiko, varnost in skupni finančni znesek. Za ta namen bo ustanovljena tudi Vladna delovna skupina. </w:t>
      </w:r>
    </w:p>
    <w:p w14:paraId="45FA63BE" w14:textId="6D67653A" w:rsidR="00211E48" w:rsidRPr="008F06C6" w:rsidRDefault="008F06C6" w:rsidP="008F06C6">
      <w:pPr>
        <w:pStyle w:val="Vir"/>
      </w:pPr>
      <w:r w:rsidRPr="008F06C6">
        <w:t>Vir: Kabinet predsednika vlade</w:t>
      </w:r>
    </w:p>
    <w:p w14:paraId="435D9F48" w14:textId="5CFDFF36" w:rsidR="00BC04B8" w:rsidRPr="00BC04B8" w:rsidRDefault="00BC04B8" w:rsidP="00BC04B8">
      <w:pPr>
        <w:pStyle w:val="Naslov2"/>
      </w:pPr>
      <w:r w:rsidRPr="00BC04B8">
        <w:lastRenderedPageBreak/>
        <w:t>Zagotovljena dodatna sredstva za izvedbo projekta Evropska prestolnica kulture 2025 v Novi Gorici</w:t>
      </w:r>
    </w:p>
    <w:p w14:paraId="79B45575" w14:textId="1C86AA29" w:rsidR="00BC04B8" w:rsidRPr="00BC04B8" w:rsidRDefault="00BC04B8" w:rsidP="00BC04B8">
      <w:r w:rsidRPr="00BC04B8">
        <w:t xml:space="preserve">Vlada je na današnji seji ugotovila javni interes države, da se Mestni občini Nova Gorica za izvedbo projekta Evropska prestolnica kulture 2025 (EPK) zagotovijo dodatna sredstva v višini 1.275.000 evrov. Sredstva bodo namenjena delovanju Javnega zavoda GO! 2025 - Evropska prestolnica kulture, Nova Gorica, ki izvaja program EPK in skrbi za njegovo uresničevanje v skladu z evropskimi smernicami in potrjeno prijavno knjigo GO! </w:t>
      </w:r>
      <w:proofErr w:type="spellStart"/>
      <w:r w:rsidRPr="00BC04B8">
        <w:t>Borderless</w:t>
      </w:r>
      <w:proofErr w:type="spellEnd"/>
      <w:r w:rsidRPr="00BC04B8">
        <w:t>.</w:t>
      </w:r>
    </w:p>
    <w:p w14:paraId="163F7493" w14:textId="77777777" w:rsidR="00BC04B8" w:rsidRPr="00BC04B8" w:rsidRDefault="00BC04B8" w:rsidP="00BC04B8">
      <w:r w:rsidRPr="00BC04B8">
        <w:t xml:space="preserve">Zavod GO! 2025 je bil ustanovljen za profesionalno izvajanje programskih in razvojnih dejavnosti projekta EPK, ki so usmerjene v dolgoročne učinke za lokalno in nacionalno skupnost ter v mednarodno prepoznavnost Slovenije. Projekt Nova Gorica – </w:t>
      </w:r>
      <w:proofErr w:type="spellStart"/>
      <w:r w:rsidRPr="00BC04B8">
        <w:t>Gorizia</w:t>
      </w:r>
      <w:proofErr w:type="spellEnd"/>
      <w:r w:rsidRPr="00BC04B8">
        <w:t xml:space="preserve"> je bil izbran kot nosilec naziva Evropska prestolnica kulture 2025 s strani Evropske komisije decembra 2020. Cilji pobude so povezovanje evropskih kultur, krepitev občutka skupnega kulturnega prostora in dolgoročen razvoj mest skozi kulturo.</w:t>
      </w:r>
    </w:p>
    <w:p w14:paraId="1B67E3AD" w14:textId="77777777" w:rsidR="00BC04B8" w:rsidRPr="00BC04B8" w:rsidRDefault="00BC04B8" w:rsidP="00BC04B8">
      <w:r w:rsidRPr="00BC04B8">
        <w:t>Evropska komisija je v Poročilu o napredku (maj 2023) izpostavila potrebo po dodatnih finančnih sredstvih za uspešno izvedbo vseh načrtovanih vsebin projekta. Vlada RS je zato že v preteklih dveh letih zagotovila dodatna sredstva: 3 milijone evrov za leto 2024 in 1,5 milijona evrov za leto 2025, z današnjim sklepom pa še dodatnih 1,275 milijona evrov, kar skupaj pomeni skoraj 6 milijonov evrov dodatne podpore.</w:t>
      </w:r>
    </w:p>
    <w:p w14:paraId="7B962721" w14:textId="77777777" w:rsidR="00BC04B8" w:rsidRPr="00BC04B8" w:rsidRDefault="00BC04B8" w:rsidP="00BC04B8">
      <w:r w:rsidRPr="00BC04B8">
        <w:t>Dodatna sredstva bodo omogočila strokovno in kakovostno izvedbo programov iz prijavne knjige, sodelovanje z nevladnimi organizacijami in čezmejnimi partnerji iz Furlanije - Julijske krajine ter uspešno mednarodno promocijo slovenskega kulturnega ustvarjanja.</w:t>
      </w:r>
    </w:p>
    <w:p w14:paraId="4A682189" w14:textId="77777777" w:rsidR="00BC04B8" w:rsidRPr="00BC04B8" w:rsidRDefault="00BC04B8" w:rsidP="00BC04B8">
      <w:r w:rsidRPr="00BC04B8">
        <w:t xml:space="preserve">Poleg tega je Ministrstvo za kulturo že zagotovilo dodatnih 1 milijon evrov iz svojega proračuna za delovanje Javnega zavoda GO! 2025 v letu 2025 ter skupaj z Ministrstvom za gospodarstvo, turizem in šport zagotovilo še 275.000 evrov za so-promocijo projekta v okviru čezmejnega športno-kulturnega sodelovanja, povezanega z dogodkom </w:t>
      </w:r>
      <w:proofErr w:type="spellStart"/>
      <w:r w:rsidRPr="00BC04B8">
        <w:t>Giro</w:t>
      </w:r>
      <w:proofErr w:type="spellEnd"/>
      <w:r w:rsidRPr="00BC04B8">
        <w:t xml:space="preserve"> </w:t>
      </w:r>
      <w:proofErr w:type="spellStart"/>
      <w:r w:rsidRPr="00BC04B8">
        <w:t>d’Italia</w:t>
      </w:r>
      <w:proofErr w:type="spellEnd"/>
      <w:r w:rsidRPr="00BC04B8">
        <w:t>.</w:t>
      </w:r>
    </w:p>
    <w:p w14:paraId="17DB6B0D" w14:textId="77777777" w:rsidR="00BC04B8" w:rsidRPr="00BC04B8" w:rsidRDefault="00BC04B8" w:rsidP="00BC04B8">
      <w:r w:rsidRPr="00BC04B8">
        <w:t>Na podlagi današnje odločitve bosta ministrica za kulturo in župan Mestne občine Nova Gorica sklenila dodatek k obstoječi pogodbi o sofinanciranju, s katerim se bo določila višina sredstev in obseg obveznosti občine za leto 2025.</w:t>
      </w:r>
    </w:p>
    <w:p w14:paraId="12C02C91" w14:textId="32C3FC33" w:rsidR="00BC04B8" w:rsidRDefault="00BC04B8" w:rsidP="00BC04B8">
      <w:r w:rsidRPr="00BC04B8">
        <w:t>Z odločitvijo o dodatni podpori projektni ekipi GO! 2025 Vlada RS potrjuje, da projekt Evropska prestolnica kulture ni le regijskega, temveč nacionalnega pomena, in da kultura predstavlja ključni razvojni dejavnik, ki povezuje lokalno ustvarjalnost z evropskim in svetovnim prostorom.</w:t>
      </w:r>
    </w:p>
    <w:p w14:paraId="349D84C0" w14:textId="23AF0ADB" w:rsidR="000E08CA" w:rsidRPr="00BC04B8" w:rsidRDefault="00BC04B8" w:rsidP="00BC04B8">
      <w:pPr>
        <w:pStyle w:val="Vir"/>
      </w:pPr>
      <w:r w:rsidRPr="00BC04B8">
        <w:t>Vir: Ministrstvo za kulturo</w:t>
      </w:r>
    </w:p>
    <w:p w14:paraId="027713BE" w14:textId="75848DC9" w:rsidR="00E97856" w:rsidRPr="00E97856" w:rsidRDefault="00E97856" w:rsidP="00E97856">
      <w:pPr>
        <w:pStyle w:val="Naslov2"/>
      </w:pPr>
      <w:r w:rsidRPr="00E97856">
        <w:t>Vlada imenovala Tomaža Pečnika za generalnega direktorja Direktorata za letalski in pomorski promet v Ministrstvu za infrastrukturo</w:t>
      </w:r>
    </w:p>
    <w:p w14:paraId="2D3D1453" w14:textId="77777777" w:rsidR="00E97856" w:rsidRPr="00E97856" w:rsidRDefault="00E97856" w:rsidP="00E97856">
      <w:r w:rsidRPr="00E97856">
        <w:t>Vlada Republike Slovenije je imenovala Tomaža Pečnika za generalnega direktorja Direktorata za letalski in pomorski promet v Ministrstvu za infrastrukturo za mandatno dobo petih let, in sicer od 23. 7. 2025 do 22. 7. 2030, z možnostjo ponovnega imenovanja.</w:t>
      </w:r>
    </w:p>
    <w:p w14:paraId="1B4185C1" w14:textId="77777777" w:rsidR="00E97856" w:rsidRPr="00E97856" w:rsidRDefault="00E97856" w:rsidP="00E97856"/>
    <w:p w14:paraId="29D487A1" w14:textId="40773717" w:rsidR="00E97856" w:rsidRPr="00E97856" w:rsidRDefault="00E97856" w:rsidP="00E97856">
      <w:r w:rsidRPr="00E97856">
        <w:t>Tomaž Pečnik je opravljal funkcijo vršilca dolžnosti generalnega direktorja Direktorata za letalski in pomorski promet v Ministrstvu za infrastrukturo od januarja 2025. Pred tem je bil pomočnik direktorja za logistično operativo PE  logistični center, BTC, d. d., v različnih gospodarskih družbah pa je bil vodja operative, vodja proizvodnih procesov, tehnični koordinator letal, vodja oddelka operativnega vzdrževanja letal ter pomočnik izvršnega direktorja sektorja vzdrževanja letal. Po izobrazbi je magister poslovnih ved, diplomirani ekonomist, inženir gradbeništva ter strojni tehnik ter imetnik licence za vzdrževanje zrakoplovov EASA Del-66.</w:t>
      </w:r>
    </w:p>
    <w:p w14:paraId="3C0E718F" w14:textId="74743E72" w:rsidR="000E08CA" w:rsidRPr="003B5031" w:rsidRDefault="00E97856" w:rsidP="003B5031">
      <w:pPr>
        <w:pStyle w:val="Vir"/>
      </w:pPr>
      <w:r w:rsidRPr="00E97856">
        <w:t>Vir: Ministrstvo za infrastrukturo</w:t>
      </w:r>
    </w:p>
    <w:p w14:paraId="6742688B" w14:textId="3C3C30F7" w:rsidR="003B5031" w:rsidRPr="003B5031" w:rsidRDefault="003B5031" w:rsidP="003B5031">
      <w:pPr>
        <w:pStyle w:val="Naslov2"/>
      </w:pPr>
      <w:r w:rsidRPr="003B5031">
        <w:lastRenderedPageBreak/>
        <w:t xml:space="preserve">Imenovanje Iztoka Jarca za vršilca dolžnosti generalnega direktorja Direktorata za evropske zadeve </w:t>
      </w:r>
    </w:p>
    <w:p w14:paraId="79B18099" w14:textId="119F3A62" w:rsidR="003B5031" w:rsidRPr="003B5031" w:rsidRDefault="003B5031" w:rsidP="003B5031">
      <w:r w:rsidRPr="003B5031">
        <w:t xml:space="preserve">Vlada Republike Slovenije je izdala odločbo o razrešitvi mag. </w:t>
      </w:r>
      <w:proofErr w:type="spellStart"/>
      <w:r w:rsidRPr="003B5031">
        <w:t>Anžeja</w:t>
      </w:r>
      <w:proofErr w:type="spellEnd"/>
      <w:r w:rsidRPr="003B5031">
        <w:t xml:space="preserve"> Frangeša s položaja</w:t>
      </w:r>
      <w:r w:rsidR="00CD7DC9">
        <w:t xml:space="preserve"> </w:t>
      </w:r>
      <w:r w:rsidRPr="003B5031">
        <w:t>generalnega direktorja Direktorata za evropske zadeve v Ministrstvu za zunanje in evropske zadeve in sklep, da se na to mesto imenuje Iztoka Jarca za vršilca dolžnosti generalnega direktorja Direktorata za evropske zadeve.</w:t>
      </w:r>
    </w:p>
    <w:p w14:paraId="299F6133" w14:textId="77777777" w:rsidR="003B5031" w:rsidRPr="003B5031" w:rsidRDefault="003B5031" w:rsidP="003B5031">
      <w:r w:rsidRPr="003B5031">
        <w:t>Jarca se imenuje od imenovanja novega generalnega direktorja, vendar največ za šest mesecev, to je najdlje do 12. 2. 2026.</w:t>
      </w:r>
    </w:p>
    <w:p w14:paraId="2FD386EE" w14:textId="04648A87" w:rsidR="003B5031" w:rsidRPr="003B5031" w:rsidRDefault="003B5031" w:rsidP="003B5031">
      <w:r w:rsidRPr="003B5031">
        <w:t xml:space="preserve">Mag. </w:t>
      </w:r>
      <w:proofErr w:type="spellStart"/>
      <w:r w:rsidRPr="003B5031">
        <w:t>Anžej</w:t>
      </w:r>
      <w:proofErr w:type="spellEnd"/>
      <w:r w:rsidRPr="003B5031">
        <w:t xml:space="preserve"> Frangeš bo razporejen na delovno mesto vodje diplomatskega predstavništva v Budimpešti in soglaša z razrešitvijo s položaja generalnega direktorja.</w:t>
      </w:r>
    </w:p>
    <w:p w14:paraId="7ACAE760" w14:textId="7B6319D0" w:rsidR="000E08CA" w:rsidRPr="003B5031" w:rsidRDefault="003B5031" w:rsidP="003B5031">
      <w:pPr>
        <w:pStyle w:val="Vir"/>
      </w:pPr>
      <w:r w:rsidRPr="003B5031">
        <w:t>Vir: Ministrstvo za zunanje in evropske zadeve</w:t>
      </w:r>
    </w:p>
    <w:p w14:paraId="75FB6A31" w14:textId="54119571" w:rsidR="00924321" w:rsidRPr="00924321" w:rsidRDefault="00924321" w:rsidP="00971F78">
      <w:pPr>
        <w:pStyle w:val="Naslov2"/>
      </w:pPr>
      <w:r w:rsidRPr="00924321">
        <w:t>Vlada na Ministrstvu za obrambo imenovala vršilca dolžnosti dveh direktoratov</w:t>
      </w:r>
    </w:p>
    <w:p w14:paraId="4925CDA4" w14:textId="7285137A" w:rsidR="00924321" w:rsidRPr="00924321" w:rsidRDefault="00924321" w:rsidP="00924321">
      <w:r w:rsidRPr="00924321">
        <w:t xml:space="preserve">Vlada je izdala odločbi o imenovanju Mateje </w:t>
      </w:r>
      <w:proofErr w:type="spellStart"/>
      <w:r w:rsidRPr="00924321">
        <w:t>Rokvič</w:t>
      </w:r>
      <w:proofErr w:type="spellEnd"/>
      <w:r w:rsidRPr="00924321">
        <w:t xml:space="preserve"> za vršilko dolžnosti generalnega direktorja Direktorata za obrambne zadeve ter o imenovanju mag. Aljoše Selana za vršilca dolžnosti generalnega direktorja Direktorata za obrambno politiko na Ministrstvu za obrambo. Vršilca dolžnosti bosta na položaju do imenovanja novih generalnih direktorjev, vendar največ za šest mesecev oziroma do konca januarja 2026.</w:t>
      </w:r>
    </w:p>
    <w:p w14:paraId="4A4EDF86" w14:textId="77777777" w:rsidR="00924321" w:rsidRPr="00924321" w:rsidRDefault="00924321" w:rsidP="00924321"/>
    <w:p w14:paraId="2C7F8109" w14:textId="0CE1C55B" w:rsidR="00924321" w:rsidRPr="00924321" w:rsidRDefault="00924321" w:rsidP="00924321">
      <w:r w:rsidRPr="00924321">
        <w:t xml:space="preserve">Posebna javna natečaja za položaj generalnega direktorja Direktorata za obrambne zadeve in za položaj generalnega direktorja Direktorata za obrambno politiko na Ministrstvu za obrambo sicer že potekata. </w:t>
      </w:r>
    </w:p>
    <w:p w14:paraId="7AEE5A7A" w14:textId="42B43606" w:rsidR="000E08CA" w:rsidRPr="00924321" w:rsidRDefault="00924321" w:rsidP="00D21990">
      <w:pPr>
        <w:pStyle w:val="Vir"/>
      </w:pPr>
      <w:r w:rsidRPr="00924321">
        <w:t>Vir: Ministrstvo za obrambo</w:t>
      </w:r>
    </w:p>
    <w:p w14:paraId="56287DF9" w14:textId="40D4ED06" w:rsidR="001F461A" w:rsidRPr="001F461A" w:rsidRDefault="001F461A" w:rsidP="001F461A">
      <w:pPr>
        <w:pStyle w:val="Naslov2"/>
      </w:pPr>
      <w:r w:rsidRPr="001F461A">
        <w:t xml:space="preserve">Vlada imenovala Nino </w:t>
      </w:r>
      <w:proofErr w:type="spellStart"/>
      <w:r w:rsidRPr="001F461A">
        <w:t>Mauhler</w:t>
      </w:r>
      <w:proofErr w:type="spellEnd"/>
      <w:r w:rsidRPr="001F461A">
        <w:t xml:space="preserve"> za direktorico Javne agencije za železniški promet Republike Slovenije</w:t>
      </w:r>
    </w:p>
    <w:p w14:paraId="52EA3027" w14:textId="77777777" w:rsidR="001F461A" w:rsidRPr="001F461A" w:rsidRDefault="001F461A" w:rsidP="001F461A">
      <w:r w:rsidRPr="001F461A">
        <w:t xml:space="preserve">Vlada Republike Slovenije je imenovala Nino </w:t>
      </w:r>
      <w:proofErr w:type="spellStart"/>
      <w:r w:rsidRPr="001F461A">
        <w:t>Mauhler</w:t>
      </w:r>
      <w:proofErr w:type="spellEnd"/>
      <w:r w:rsidRPr="001F461A">
        <w:t xml:space="preserve"> za direktorico Javne agencije za železniški promet Republike Slovenije za mandatno dobo petih let in sicer od 1. 10. 2025 do 30. 9. 2030, z možnostjo ponovnega imenovanja. Svet Javne agencije za železniški promet Republike Slovenije je na podlagi izvedenega javnega natečaja sprejel sklep, da se Vladi RS predlaga imenovanje Nine </w:t>
      </w:r>
      <w:proofErr w:type="spellStart"/>
      <w:r w:rsidRPr="001F461A">
        <w:t>Mauhler</w:t>
      </w:r>
      <w:proofErr w:type="spellEnd"/>
      <w:r w:rsidRPr="001F461A">
        <w:t>.</w:t>
      </w:r>
    </w:p>
    <w:p w14:paraId="7D46186A" w14:textId="77777777" w:rsidR="001F461A" w:rsidRPr="001F461A" w:rsidRDefault="001F461A" w:rsidP="001F461A"/>
    <w:p w14:paraId="3F49C897" w14:textId="419A97BE" w:rsidR="001F461A" w:rsidRPr="001F461A" w:rsidRDefault="001F461A" w:rsidP="001F461A">
      <w:r w:rsidRPr="001F461A">
        <w:t xml:space="preserve">Nina </w:t>
      </w:r>
      <w:proofErr w:type="spellStart"/>
      <w:r w:rsidRPr="001F461A">
        <w:t>Mauhler</w:t>
      </w:r>
      <w:proofErr w:type="spellEnd"/>
      <w:r w:rsidRPr="001F461A">
        <w:t xml:space="preserve"> je magistrica ekonomskih in poslovnih ved. Pred imenovanjem je opravljala več vodstvenih funkcij, med drugim je bila državna sekretarka na Ministrstvu za infrastrukturo, generalna direktorica Direktorata za železnice in žičnice na Ministrstvu za infrastrukturo, svetovalka generalnega direktorja Slovenskih železnic d. o. o., v. d. članice uprave DRI upravljanje investicij, Družba za razvoj infrastrukture, d. o. o., poslovna direktorica podjetja RUNE ENIA ter generalna direktorica podjetja HTZ IP d. o. o.. </w:t>
      </w:r>
    </w:p>
    <w:p w14:paraId="0F5D3CA6" w14:textId="29A4F670" w:rsidR="001F461A" w:rsidRPr="001F461A" w:rsidRDefault="001F461A" w:rsidP="007E6050">
      <w:pPr>
        <w:pStyle w:val="Vir"/>
      </w:pPr>
      <w:r w:rsidRPr="001F461A">
        <w:t>Vir: Ministrstvo za infrastrukturo</w:t>
      </w:r>
    </w:p>
    <w:p w14:paraId="2577DCA9" w14:textId="7A9930B5" w:rsidR="007E6050" w:rsidRPr="007E6050" w:rsidRDefault="007E6050" w:rsidP="007E6050">
      <w:pPr>
        <w:pStyle w:val="Naslov2"/>
      </w:pPr>
      <w:r w:rsidRPr="007E6050">
        <w:t>Vlada razrešila Mileno Pečovnik z mesta zastopnice pacientovih pravic</w:t>
      </w:r>
    </w:p>
    <w:p w14:paraId="38199161" w14:textId="221F6651" w:rsidR="007E6050" w:rsidRPr="007E6050" w:rsidRDefault="007E6050" w:rsidP="007E6050">
      <w:r w:rsidRPr="007E6050">
        <w:t>Vlada Republike Slovenije je izdala odločbo o razrešitvi mag. Milene Pečovnik z mesta zastopnice pacientovih pravic za območje območne enote Nacionalnega inštituta za javno zdravje Ravne na Koroškem. Pečovnik je namreč 20. maja 2025 podala odstopno izjavo.</w:t>
      </w:r>
    </w:p>
    <w:p w14:paraId="0955DDC3" w14:textId="4598FC44" w:rsidR="000E08CA" w:rsidRPr="00AD7901" w:rsidRDefault="007E6050" w:rsidP="00AD7901">
      <w:pPr>
        <w:pStyle w:val="Vir"/>
      </w:pPr>
      <w:r w:rsidRPr="007E6050">
        <w:t>Vir: Ministrstvo za zdravje</w:t>
      </w:r>
    </w:p>
    <w:p w14:paraId="33A8575C" w14:textId="62839313" w:rsidR="00AD7901" w:rsidRPr="00AD7901" w:rsidRDefault="00AD7901" w:rsidP="00AD7901">
      <w:pPr>
        <w:pStyle w:val="Naslov2"/>
      </w:pPr>
      <w:r w:rsidRPr="00AD7901">
        <w:lastRenderedPageBreak/>
        <w:t>Imenovanje v naziv veleposlanik I</w:t>
      </w:r>
    </w:p>
    <w:p w14:paraId="6B0DD19F" w14:textId="6BBF922C" w:rsidR="00AD7901" w:rsidRPr="00AD7901" w:rsidRDefault="00AD7901" w:rsidP="00AD7901">
      <w:r w:rsidRPr="00AD7901">
        <w:t>Vlada Republike Slovenije je izdala odločbo, s katero se Iztok Jarc, zaradi premestitve na zahtevnejše delovno mesto, z dnem 1. 8. 2025 imenuje v diplomatski naziv prve stopnje: veleposlanik I.</w:t>
      </w:r>
    </w:p>
    <w:p w14:paraId="4DE3B69D" w14:textId="2E66F962" w:rsidR="000E08CA" w:rsidRPr="00AD7901" w:rsidRDefault="00AD7901" w:rsidP="00AD7901">
      <w:pPr>
        <w:pStyle w:val="Vir"/>
      </w:pPr>
      <w:r w:rsidRPr="00AD7901">
        <w:t>Vir: Ministrstvo za zunanje in evropske zadeve</w:t>
      </w:r>
    </w:p>
    <w:p w14:paraId="74FF843C" w14:textId="77777777" w:rsidR="005B40C2" w:rsidRPr="005B40C2" w:rsidRDefault="005B40C2" w:rsidP="005B40C2">
      <w:pPr>
        <w:pStyle w:val="Naslov2"/>
      </w:pPr>
      <w:r w:rsidRPr="005B40C2">
        <w:t>Razrešitev državnega sekretarja in imenovanje nove državne sekretarke</w:t>
      </w:r>
    </w:p>
    <w:p w14:paraId="0980E9FC" w14:textId="02CA45BF" w:rsidR="005B40C2" w:rsidRPr="005B40C2" w:rsidRDefault="005B40C2" w:rsidP="005B40C2">
      <w:r w:rsidRPr="005B40C2">
        <w:t>Vlada Republike Slovenije je izdala odločbo o razrešitvi mag. Marka Štucina s funkcije državnega sekretarja v ministrstvu za zunanje in evropske zadeve in izdala odločbo o imenovanju Neve Grašič za državno sekretarko z 31. julijem 2025.</w:t>
      </w:r>
    </w:p>
    <w:p w14:paraId="4882731F" w14:textId="2F03C4AB" w:rsidR="005B40C2" w:rsidRDefault="005B40C2" w:rsidP="005B40C2">
      <w:r w:rsidRPr="005B40C2">
        <w:t>Ministrica za zunanje in evropske zadeve je razrešitev Štucina predlagala zaradi opravljanja novih delovnih dolžnosti.</w:t>
      </w:r>
    </w:p>
    <w:p w14:paraId="754E4C92" w14:textId="19AE2307" w:rsidR="005B40C2" w:rsidRPr="005B40C2" w:rsidRDefault="005B40C2" w:rsidP="005B40C2">
      <w:pPr>
        <w:pStyle w:val="Vir"/>
      </w:pPr>
      <w:r w:rsidRPr="005B40C2">
        <w:t>Vir: Ministrstvo za zunanje in evropske zadeve</w:t>
      </w:r>
    </w:p>
    <w:p w14:paraId="51989551" w14:textId="77777777" w:rsidR="005B40C2" w:rsidRPr="00D9670A" w:rsidRDefault="005B40C2" w:rsidP="00E45D1D">
      <w:pPr>
        <w:rPr>
          <w:color w:val="FF0000"/>
        </w:rPr>
      </w:pPr>
    </w:p>
    <w:sectPr w:rsidR="005B40C2" w:rsidRPr="00D9670A"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950"/>
    <w:multiLevelType w:val="multilevel"/>
    <w:tmpl w:val="D610A5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F82748"/>
    <w:multiLevelType w:val="hybridMultilevel"/>
    <w:tmpl w:val="9C6C7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A619C8"/>
    <w:multiLevelType w:val="hybridMultilevel"/>
    <w:tmpl w:val="2C40235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AF77E7"/>
    <w:multiLevelType w:val="hybridMultilevel"/>
    <w:tmpl w:val="EEAC01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8557BA"/>
    <w:multiLevelType w:val="hybridMultilevel"/>
    <w:tmpl w:val="D8EC6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F4295D"/>
    <w:multiLevelType w:val="hybridMultilevel"/>
    <w:tmpl w:val="8D18557E"/>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244675"/>
    <w:multiLevelType w:val="hybridMultilevel"/>
    <w:tmpl w:val="59B864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754367"/>
    <w:multiLevelType w:val="hybridMultilevel"/>
    <w:tmpl w:val="1FCA0EDC"/>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1E7377"/>
    <w:multiLevelType w:val="hybridMultilevel"/>
    <w:tmpl w:val="B262D25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59D1852"/>
    <w:multiLevelType w:val="hybridMultilevel"/>
    <w:tmpl w:val="32566874"/>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C10881"/>
    <w:multiLevelType w:val="hybridMultilevel"/>
    <w:tmpl w:val="580655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FB360A"/>
    <w:multiLevelType w:val="hybridMultilevel"/>
    <w:tmpl w:val="A19437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DD5D1F"/>
    <w:multiLevelType w:val="hybridMultilevel"/>
    <w:tmpl w:val="0A14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09E3E4F"/>
    <w:multiLevelType w:val="multilevel"/>
    <w:tmpl w:val="3204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F47342"/>
    <w:multiLevelType w:val="hybridMultilevel"/>
    <w:tmpl w:val="3C3E81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591D7C"/>
    <w:multiLevelType w:val="hybridMultilevel"/>
    <w:tmpl w:val="C95C422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9D83594"/>
    <w:multiLevelType w:val="hybridMultilevel"/>
    <w:tmpl w:val="16A045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35279F"/>
    <w:multiLevelType w:val="hybridMultilevel"/>
    <w:tmpl w:val="619C3D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1B4734B"/>
    <w:multiLevelType w:val="hybridMultilevel"/>
    <w:tmpl w:val="7A2C68EA"/>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FC217C"/>
    <w:multiLevelType w:val="hybridMultilevel"/>
    <w:tmpl w:val="65749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EEF22D9"/>
    <w:multiLevelType w:val="hybridMultilevel"/>
    <w:tmpl w:val="553426D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C018D6"/>
    <w:multiLevelType w:val="hybridMultilevel"/>
    <w:tmpl w:val="6C6858DA"/>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7F29274C"/>
    <w:multiLevelType w:val="hybridMultilevel"/>
    <w:tmpl w:val="EFD8E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28"/>
  </w:num>
  <w:num w:numId="2" w16cid:durableId="984821814">
    <w:abstractNumId w:val="20"/>
  </w:num>
  <w:num w:numId="3" w16cid:durableId="150218247">
    <w:abstractNumId w:val="1"/>
  </w:num>
  <w:num w:numId="4" w16cid:durableId="1026903286">
    <w:abstractNumId w:val="22"/>
  </w:num>
  <w:num w:numId="5" w16cid:durableId="231817878">
    <w:abstractNumId w:val="11"/>
  </w:num>
  <w:num w:numId="6" w16cid:durableId="2110814889">
    <w:abstractNumId w:val="30"/>
  </w:num>
  <w:num w:numId="7" w16cid:durableId="695153758">
    <w:abstractNumId w:val="12"/>
  </w:num>
  <w:num w:numId="8" w16cid:durableId="853298866">
    <w:abstractNumId w:val="18"/>
  </w:num>
  <w:num w:numId="9" w16cid:durableId="1789348953">
    <w:abstractNumId w:val="10"/>
  </w:num>
  <w:num w:numId="10" w16cid:durableId="97021618">
    <w:abstractNumId w:val="26"/>
  </w:num>
  <w:num w:numId="11" w16cid:durableId="2008942213">
    <w:abstractNumId w:val="21"/>
  </w:num>
  <w:num w:numId="12" w16cid:durableId="928387069">
    <w:abstractNumId w:val="3"/>
  </w:num>
  <w:num w:numId="13" w16cid:durableId="845248613">
    <w:abstractNumId w:val="2"/>
  </w:num>
  <w:num w:numId="14" w16cid:durableId="803695375">
    <w:abstractNumId w:val="31"/>
  </w:num>
  <w:num w:numId="15" w16cid:durableId="1464273212">
    <w:abstractNumId w:val="27"/>
  </w:num>
  <w:num w:numId="16" w16cid:durableId="1302923749">
    <w:abstractNumId w:val="16"/>
  </w:num>
  <w:num w:numId="17" w16cid:durableId="1972395110">
    <w:abstractNumId w:val="7"/>
  </w:num>
  <w:num w:numId="18" w16cid:durableId="1255162543">
    <w:abstractNumId w:val="29"/>
  </w:num>
  <w:num w:numId="19" w16cid:durableId="1195539138">
    <w:abstractNumId w:val="13"/>
  </w:num>
  <w:num w:numId="20" w16cid:durableId="341126694">
    <w:abstractNumId w:val="8"/>
  </w:num>
  <w:num w:numId="21" w16cid:durableId="152383026">
    <w:abstractNumId w:val="25"/>
  </w:num>
  <w:num w:numId="22" w16cid:durableId="578248411">
    <w:abstractNumId w:val="23"/>
  </w:num>
  <w:num w:numId="23" w16cid:durableId="1443498838">
    <w:abstractNumId w:val="6"/>
  </w:num>
  <w:num w:numId="24" w16cid:durableId="1038705911">
    <w:abstractNumId w:val="9"/>
  </w:num>
  <w:num w:numId="25" w16cid:durableId="1009020718">
    <w:abstractNumId w:val="4"/>
  </w:num>
  <w:num w:numId="26" w16cid:durableId="484391991">
    <w:abstractNumId w:val="15"/>
  </w:num>
  <w:num w:numId="27" w16cid:durableId="810562967">
    <w:abstractNumId w:val="5"/>
  </w:num>
  <w:num w:numId="28" w16cid:durableId="1661735985">
    <w:abstractNumId w:val="19"/>
  </w:num>
  <w:num w:numId="29" w16cid:durableId="1203328894">
    <w:abstractNumId w:val="14"/>
  </w:num>
  <w:num w:numId="30" w16cid:durableId="1544711407">
    <w:abstractNumId w:val="24"/>
  </w:num>
  <w:num w:numId="31" w16cid:durableId="2117823098">
    <w:abstractNumId w:val="0"/>
  </w:num>
  <w:num w:numId="32" w16cid:durableId="16824649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07B3D"/>
    <w:rsid w:val="000161D4"/>
    <w:rsid w:val="000318E4"/>
    <w:rsid w:val="00037669"/>
    <w:rsid w:val="0004257E"/>
    <w:rsid w:val="00044FEC"/>
    <w:rsid w:val="00045211"/>
    <w:rsid w:val="000504BA"/>
    <w:rsid w:val="00050A56"/>
    <w:rsid w:val="0007595B"/>
    <w:rsid w:val="00076DF7"/>
    <w:rsid w:val="00085D04"/>
    <w:rsid w:val="00087069"/>
    <w:rsid w:val="00097A54"/>
    <w:rsid w:val="00097B85"/>
    <w:rsid w:val="000A69C0"/>
    <w:rsid w:val="000D354C"/>
    <w:rsid w:val="000D5520"/>
    <w:rsid w:val="000D5E8A"/>
    <w:rsid w:val="000E0657"/>
    <w:rsid w:val="000E08CA"/>
    <w:rsid w:val="000E795D"/>
    <w:rsid w:val="00106798"/>
    <w:rsid w:val="00110B8F"/>
    <w:rsid w:val="00114383"/>
    <w:rsid w:val="0013016C"/>
    <w:rsid w:val="001328B2"/>
    <w:rsid w:val="001567ED"/>
    <w:rsid w:val="001602C9"/>
    <w:rsid w:val="00164484"/>
    <w:rsid w:val="0016530C"/>
    <w:rsid w:val="001673A5"/>
    <w:rsid w:val="00173343"/>
    <w:rsid w:val="001B01DD"/>
    <w:rsid w:val="001B1ACB"/>
    <w:rsid w:val="001B42F9"/>
    <w:rsid w:val="001B5E62"/>
    <w:rsid w:val="001B7E2D"/>
    <w:rsid w:val="001C3560"/>
    <w:rsid w:val="001D0484"/>
    <w:rsid w:val="001D16A7"/>
    <w:rsid w:val="001F461A"/>
    <w:rsid w:val="001F51BC"/>
    <w:rsid w:val="001F5F76"/>
    <w:rsid w:val="001F6211"/>
    <w:rsid w:val="001F7F63"/>
    <w:rsid w:val="00203166"/>
    <w:rsid w:val="00203A7B"/>
    <w:rsid w:val="00203F5F"/>
    <w:rsid w:val="00211E48"/>
    <w:rsid w:val="00215140"/>
    <w:rsid w:val="00220CDD"/>
    <w:rsid w:val="00231021"/>
    <w:rsid w:val="00245F87"/>
    <w:rsid w:val="002501CE"/>
    <w:rsid w:val="00252D88"/>
    <w:rsid w:val="00254446"/>
    <w:rsid w:val="0026496E"/>
    <w:rsid w:val="00271770"/>
    <w:rsid w:val="00272A55"/>
    <w:rsid w:val="00274356"/>
    <w:rsid w:val="00291D63"/>
    <w:rsid w:val="00293CB5"/>
    <w:rsid w:val="00294D02"/>
    <w:rsid w:val="002B4374"/>
    <w:rsid w:val="002C1EB9"/>
    <w:rsid w:val="002C2EB4"/>
    <w:rsid w:val="002C36A6"/>
    <w:rsid w:val="002D5B5D"/>
    <w:rsid w:val="002E1B38"/>
    <w:rsid w:val="002F37E1"/>
    <w:rsid w:val="002F5ADC"/>
    <w:rsid w:val="00314EA3"/>
    <w:rsid w:val="0032428F"/>
    <w:rsid w:val="00340D08"/>
    <w:rsid w:val="00346113"/>
    <w:rsid w:val="00346E22"/>
    <w:rsid w:val="00351E1E"/>
    <w:rsid w:val="00357DC0"/>
    <w:rsid w:val="00361255"/>
    <w:rsid w:val="00370CB6"/>
    <w:rsid w:val="00371B02"/>
    <w:rsid w:val="00380D61"/>
    <w:rsid w:val="00381018"/>
    <w:rsid w:val="003847C8"/>
    <w:rsid w:val="003877EB"/>
    <w:rsid w:val="00390DF7"/>
    <w:rsid w:val="00395959"/>
    <w:rsid w:val="0039662C"/>
    <w:rsid w:val="003B46FC"/>
    <w:rsid w:val="003B5031"/>
    <w:rsid w:val="003C2EAE"/>
    <w:rsid w:val="003C33AA"/>
    <w:rsid w:val="003D64D8"/>
    <w:rsid w:val="003E17B6"/>
    <w:rsid w:val="003E313C"/>
    <w:rsid w:val="003E6170"/>
    <w:rsid w:val="003F2163"/>
    <w:rsid w:val="003F4CC5"/>
    <w:rsid w:val="00405BFD"/>
    <w:rsid w:val="00407CA0"/>
    <w:rsid w:val="0041081F"/>
    <w:rsid w:val="004108D2"/>
    <w:rsid w:val="00413F2F"/>
    <w:rsid w:val="00415527"/>
    <w:rsid w:val="00430A4D"/>
    <w:rsid w:val="00431BE4"/>
    <w:rsid w:val="00432937"/>
    <w:rsid w:val="004403EC"/>
    <w:rsid w:val="00447B57"/>
    <w:rsid w:val="00455B63"/>
    <w:rsid w:val="00460370"/>
    <w:rsid w:val="0046599C"/>
    <w:rsid w:val="00476322"/>
    <w:rsid w:val="00476D62"/>
    <w:rsid w:val="00485D23"/>
    <w:rsid w:val="004A7CAD"/>
    <w:rsid w:val="004B262F"/>
    <w:rsid w:val="004B4753"/>
    <w:rsid w:val="004B7346"/>
    <w:rsid w:val="004D3724"/>
    <w:rsid w:val="004E4419"/>
    <w:rsid w:val="004F17B0"/>
    <w:rsid w:val="005069F3"/>
    <w:rsid w:val="0050774E"/>
    <w:rsid w:val="00514121"/>
    <w:rsid w:val="00522637"/>
    <w:rsid w:val="00527867"/>
    <w:rsid w:val="00527AA5"/>
    <w:rsid w:val="005314D7"/>
    <w:rsid w:val="0055159E"/>
    <w:rsid w:val="005515BD"/>
    <w:rsid w:val="00555922"/>
    <w:rsid w:val="00563599"/>
    <w:rsid w:val="00565EDC"/>
    <w:rsid w:val="00575662"/>
    <w:rsid w:val="0059143B"/>
    <w:rsid w:val="00591FF5"/>
    <w:rsid w:val="005A570D"/>
    <w:rsid w:val="005B40C2"/>
    <w:rsid w:val="005B5886"/>
    <w:rsid w:val="005B6AAA"/>
    <w:rsid w:val="005C1523"/>
    <w:rsid w:val="005D1386"/>
    <w:rsid w:val="005D3C9A"/>
    <w:rsid w:val="005E0230"/>
    <w:rsid w:val="005E0748"/>
    <w:rsid w:val="005E0C2D"/>
    <w:rsid w:val="005E1ABB"/>
    <w:rsid w:val="005E4406"/>
    <w:rsid w:val="005E6A4B"/>
    <w:rsid w:val="00610B2E"/>
    <w:rsid w:val="00614FFD"/>
    <w:rsid w:val="006274BB"/>
    <w:rsid w:val="00630884"/>
    <w:rsid w:val="00634EFA"/>
    <w:rsid w:val="00635D43"/>
    <w:rsid w:val="00650F3F"/>
    <w:rsid w:val="0066249C"/>
    <w:rsid w:val="0067375D"/>
    <w:rsid w:val="00683AAE"/>
    <w:rsid w:val="0069648A"/>
    <w:rsid w:val="006A208B"/>
    <w:rsid w:val="006A40E2"/>
    <w:rsid w:val="006C1B31"/>
    <w:rsid w:val="006C21AD"/>
    <w:rsid w:val="006C4D6B"/>
    <w:rsid w:val="006C5874"/>
    <w:rsid w:val="006E6AA4"/>
    <w:rsid w:val="0070324C"/>
    <w:rsid w:val="007120FD"/>
    <w:rsid w:val="007130E1"/>
    <w:rsid w:val="00717E59"/>
    <w:rsid w:val="00724D56"/>
    <w:rsid w:val="007361C1"/>
    <w:rsid w:val="00737297"/>
    <w:rsid w:val="0073796B"/>
    <w:rsid w:val="00744D37"/>
    <w:rsid w:val="00750D01"/>
    <w:rsid w:val="00753D21"/>
    <w:rsid w:val="00754769"/>
    <w:rsid w:val="007643A0"/>
    <w:rsid w:val="007669A3"/>
    <w:rsid w:val="00781345"/>
    <w:rsid w:val="0079385F"/>
    <w:rsid w:val="00795C0A"/>
    <w:rsid w:val="007A6460"/>
    <w:rsid w:val="007B0ADD"/>
    <w:rsid w:val="007B168B"/>
    <w:rsid w:val="007B1CDD"/>
    <w:rsid w:val="007C21FB"/>
    <w:rsid w:val="007D34C8"/>
    <w:rsid w:val="007E198F"/>
    <w:rsid w:val="007E6050"/>
    <w:rsid w:val="007E6BA8"/>
    <w:rsid w:val="007F5D6B"/>
    <w:rsid w:val="007F6EF7"/>
    <w:rsid w:val="0080221D"/>
    <w:rsid w:val="008244C0"/>
    <w:rsid w:val="008272F2"/>
    <w:rsid w:val="008336E7"/>
    <w:rsid w:val="00836E94"/>
    <w:rsid w:val="00844939"/>
    <w:rsid w:val="00847AD3"/>
    <w:rsid w:val="00857A30"/>
    <w:rsid w:val="008624E8"/>
    <w:rsid w:val="00892B8A"/>
    <w:rsid w:val="008B42CD"/>
    <w:rsid w:val="008B7AF2"/>
    <w:rsid w:val="008C4231"/>
    <w:rsid w:val="008D49BD"/>
    <w:rsid w:val="008F06C6"/>
    <w:rsid w:val="00905C96"/>
    <w:rsid w:val="00905FB2"/>
    <w:rsid w:val="00912915"/>
    <w:rsid w:val="009170E9"/>
    <w:rsid w:val="009174DA"/>
    <w:rsid w:val="00924321"/>
    <w:rsid w:val="00933061"/>
    <w:rsid w:val="00933087"/>
    <w:rsid w:val="00937340"/>
    <w:rsid w:val="00945B27"/>
    <w:rsid w:val="009540E4"/>
    <w:rsid w:val="00956288"/>
    <w:rsid w:val="00965588"/>
    <w:rsid w:val="00971F78"/>
    <w:rsid w:val="00974186"/>
    <w:rsid w:val="00980C30"/>
    <w:rsid w:val="00981D65"/>
    <w:rsid w:val="00983241"/>
    <w:rsid w:val="00986FFE"/>
    <w:rsid w:val="009900DE"/>
    <w:rsid w:val="0099141C"/>
    <w:rsid w:val="009A41AA"/>
    <w:rsid w:val="009C2C98"/>
    <w:rsid w:val="009C2D77"/>
    <w:rsid w:val="009C562E"/>
    <w:rsid w:val="009D10D1"/>
    <w:rsid w:val="009E3BF3"/>
    <w:rsid w:val="009F1ECB"/>
    <w:rsid w:val="00A03639"/>
    <w:rsid w:val="00A06971"/>
    <w:rsid w:val="00A12381"/>
    <w:rsid w:val="00A2167A"/>
    <w:rsid w:val="00A224C2"/>
    <w:rsid w:val="00A30052"/>
    <w:rsid w:val="00A34FC4"/>
    <w:rsid w:val="00A4292B"/>
    <w:rsid w:val="00A445DF"/>
    <w:rsid w:val="00A5415F"/>
    <w:rsid w:val="00A60A37"/>
    <w:rsid w:val="00A63E12"/>
    <w:rsid w:val="00A66392"/>
    <w:rsid w:val="00A67305"/>
    <w:rsid w:val="00A72B6F"/>
    <w:rsid w:val="00A7412B"/>
    <w:rsid w:val="00A87E19"/>
    <w:rsid w:val="00A95C96"/>
    <w:rsid w:val="00AA1B5D"/>
    <w:rsid w:val="00AA6622"/>
    <w:rsid w:val="00AB1A5D"/>
    <w:rsid w:val="00AB1DC2"/>
    <w:rsid w:val="00AB352C"/>
    <w:rsid w:val="00AB6390"/>
    <w:rsid w:val="00AC4300"/>
    <w:rsid w:val="00AC4E2C"/>
    <w:rsid w:val="00AD14DA"/>
    <w:rsid w:val="00AD1AFD"/>
    <w:rsid w:val="00AD7901"/>
    <w:rsid w:val="00AE5AE3"/>
    <w:rsid w:val="00AE6CD6"/>
    <w:rsid w:val="00AF1258"/>
    <w:rsid w:val="00B022E5"/>
    <w:rsid w:val="00B11AEE"/>
    <w:rsid w:val="00B301B3"/>
    <w:rsid w:val="00B326A5"/>
    <w:rsid w:val="00B413C7"/>
    <w:rsid w:val="00B46326"/>
    <w:rsid w:val="00B47F61"/>
    <w:rsid w:val="00B60F58"/>
    <w:rsid w:val="00B67490"/>
    <w:rsid w:val="00B70F5B"/>
    <w:rsid w:val="00B710AF"/>
    <w:rsid w:val="00B73F19"/>
    <w:rsid w:val="00B753A8"/>
    <w:rsid w:val="00B84862"/>
    <w:rsid w:val="00B85EDE"/>
    <w:rsid w:val="00B90375"/>
    <w:rsid w:val="00B91EE5"/>
    <w:rsid w:val="00BA743D"/>
    <w:rsid w:val="00BB1111"/>
    <w:rsid w:val="00BB6BF3"/>
    <w:rsid w:val="00BB73C0"/>
    <w:rsid w:val="00BC04B8"/>
    <w:rsid w:val="00BE5C43"/>
    <w:rsid w:val="00BF11F0"/>
    <w:rsid w:val="00BF391A"/>
    <w:rsid w:val="00BF5F1A"/>
    <w:rsid w:val="00C01A39"/>
    <w:rsid w:val="00C05EC5"/>
    <w:rsid w:val="00C06300"/>
    <w:rsid w:val="00C102D4"/>
    <w:rsid w:val="00C1106B"/>
    <w:rsid w:val="00C3152B"/>
    <w:rsid w:val="00C34B85"/>
    <w:rsid w:val="00C354D9"/>
    <w:rsid w:val="00C365A8"/>
    <w:rsid w:val="00C42DF6"/>
    <w:rsid w:val="00C458C2"/>
    <w:rsid w:val="00C52B1A"/>
    <w:rsid w:val="00C54586"/>
    <w:rsid w:val="00C63D87"/>
    <w:rsid w:val="00C666AC"/>
    <w:rsid w:val="00C733CA"/>
    <w:rsid w:val="00C8735C"/>
    <w:rsid w:val="00C961AD"/>
    <w:rsid w:val="00C97F7B"/>
    <w:rsid w:val="00CA52D7"/>
    <w:rsid w:val="00CA5624"/>
    <w:rsid w:val="00CA6984"/>
    <w:rsid w:val="00CC3123"/>
    <w:rsid w:val="00CC37B3"/>
    <w:rsid w:val="00CD6A36"/>
    <w:rsid w:val="00CD7DC9"/>
    <w:rsid w:val="00CF0442"/>
    <w:rsid w:val="00D10EB4"/>
    <w:rsid w:val="00D14EEC"/>
    <w:rsid w:val="00D16987"/>
    <w:rsid w:val="00D21990"/>
    <w:rsid w:val="00D462B4"/>
    <w:rsid w:val="00D572F3"/>
    <w:rsid w:val="00D60A92"/>
    <w:rsid w:val="00D650E2"/>
    <w:rsid w:val="00D70E9E"/>
    <w:rsid w:val="00D7373E"/>
    <w:rsid w:val="00D842BB"/>
    <w:rsid w:val="00D9208E"/>
    <w:rsid w:val="00D95BC6"/>
    <w:rsid w:val="00D966FF"/>
    <w:rsid w:val="00D9670A"/>
    <w:rsid w:val="00DA3B4D"/>
    <w:rsid w:val="00DA5C0D"/>
    <w:rsid w:val="00DC3A98"/>
    <w:rsid w:val="00DD2B2A"/>
    <w:rsid w:val="00DE199D"/>
    <w:rsid w:val="00DE1B54"/>
    <w:rsid w:val="00DE27BA"/>
    <w:rsid w:val="00DF4506"/>
    <w:rsid w:val="00E02AB3"/>
    <w:rsid w:val="00E05EEE"/>
    <w:rsid w:val="00E14AAE"/>
    <w:rsid w:val="00E2036F"/>
    <w:rsid w:val="00E21BBE"/>
    <w:rsid w:val="00E3207D"/>
    <w:rsid w:val="00E3507E"/>
    <w:rsid w:val="00E43F4B"/>
    <w:rsid w:val="00E45D1D"/>
    <w:rsid w:val="00E6446C"/>
    <w:rsid w:val="00E7132A"/>
    <w:rsid w:val="00E76669"/>
    <w:rsid w:val="00E80F20"/>
    <w:rsid w:val="00E83327"/>
    <w:rsid w:val="00E83E60"/>
    <w:rsid w:val="00E86C78"/>
    <w:rsid w:val="00E948BD"/>
    <w:rsid w:val="00E95FB9"/>
    <w:rsid w:val="00E97856"/>
    <w:rsid w:val="00EA3138"/>
    <w:rsid w:val="00EA4024"/>
    <w:rsid w:val="00EC012E"/>
    <w:rsid w:val="00EC7707"/>
    <w:rsid w:val="00EF1263"/>
    <w:rsid w:val="00EF327A"/>
    <w:rsid w:val="00F00D20"/>
    <w:rsid w:val="00F01966"/>
    <w:rsid w:val="00F0259E"/>
    <w:rsid w:val="00F06AB5"/>
    <w:rsid w:val="00F153DC"/>
    <w:rsid w:val="00F20884"/>
    <w:rsid w:val="00F21123"/>
    <w:rsid w:val="00F21419"/>
    <w:rsid w:val="00F23144"/>
    <w:rsid w:val="00F24A5B"/>
    <w:rsid w:val="00F26E77"/>
    <w:rsid w:val="00F335A2"/>
    <w:rsid w:val="00F462C7"/>
    <w:rsid w:val="00F5232C"/>
    <w:rsid w:val="00F60A1F"/>
    <w:rsid w:val="00F73CE1"/>
    <w:rsid w:val="00F87276"/>
    <w:rsid w:val="00F93A56"/>
    <w:rsid w:val="00F96044"/>
    <w:rsid w:val="00F979B5"/>
    <w:rsid w:val="00FA792D"/>
    <w:rsid w:val="00FC28E1"/>
    <w:rsid w:val="00FC2D38"/>
    <w:rsid w:val="00FD6F18"/>
    <w:rsid w:val="00FE0CBB"/>
    <w:rsid w:val="00FE5604"/>
    <w:rsid w:val="00FE60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basedOn w:val="Privzetapisavaodstavka"/>
    <w:uiPriority w:val="99"/>
    <w:unhideWhenUsed/>
    <w:rsid w:val="00CA52D7"/>
    <w:rPr>
      <w:color w:val="0563C1" w:themeColor="hyperlink"/>
      <w:u w:val="single"/>
    </w:rPr>
  </w:style>
  <w:style w:type="paragraph" w:customStyle="1" w:styleId="Neotevilenodstavek">
    <w:name w:val="Neoštevilčen odstavek"/>
    <w:basedOn w:val="Navaden"/>
    <w:link w:val="NeotevilenodstavekZnak"/>
    <w:qFormat/>
    <w:rsid w:val="00346113"/>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34611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134">
      <w:bodyDiv w:val="1"/>
      <w:marLeft w:val="0"/>
      <w:marRight w:val="0"/>
      <w:marTop w:val="0"/>
      <w:marBottom w:val="0"/>
      <w:divBdr>
        <w:top w:val="none" w:sz="0" w:space="0" w:color="auto"/>
        <w:left w:val="none" w:sz="0" w:space="0" w:color="auto"/>
        <w:bottom w:val="none" w:sz="0" w:space="0" w:color="auto"/>
        <w:right w:val="none" w:sz="0" w:space="0" w:color="auto"/>
      </w:divBdr>
    </w:div>
    <w:div w:id="42992204">
      <w:bodyDiv w:val="1"/>
      <w:marLeft w:val="0"/>
      <w:marRight w:val="0"/>
      <w:marTop w:val="0"/>
      <w:marBottom w:val="0"/>
      <w:divBdr>
        <w:top w:val="none" w:sz="0" w:space="0" w:color="auto"/>
        <w:left w:val="none" w:sz="0" w:space="0" w:color="auto"/>
        <w:bottom w:val="none" w:sz="0" w:space="0" w:color="auto"/>
        <w:right w:val="none" w:sz="0" w:space="0" w:color="auto"/>
      </w:divBdr>
    </w:div>
    <w:div w:id="168107015">
      <w:bodyDiv w:val="1"/>
      <w:marLeft w:val="0"/>
      <w:marRight w:val="0"/>
      <w:marTop w:val="0"/>
      <w:marBottom w:val="0"/>
      <w:divBdr>
        <w:top w:val="none" w:sz="0" w:space="0" w:color="auto"/>
        <w:left w:val="none" w:sz="0" w:space="0" w:color="auto"/>
        <w:bottom w:val="none" w:sz="0" w:space="0" w:color="auto"/>
        <w:right w:val="none" w:sz="0" w:space="0" w:color="auto"/>
      </w:divBdr>
    </w:div>
    <w:div w:id="220216036">
      <w:bodyDiv w:val="1"/>
      <w:marLeft w:val="0"/>
      <w:marRight w:val="0"/>
      <w:marTop w:val="0"/>
      <w:marBottom w:val="0"/>
      <w:divBdr>
        <w:top w:val="none" w:sz="0" w:space="0" w:color="auto"/>
        <w:left w:val="none" w:sz="0" w:space="0" w:color="auto"/>
        <w:bottom w:val="none" w:sz="0" w:space="0" w:color="auto"/>
        <w:right w:val="none" w:sz="0" w:space="0" w:color="auto"/>
      </w:divBdr>
    </w:div>
    <w:div w:id="381638648">
      <w:bodyDiv w:val="1"/>
      <w:marLeft w:val="0"/>
      <w:marRight w:val="0"/>
      <w:marTop w:val="0"/>
      <w:marBottom w:val="0"/>
      <w:divBdr>
        <w:top w:val="none" w:sz="0" w:space="0" w:color="auto"/>
        <w:left w:val="none" w:sz="0" w:space="0" w:color="auto"/>
        <w:bottom w:val="none" w:sz="0" w:space="0" w:color="auto"/>
        <w:right w:val="none" w:sz="0" w:space="0" w:color="auto"/>
      </w:divBdr>
    </w:div>
    <w:div w:id="422921223">
      <w:bodyDiv w:val="1"/>
      <w:marLeft w:val="0"/>
      <w:marRight w:val="0"/>
      <w:marTop w:val="0"/>
      <w:marBottom w:val="0"/>
      <w:divBdr>
        <w:top w:val="none" w:sz="0" w:space="0" w:color="auto"/>
        <w:left w:val="none" w:sz="0" w:space="0" w:color="auto"/>
        <w:bottom w:val="none" w:sz="0" w:space="0" w:color="auto"/>
        <w:right w:val="none" w:sz="0" w:space="0" w:color="auto"/>
      </w:divBdr>
    </w:div>
    <w:div w:id="483352950">
      <w:bodyDiv w:val="1"/>
      <w:marLeft w:val="0"/>
      <w:marRight w:val="0"/>
      <w:marTop w:val="0"/>
      <w:marBottom w:val="0"/>
      <w:divBdr>
        <w:top w:val="none" w:sz="0" w:space="0" w:color="auto"/>
        <w:left w:val="none" w:sz="0" w:space="0" w:color="auto"/>
        <w:bottom w:val="none" w:sz="0" w:space="0" w:color="auto"/>
        <w:right w:val="none" w:sz="0" w:space="0" w:color="auto"/>
      </w:divBdr>
    </w:div>
    <w:div w:id="824853775">
      <w:bodyDiv w:val="1"/>
      <w:marLeft w:val="0"/>
      <w:marRight w:val="0"/>
      <w:marTop w:val="0"/>
      <w:marBottom w:val="0"/>
      <w:divBdr>
        <w:top w:val="none" w:sz="0" w:space="0" w:color="auto"/>
        <w:left w:val="none" w:sz="0" w:space="0" w:color="auto"/>
        <w:bottom w:val="none" w:sz="0" w:space="0" w:color="auto"/>
        <w:right w:val="none" w:sz="0" w:space="0" w:color="auto"/>
      </w:divBdr>
    </w:div>
    <w:div w:id="826557262">
      <w:bodyDiv w:val="1"/>
      <w:marLeft w:val="0"/>
      <w:marRight w:val="0"/>
      <w:marTop w:val="0"/>
      <w:marBottom w:val="0"/>
      <w:divBdr>
        <w:top w:val="none" w:sz="0" w:space="0" w:color="auto"/>
        <w:left w:val="none" w:sz="0" w:space="0" w:color="auto"/>
        <w:bottom w:val="none" w:sz="0" w:space="0" w:color="auto"/>
        <w:right w:val="none" w:sz="0" w:space="0" w:color="auto"/>
      </w:divBdr>
    </w:div>
    <w:div w:id="836577345">
      <w:bodyDiv w:val="1"/>
      <w:marLeft w:val="0"/>
      <w:marRight w:val="0"/>
      <w:marTop w:val="0"/>
      <w:marBottom w:val="0"/>
      <w:divBdr>
        <w:top w:val="none" w:sz="0" w:space="0" w:color="auto"/>
        <w:left w:val="none" w:sz="0" w:space="0" w:color="auto"/>
        <w:bottom w:val="none" w:sz="0" w:space="0" w:color="auto"/>
        <w:right w:val="none" w:sz="0" w:space="0" w:color="auto"/>
      </w:divBdr>
    </w:div>
    <w:div w:id="884873346">
      <w:bodyDiv w:val="1"/>
      <w:marLeft w:val="0"/>
      <w:marRight w:val="0"/>
      <w:marTop w:val="0"/>
      <w:marBottom w:val="0"/>
      <w:divBdr>
        <w:top w:val="none" w:sz="0" w:space="0" w:color="auto"/>
        <w:left w:val="none" w:sz="0" w:space="0" w:color="auto"/>
        <w:bottom w:val="none" w:sz="0" w:space="0" w:color="auto"/>
        <w:right w:val="none" w:sz="0" w:space="0" w:color="auto"/>
      </w:divBdr>
    </w:div>
    <w:div w:id="964888413">
      <w:bodyDiv w:val="1"/>
      <w:marLeft w:val="0"/>
      <w:marRight w:val="0"/>
      <w:marTop w:val="0"/>
      <w:marBottom w:val="0"/>
      <w:divBdr>
        <w:top w:val="none" w:sz="0" w:space="0" w:color="auto"/>
        <w:left w:val="none" w:sz="0" w:space="0" w:color="auto"/>
        <w:bottom w:val="none" w:sz="0" w:space="0" w:color="auto"/>
        <w:right w:val="none" w:sz="0" w:space="0" w:color="auto"/>
      </w:divBdr>
    </w:div>
    <w:div w:id="981539661">
      <w:bodyDiv w:val="1"/>
      <w:marLeft w:val="0"/>
      <w:marRight w:val="0"/>
      <w:marTop w:val="0"/>
      <w:marBottom w:val="0"/>
      <w:divBdr>
        <w:top w:val="none" w:sz="0" w:space="0" w:color="auto"/>
        <w:left w:val="none" w:sz="0" w:space="0" w:color="auto"/>
        <w:bottom w:val="none" w:sz="0" w:space="0" w:color="auto"/>
        <w:right w:val="none" w:sz="0" w:space="0" w:color="auto"/>
      </w:divBdr>
    </w:div>
    <w:div w:id="1100179853">
      <w:bodyDiv w:val="1"/>
      <w:marLeft w:val="0"/>
      <w:marRight w:val="0"/>
      <w:marTop w:val="0"/>
      <w:marBottom w:val="0"/>
      <w:divBdr>
        <w:top w:val="none" w:sz="0" w:space="0" w:color="auto"/>
        <w:left w:val="none" w:sz="0" w:space="0" w:color="auto"/>
        <w:bottom w:val="none" w:sz="0" w:space="0" w:color="auto"/>
        <w:right w:val="none" w:sz="0" w:space="0" w:color="auto"/>
      </w:divBdr>
    </w:div>
    <w:div w:id="1308046896">
      <w:bodyDiv w:val="1"/>
      <w:marLeft w:val="0"/>
      <w:marRight w:val="0"/>
      <w:marTop w:val="0"/>
      <w:marBottom w:val="0"/>
      <w:divBdr>
        <w:top w:val="none" w:sz="0" w:space="0" w:color="auto"/>
        <w:left w:val="none" w:sz="0" w:space="0" w:color="auto"/>
        <w:bottom w:val="none" w:sz="0" w:space="0" w:color="auto"/>
        <w:right w:val="none" w:sz="0" w:space="0" w:color="auto"/>
      </w:divBdr>
    </w:div>
    <w:div w:id="1397122865">
      <w:bodyDiv w:val="1"/>
      <w:marLeft w:val="0"/>
      <w:marRight w:val="0"/>
      <w:marTop w:val="0"/>
      <w:marBottom w:val="0"/>
      <w:divBdr>
        <w:top w:val="none" w:sz="0" w:space="0" w:color="auto"/>
        <w:left w:val="none" w:sz="0" w:space="0" w:color="auto"/>
        <w:bottom w:val="none" w:sz="0" w:space="0" w:color="auto"/>
        <w:right w:val="none" w:sz="0" w:space="0" w:color="auto"/>
      </w:divBdr>
    </w:div>
    <w:div w:id="1434789462">
      <w:bodyDiv w:val="1"/>
      <w:marLeft w:val="0"/>
      <w:marRight w:val="0"/>
      <w:marTop w:val="0"/>
      <w:marBottom w:val="0"/>
      <w:divBdr>
        <w:top w:val="none" w:sz="0" w:space="0" w:color="auto"/>
        <w:left w:val="none" w:sz="0" w:space="0" w:color="auto"/>
        <w:bottom w:val="none" w:sz="0" w:space="0" w:color="auto"/>
        <w:right w:val="none" w:sz="0" w:space="0" w:color="auto"/>
      </w:divBdr>
    </w:div>
    <w:div w:id="1450465439">
      <w:bodyDiv w:val="1"/>
      <w:marLeft w:val="0"/>
      <w:marRight w:val="0"/>
      <w:marTop w:val="0"/>
      <w:marBottom w:val="0"/>
      <w:divBdr>
        <w:top w:val="none" w:sz="0" w:space="0" w:color="auto"/>
        <w:left w:val="none" w:sz="0" w:space="0" w:color="auto"/>
        <w:bottom w:val="none" w:sz="0" w:space="0" w:color="auto"/>
        <w:right w:val="none" w:sz="0" w:space="0" w:color="auto"/>
      </w:divBdr>
    </w:div>
    <w:div w:id="1575386894">
      <w:bodyDiv w:val="1"/>
      <w:marLeft w:val="0"/>
      <w:marRight w:val="0"/>
      <w:marTop w:val="0"/>
      <w:marBottom w:val="0"/>
      <w:divBdr>
        <w:top w:val="none" w:sz="0" w:space="0" w:color="auto"/>
        <w:left w:val="none" w:sz="0" w:space="0" w:color="auto"/>
        <w:bottom w:val="none" w:sz="0" w:space="0" w:color="auto"/>
        <w:right w:val="none" w:sz="0" w:space="0" w:color="auto"/>
      </w:divBdr>
    </w:div>
    <w:div w:id="1588998309">
      <w:bodyDiv w:val="1"/>
      <w:marLeft w:val="0"/>
      <w:marRight w:val="0"/>
      <w:marTop w:val="0"/>
      <w:marBottom w:val="0"/>
      <w:divBdr>
        <w:top w:val="none" w:sz="0" w:space="0" w:color="auto"/>
        <w:left w:val="none" w:sz="0" w:space="0" w:color="auto"/>
        <w:bottom w:val="none" w:sz="0" w:space="0" w:color="auto"/>
        <w:right w:val="none" w:sz="0" w:space="0" w:color="auto"/>
      </w:divBdr>
    </w:div>
    <w:div w:id="1703938026">
      <w:bodyDiv w:val="1"/>
      <w:marLeft w:val="0"/>
      <w:marRight w:val="0"/>
      <w:marTop w:val="0"/>
      <w:marBottom w:val="0"/>
      <w:divBdr>
        <w:top w:val="none" w:sz="0" w:space="0" w:color="auto"/>
        <w:left w:val="none" w:sz="0" w:space="0" w:color="auto"/>
        <w:bottom w:val="none" w:sz="0" w:space="0" w:color="auto"/>
        <w:right w:val="none" w:sz="0" w:space="0" w:color="auto"/>
      </w:divBdr>
    </w:div>
    <w:div w:id="1711956639">
      <w:bodyDiv w:val="1"/>
      <w:marLeft w:val="0"/>
      <w:marRight w:val="0"/>
      <w:marTop w:val="0"/>
      <w:marBottom w:val="0"/>
      <w:divBdr>
        <w:top w:val="none" w:sz="0" w:space="0" w:color="auto"/>
        <w:left w:val="none" w:sz="0" w:space="0" w:color="auto"/>
        <w:bottom w:val="none" w:sz="0" w:space="0" w:color="auto"/>
        <w:right w:val="none" w:sz="0" w:space="0" w:color="auto"/>
      </w:divBdr>
    </w:div>
    <w:div w:id="1832134505">
      <w:bodyDiv w:val="1"/>
      <w:marLeft w:val="0"/>
      <w:marRight w:val="0"/>
      <w:marTop w:val="0"/>
      <w:marBottom w:val="0"/>
      <w:divBdr>
        <w:top w:val="none" w:sz="0" w:space="0" w:color="auto"/>
        <w:left w:val="none" w:sz="0" w:space="0" w:color="auto"/>
        <w:bottom w:val="none" w:sz="0" w:space="0" w:color="auto"/>
        <w:right w:val="none" w:sz="0" w:space="0" w:color="auto"/>
      </w:divBdr>
    </w:div>
    <w:div w:id="1841655361">
      <w:bodyDiv w:val="1"/>
      <w:marLeft w:val="0"/>
      <w:marRight w:val="0"/>
      <w:marTop w:val="0"/>
      <w:marBottom w:val="0"/>
      <w:divBdr>
        <w:top w:val="none" w:sz="0" w:space="0" w:color="auto"/>
        <w:left w:val="none" w:sz="0" w:space="0" w:color="auto"/>
        <w:bottom w:val="none" w:sz="0" w:space="0" w:color="auto"/>
        <w:right w:val="none" w:sz="0" w:space="0" w:color="auto"/>
      </w:divBdr>
    </w:div>
    <w:div w:id="1871992820">
      <w:bodyDiv w:val="1"/>
      <w:marLeft w:val="0"/>
      <w:marRight w:val="0"/>
      <w:marTop w:val="0"/>
      <w:marBottom w:val="0"/>
      <w:divBdr>
        <w:top w:val="none" w:sz="0" w:space="0" w:color="auto"/>
        <w:left w:val="none" w:sz="0" w:space="0" w:color="auto"/>
        <w:bottom w:val="none" w:sz="0" w:space="0" w:color="auto"/>
        <w:right w:val="none" w:sz="0" w:space="0" w:color="auto"/>
      </w:divBdr>
    </w:div>
    <w:div w:id="1882132815">
      <w:bodyDiv w:val="1"/>
      <w:marLeft w:val="0"/>
      <w:marRight w:val="0"/>
      <w:marTop w:val="0"/>
      <w:marBottom w:val="0"/>
      <w:divBdr>
        <w:top w:val="none" w:sz="0" w:space="0" w:color="auto"/>
        <w:left w:val="none" w:sz="0" w:space="0" w:color="auto"/>
        <w:bottom w:val="none" w:sz="0" w:space="0" w:color="auto"/>
        <w:right w:val="none" w:sz="0" w:space="0" w:color="auto"/>
      </w:divBdr>
    </w:div>
    <w:div w:id="1976912870">
      <w:bodyDiv w:val="1"/>
      <w:marLeft w:val="0"/>
      <w:marRight w:val="0"/>
      <w:marTop w:val="0"/>
      <w:marBottom w:val="0"/>
      <w:divBdr>
        <w:top w:val="none" w:sz="0" w:space="0" w:color="auto"/>
        <w:left w:val="none" w:sz="0" w:space="0" w:color="auto"/>
        <w:bottom w:val="none" w:sz="0" w:space="0" w:color="auto"/>
        <w:right w:val="none" w:sz="0" w:space="0" w:color="auto"/>
      </w:divBdr>
    </w:div>
    <w:div w:id="1992444421">
      <w:bodyDiv w:val="1"/>
      <w:marLeft w:val="0"/>
      <w:marRight w:val="0"/>
      <w:marTop w:val="0"/>
      <w:marBottom w:val="0"/>
      <w:divBdr>
        <w:top w:val="none" w:sz="0" w:space="0" w:color="auto"/>
        <w:left w:val="none" w:sz="0" w:space="0" w:color="auto"/>
        <w:bottom w:val="none" w:sz="0" w:space="0" w:color="auto"/>
        <w:right w:val="none" w:sz="0" w:space="0" w:color="auto"/>
      </w:divBdr>
    </w:div>
    <w:div w:id="2043312758">
      <w:bodyDiv w:val="1"/>
      <w:marLeft w:val="0"/>
      <w:marRight w:val="0"/>
      <w:marTop w:val="0"/>
      <w:marBottom w:val="0"/>
      <w:divBdr>
        <w:top w:val="none" w:sz="0" w:space="0" w:color="auto"/>
        <w:left w:val="none" w:sz="0" w:space="0" w:color="auto"/>
        <w:bottom w:val="none" w:sz="0" w:space="0" w:color="auto"/>
        <w:right w:val="none" w:sz="0" w:space="0" w:color="auto"/>
      </w:divBdr>
    </w:div>
    <w:div w:id="211832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2.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4.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11357</Words>
  <Characters>64740</Characters>
  <Application>Microsoft Office Word</Application>
  <DocSecurity>0</DocSecurity>
  <Lines>539</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2025-07-16T17:13:00Z</dcterms:created>
  <dcterms:modified xsi:type="dcterms:W3CDTF">2025-07-17T14:02:00Z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