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5BF32A87" w:rsidR="0073796B" w:rsidRPr="0039662C" w:rsidRDefault="00D10EB4" w:rsidP="0039662C">
      <w:pPr>
        <w:pStyle w:val="Naslov1"/>
      </w:pPr>
      <w:r>
        <w:t>1</w:t>
      </w:r>
      <w:r w:rsidR="005069F3">
        <w:t>6</w:t>
      </w:r>
      <w:r w:rsidR="00E7306E">
        <w:t>1</w:t>
      </w:r>
      <w:r w:rsidR="0073796B" w:rsidRPr="0039662C">
        <w:t>. redna seja Vlade Republike Slovenije</w:t>
      </w:r>
    </w:p>
    <w:p w14:paraId="27F30B92" w14:textId="7AD69D12" w:rsidR="0073796B" w:rsidRDefault="00D944AC" w:rsidP="008B7AF2">
      <w:pPr>
        <w:pStyle w:val="DatumSZJ"/>
      </w:pPr>
      <w:r>
        <w:t>10</w:t>
      </w:r>
      <w:r w:rsidR="00D10EB4">
        <w:t>.</w:t>
      </w:r>
      <w:r w:rsidR="0073796B" w:rsidRPr="008B7AF2">
        <w:t xml:space="preserve"> </w:t>
      </w:r>
      <w:r w:rsidR="00C666AC">
        <w:t>j</w:t>
      </w:r>
      <w:r w:rsidR="00DA3B4D">
        <w:t>u</w:t>
      </w:r>
      <w:r w:rsidR="005069F3">
        <w:t>l</w:t>
      </w:r>
      <w:r w:rsidR="00DA3B4D">
        <w:t xml:space="preserve">ij </w:t>
      </w:r>
      <w:r w:rsidR="0073796B" w:rsidRPr="008B7AF2">
        <w:t>202</w:t>
      </w:r>
      <w:r w:rsidR="00F21123">
        <w:t>5</w:t>
      </w:r>
    </w:p>
    <w:p w14:paraId="1B52160F" w14:textId="77777777" w:rsidR="004A2C3C" w:rsidRPr="00487A45" w:rsidRDefault="004A2C3C" w:rsidP="00487A45">
      <w:pPr>
        <w:rPr>
          <w:color w:val="FF0000"/>
        </w:rPr>
      </w:pPr>
    </w:p>
    <w:p w14:paraId="22C6E3BA" w14:textId="31263B03" w:rsidR="00BB245A" w:rsidRPr="004F4BB3" w:rsidRDefault="00BB245A" w:rsidP="004F4BB3">
      <w:pPr>
        <w:pStyle w:val="Naslov2"/>
      </w:pPr>
      <w:r w:rsidRPr="004F4BB3">
        <w:t xml:space="preserve">Vlada sprejela Uredbo o Načrtu za izvajanje Strategije prostorskega razvoja Slovenije 2050 za obdobje 2025 - 2034 </w:t>
      </w:r>
    </w:p>
    <w:p w14:paraId="552CAFF4" w14:textId="77777777" w:rsidR="00BB245A" w:rsidRPr="004F4BB3" w:rsidRDefault="00BB245A" w:rsidP="00BB245A">
      <w:r w:rsidRPr="004F4BB3">
        <w:t xml:space="preserve">Vlada je na današnji seji sprejela Uredbo o Načrtu za izvajanje Strategije prostorskega razvoja Slovenije 2050 za obdobje 2025 - 2034. </w:t>
      </w:r>
    </w:p>
    <w:p w14:paraId="2E670EF0" w14:textId="77777777" w:rsidR="00BB245A" w:rsidRPr="004F4BB3" w:rsidRDefault="00BB245A" w:rsidP="00BB245A">
      <w:r w:rsidRPr="004F4BB3">
        <w:t xml:space="preserve">Uredba določa seznam aktivnosti, ki jih bodo ministrstva izvajala v naslednjem desetletnem obdobju z namenom doseganja ciljev, opredeljenih v Resoluciji o Strategiji prostorskega razvoja Slovenije 2050 (Uradni list RS, št. 72/23). Aktivnosti naslavljajo tudi cilje ostalih resornih politik, ki izkazujejo sinergije s cilji prostorske strategije. </w:t>
      </w:r>
    </w:p>
    <w:p w14:paraId="42B4EB39" w14:textId="77777777" w:rsidR="00BB245A" w:rsidRPr="004F4BB3" w:rsidRDefault="00BB245A" w:rsidP="00BB245A">
      <w:r w:rsidRPr="004F4BB3">
        <w:t xml:space="preserve">Aktivnosti so razdeljene v sedem tematskih sklopov: </w:t>
      </w:r>
    </w:p>
    <w:p w14:paraId="31B0C1F9" w14:textId="03EA1722" w:rsidR="00BB245A" w:rsidRPr="004F4BB3" w:rsidRDefault="00BB245A" w:rsidP="00BB245A">
      <w:r w:rsidRPr="004F4BB3">
        <w:t>(1)</w:t>
      </w:r>
      <w:r w:rsidR="004F4BB3">
        <w:t xml:space="preserve"> </w:t>
      </w:r>
      <w:r w:rsidRPr="004F4BB3">
        <w:t xml:space="preserve">Izvajanje Strategije na nacionalni ravni </w:t>
      </w:r>
      <w:proofErr w:type="gramStart"/>
      <w:r w:rsidRPr="004F4BB3">
        <w:t xml:space="preserve">-  </w:t>
      </w:r>
      <w:proofErr w:type="gramEnd"/>
      <w:r w:rsidRPr="004F4BB3">
        <w:t>Zasnova prostorskega plana Slovenije</w:t>
      </w:r>
    </w:p>
    <w:p w14:paraId="650E463F" w14:textId="25415108" w:rsidR="00BB245A" w:rsidRPr="004F4BB3" w:rsidRDefault="00BB245A" w:rsidP="00BB245A">
      <w:r w:rsidRPr="004F4BB3">
        <w:t>(2)</w:t>
      </w:r>
      <w:r w:rsidR="004F4BB3">
        <w:t xml:space="preserve"> </w:t>
      </w:r>
      <w:r w:rsidRPr="004F4BB3">
        <w:t xml:space="preserve">Priprava regionalnih prostorskih planov; </w:t>
      </w:r>
    </w:p>
    <w:p w14:paraId="6FA9C217" w14:textId="6B2D3C8F" w:rsidR="00BB245A" w:rsidRPr="004F4BB3" w:rsidRDefault="00BB245A" w:rsidP="00BB245A">
      <w:r w:rsidRPr="004F4BB3">
        <w:t>(3)</w:t>
      </w:r>
      <w:r w:rsidR="004F4BB3">
        <w:t xml:space="preserve"> </w:t>
      </w:r>
      <w:r w:rsidRPr="004F4BB3">
        <w:t xml:space="preserve">Nova generacija občinskih prostorskih načrtov; </w:t>
      </w:r>
    </w:p>
    <w:p w14:paraId="5E87D913" w14:textId="60E1511F" w:rsidR="00BB245A" w:rsidRPr="004F4BB3" w:rsidRDefault="00BB245A" w:rsidP="00BB245A">
      <w:r w:rsidRPr="004F4BB3">
        <w:t>(4)</w:t>
      </w:r>
      <w:r w:rsidR="004F4BB3">
        <w:t xml:space="preserve"> </w:t>
      </w:r>
      <w:r w:rsidRPr="004F4BB3">
        <w:t xml:space="preserve">Urbanizem – državni prostorski red; </w:t>
      </w:r>
    </w:p>
    <w:p w14:paraId="1C9F9D53" w14:textId="6681DEFF" w:rsidR="00BB245A" w:rsidRPr="004F4BB3" w:rsidRDefault="00BB245A" w:rsidP="00BB245A">
      <w:r w:rsidRPr="004F4BB3">
        <w:t>(5)</w:t>
      </w:r>
      <w:r w:rsidR="004F4BB3">
        <w:t xml:space="preserve"> </w:t>
      </w:r>
      <w:r w:rsidRPr="004F4BB3">
        <w:t xml:space="preserve">Krožno gospodarjenje s prostorom; </w:t>
      </w:r>
    </w:p>
    <w:p w14:paraId="32633073" w14:textId="13EB69D3" w:rsidR="00BB245A" w:rsidRPr="004F4BB3" w:rsidRDefault="00BB245A" w:rsidP="00BB245A">
      <w:r w:rsidRPr="004F4BB3">
        <w:t>(6)</w:t>
      </w:r>
      <w:r w:rsidR="004F4BB3">
        <w:t xml:space="preserve"> </w:t>
      </w:r>
      <w:r w:rsidRPr="004F4BB3">
        <w:t xml:space="preserve">Izobraževanje in usposabljanje; </w:t>
      </w:r>
    </w:p>
    <w:p w14:paraId="22468791" w14:textId="595DF45F" w:rsidR="00BB245A" w:rsidRPr="004F4BB3" w:rsidRDefault="00BB245A" w:rsidP="00BB245A">
      <w:r w:rsidRPr="004F4BB3">
        <w:t>(7)</w:t>
      </w:r>
      <w:r w:rsidR="004F4BB3">
        <w:t xml:space="preserve"> </w:t>
      </w:r>
      <w:r w:rsidRPr="004F4BB3">
        <w:t>Spremljanje stanja v prostoru.</w:t>
      </w:r>
    </w:p>
    <w:p w14:paraId="06CB8CB6" w14:textId="77777777" w:rsidR="00BB245A" w:rsidRPr="004F4BB3" w:rsidRDefault="00BB245A" w:rsidP="00BB245A">
      <w:r w:rsidRPr="004F4BB3">
        <w:t xml:space="preserve">Za izvedbo vsake aktivnosti je določeno odgovorno ministrstvo in ostala sodelujoča ministrstva, časovni načrt izvajanja aktivnosti, kazalniki dosežka po posameznih aktivnostih in kazalniki učinka za spremljanje učinkovitosti izvajanja načrta. </w:t>
      </w:r>
    </w:p>
    <w:p w14:paraId="78EB6CF4" w14:textId="28F03D79" w:rsidR="00BB245A" w:rsidRPr="004F4BB3" w:rsidRDefault="00BB245A" w:rsidP="00BB245A">
      <w:r w:rsidRPr="004F4BB3">
        <w:t xml:space="preserve">Koordinacijo izvajanja celotnega Načrta prevzema Ministrstvo za naravne vire in prostor. </w:t>
      </w:r>
    </w:p>
    <w:p w14:paraId="58630A91" w14:textId="0F3B671E" w:rsidR="00487A45" w:rsidRPr="004F4BB3" w:rsidRDefault="00BB245A" w:rsidP="004F4BB3">
      <w:pPr>
        <w:pStyle w:val="Vir"/>
      </w:pPr>
      <w:r w:rsidRPr="004F4BB3">
        <w:t>Vir: Ministrstvo za naravne vire in prostor</w:t>
      </w:r>
    </w:p>
    <w:p w14:paraId="0D150905" w14:textId="17B7A9A3" w:rsidR="001A5E0E" w:rsidRPr="001A5E0E" w:rsidRDefault="001A5E0E" w:rsidP="001A5E0E">
      <w:pPr>
        <w:pStyle w:val="Naslov2"/>
      </w:pPr>
      <w:r w:rsidRPr="001A5E0E">
        <w:t xml:space="preserve">Vlada izdala Odlok o finančni pomoči za odpravo posledic škode v kmetijstvu </w:t>
      </w:r>
    </w:p>
    <w:p w14:paraId="7B07C062" w14:textId="77777777" w:rsidR="001A5E0E" w:rsidRPr="001A5E0E" w:rsidRDefault="001A5E0E" w:rsidP="001A5E0E">
      <w:pPr>
        <w:pStyle w:val="Naslov2"/>
      </w:pPr>
      <w:r w:rsidRPr="001A5E0E">
        <w:t>zaradi pozebe leta 2024</w:t>
      </w:r>
    </w:p>
    <w:p w14:paraId="1E9D4B1B" w14:textId="77777777" w:rsidR="001A5E0E" w:rsidRPr="001A5E0E" w:rsidRDefault="001A5E0E" w:rsidP="001A5E0E">
      <w:pPr>
        <w:rPr>
          <w:color w:val="000000" w:themeColor="text1"/>
        </w:rPr>
      </w:pPr>
      <w:r w:rsidRPr="001A5E0E">
        <w:rPr>
          <w:color w:val="000000" w:themeColor="text1"/>
        </w:rPr>
        <w:t>Vlada je izdala Odlok o finančni pomoči za odpravo posledic škode v kmetijstvu zaradi pozebe leta 2024. Ta je pripravljen na podlagi a44 a. člena Zakona o odpravi posledic naravnih nesreč in je osnova za izvedbo finančne pomoči za 100-odstotno škodo v primarni kmetijski proizvodnji, nastalo zaradi pozebe. Upravičencu se za odpravo posledic škode v kmetijstvu za posamezni kmetijski pridelek dodelijo sredstva v višini do največ 30 odstotkov ocene neposredne škode.</w:t>
      </w:r>
    </w:p>
    <w:p w14:paraId="0C12806F" w14:textId="5DD75853" w:rsidR="001A5E0E" w:rsidRPr="001A5E0E" w:rsidRDefault="001A5E0E" w:rsidP="001A5E0E">
      <w:pPr>
        <w:rPr>
          <w:color w:val="000000" w:themeColor="text1"/>
        </w:rPr>
      </w:pPr>
      <w:r w:rsidRPr="001A5E0E">
        <w:rPr>
          <w:color w:val="000000" w:themeColor="text1"/>
        </w:rPr>
        <w:t xml:space="preserve">Ocena neposredne škode na trajnih nasadih zaradi posledic pozebe med 17. in 22. aprilom 2024 znaša 32.681.399,06 evra. Prizadetih je bilo 1.207 oškodovancev na skupno 4.472,6 hektarjih kmetijskih površin v 107 občinah. Med njimi je 121 oškodovancev na 112,28 </w:t>
      </w:r>
      <w:proofErr w:type="gramStart"/>
      <w:r w:rsidRPr="001A5E0E">
        <w:rPr>
          <w:color w:val="000000" w:themeColor="text1"/>
        </w:rPr>
        <w:t>hektarjih</w:t>
      </w:r>
      <w:proofErr w:type="gramEnd"/>
      <w:r w:rsidRPr="001A5E0E">
        <w:rPr>
          <w:color w:val="000000" w:themeColor="text1"/>
        </w:rPr>
        <w:t xml:space="preserve"> utrpelo 100-odstotno škodo v višini 1.387.504,21 evra. Sredstva za izplačilo finančne pomoči po odloku v višini do 420.000 evrov bodo zagotovljena iz proračunske rezerve.</w:t>
      </w:r>
    </w:p>
    <w:p w14:paraId="14993603" w14:textId="0C13B632" w:rsidR="00487A45" w:rsidRDefault="001A5E0E" w:rsidP="00C524DF">
      <w:pPr>
        <w:pStyle w:val="Vir"/>
      </w:pPr>
      <w:r w:rsidRPr="001A5E0E">
        <w:t>Vir: Ministrstvo za kmetijstvo, gozdarstvo in prehrano</w:t>
      </w:r>
    </w:p>
    <w:p w14:paraId="45E60095" w14:textId="77777777" w:rsidR="00000148" w:rsidRDefault="00000148" w:rsidP="00000148"/>
    <w:p w14:paraId="61B2D871" w14:textId="77777777" w:rsidR="00000148" w:rsidRDefault="00000148" w:rsidP="00000148"/>
    <w:p w14:paraId="4A3D7DD9" w14:textId="77777777" w:rsidR="00000148" w:rsidRPr="00000148" w:rsidRDefault="00000148" w:rsidP="00000148"/>
    <w:p w14:paraId="0E9FB982" w14:textId="17709078" w:rsidR="00C524DF" w:rsidRPr="00C524DF" w:rsidRDefault="00C524DF" w:rsidP="009617D3">
      <w:pPr>
        <w:pStyle w:val="Naslov2"/>
      </w:pPr>
      <w:r w:rsidRPr="00C524DF">
        <w:lastRenderedPageBreak/>
        <w:t>Vlada podaljšala trajanja začasnega ukrepa za premostitev zaostrenih varnostnih razmer zaradi kadrovskih ali prostorskih težav v ZPKZ</w:t>
      </w:r>
    </w:p>
    <w:p w14:paraId="209C77EF" w14:textId="77777777" w:rsidR="00C524DF" w:rsidRPr="00C524DF" w:rsidRDefault="00C524DF" w:rsidP="00C524DF">
      <w:r w:rsidRPr="00C524DF">
        <w:t>Vlada je na današnji seji izdala Odlok o podaljšanju trajanja začasnega ukrepa za premostitev zaostrenih varnostnih razmer zaradi kadrovskih ali prostorskih težav v zavodih za prestajanje kazni zapora in ga objavi v Uradnem listu Republike Slovenije.</w:t>
      </w:r>
    </w:p>
    <w:p w14:paraId="2DB1DF25" w14:textId="77777777" w:rsidR="00C524DF" w:rsidRPr="00C524DF" w:rsidRDefault="00C524DF" w:rsidP="00C524DF">
      <w:r w:rsidRPr="00C524DF">
        <w:t>Na podlagi tretjega odstavka 10.b člena Zakona o izvrševanju kazenskih sankcij Vlada Republike Slovenije z odlokom ugotovi zaostrene varnostne razmere zaradi kadrovskih ali prostorskih težav v zavodih</w:t>
      </w:r>
      <w:proofErr w:type="gramStart"/>
      <w:r w:rsidRPr="00C524DF">
        <w:t>,</w:t>
      </w:r>
      <w:proofErr w:type="gramEnd"/>
      <w:r w:rsidRPr="00C524DF">
        <w:t xml:space="preserve"> ter določi vrsto in način izvršitve enega ali več začasnih ukrepov in trajanje njihove veljavnosti tako, da so ti glede na kadrovske oziroma prostorske težave v zavodih nujni, primerni in sorazmerni za varovanje življenja in zdravja varovanih oseb in varstvo njihovih človekovih pravic in temeljnih svoboščin ter za zagotavljanje nemotenega dela v zavodih. Nadalje pa četrti odstavek zgoraj navedenega člena določa, da če zaostrene varnostne razmere zaradi kadrovskih ali prostorskih težav v zavodih trajajo dlje kot tri mesece, Vlada Republike Slovenije z odlokom, trajanje začasnih ukrepov, na obrazložen predlog ministra za pravosodje, podaljša, vendar vsakič najdlje za tri mesece.</w:t>
      </w:r>
    </w:p>
    <w:p w14:paraId="1BCA67AF" w14:textId="77777777" w:rsidR="00C524DF" w:rsidRPr="00C524DF" w:rsidRDefault="00C524DF" w:rsidP="00C524DF">
      <w:r w:rsidRPr="00C524DF">
        <w:t xml:space="preserve">Na dan 18. 6. 2025 je bilo v zavodih za prestajanje kazni zapora zaposlenih 496 pravosodnih policistov, ki so varovali 1.647 varovanih oseb, kar pomeni, da je delež varovanih oseb na posameznega pravosodnega policista dosegel 3,32 varovane osebe. To pomeni, da je na dan 18. 6. 2025 delež varovanih oseb na posameznega pravosodnega policista presegel zakonsko določeno mejo 2,5 varovane osebe za odreditev začasnih ukrepov, in sicer za 0,82 varovane osebe na pravosodnega policista.    </w:t>
      </w:r>
    </w:p>
    <w:p w14:paraId="3EF864DD" w14:textId="77777777" w:rsidR="00C524DF" w:rsidRPr="00C524DF" w:rsidRDefault="00C524DF" w:rsidP="00C524DF">
      <w:r w:rsidRPr="00C524DF">
        <w:t>Zavodi za prestajanje kazni zapora in njihovi oddelki so na dan 18. 6. 2025 v povprečju zasedeni 125</w:t>
      </w:r>
      <w:proofErr w:type="gramStart"/>
      <w:r w:rsidRPr="00C524DF">
        <w:t>%</w:t>
      </w:r>
      <w:proofErr w:type="gramEnd"/>
      <w:r w:rsidRPr="00C524DF">
        <w:t>, med njimi Zavod za prestajanje kazni zapora Ljubljana 167,41%, Zavod za prestajanje kazni zapora Dob pri Mirni 130,13%, Zavod za prestajanje kazni zapora Maribor 135,71%, Zavod za prestajanje kazni zapora Koper 118,87%, Zavod za prestajanje mladoletniškega zapora in kazni zapora Celje 140,21% in Zavod za prestajanje kazni zapora Ig 91,84%. To pomeni, da je na dan 18. 6. 2025 zasedenost zavodov za prestajanje kazni zapora presegla zakonsko določeno mejo 20 % nad uradno ugotovljeno zmogljivostjo vseh zavodov skupaj za odreditev začasnih ukrepov, in sicer za 5 %.</w:t>
      </w:r>
    </w:p>
    <w:p w14:paraId="3B8F0363" w14:textId="650A96D5" w:rsidR="00C524DF" w:rsidRPr="00C524DF" w:rsidRDefault="00C524DF" w:rsidP="00C524DF">
      <w:r w:rsidRPr="00C524DF">
        <w:t xml:space="preserve">Ministrica za pravosodje, na pobudo generalnega direktorja Uprave Republike Slovenije za izvrševanje kazenskih sankcij Vladi Republike Slovenije predlaga sprejetje odloka za podaljšanje veljavnosti začasnega ukrepa opravljanja del in nalog pravosodnega policista s strani delavca uprave, ki je bil v preteklosti zaposlen na delovnem mestu pravosodni policist, v trajanju nadaljnjih treh mesecev.  </w:t>
      </w:r>
    </w:p>
    <w:p w14:paraId="0A67481C" w14:textId="32A12A9E" w:rsidR="00487A45" w:rsidRPr="00C524DF" w:rsidRDefault="00C524DF" w:rsidP="00C524DF">
      <w:pPr>
        <w:pStyle w:val="Vir"/>
      </w:pPr>
      <w:r w:rsidRPr="00C524DF">
        <w:t>Vir: Ministrstvo za pravosodje</w:t>
      </w:r>
    </w:p>
    <w:p w14:paraId="537A6422" w14:textId="09CAE74F" w:rsidR="008F4C3C" w:rsidRPr="008F4C3C" w:rsidRDefault="008F4C3C" w:rsidP="008F4C3C">
      <w:pPr>
        <w:pStyle w:val="Naslov2"/>
      </w:pPr>
      <w:r w:rsidRPr="008F4C3C">
        <w:t>Vlada je potrdila spremembe Statuta ZPIZ</w:t>
      </w:r>
    </w:p>
    <w:p w14:paraId="1E93EA6A" w14:textId="3A355B47" w:rsidR="008F4C3C" w:rsidRPr="008F4C3C" w:rsidRDefault="008F4C3C" w:rsidP="008F4C3C">
      <w:r w:rsidRPr="008F4C3C">
        <w:t>Vlada je dala soglasje k Spremembam in dopolnitvam Statuta Zavoda za pokojninsko in invalidsko zavarovanje Slovenije, ki jih je Svet Zavoda za pokojninsko in invalidsko zavarovanje Slovenije sprejel na seji12. junija 2025.</w:t>
      </w:r>
    </w:p>
    <w:p w14:paraId="7F638708" w14:textId="77777777" w:rsidR="008F4C3C" w:rsidRPr="008F4C3C" w:rsidRDefault="008F4C3C" w:rsidP="008F4C3C">
      <w:r w:rsidRPr="008F4C3C">
        <w:t xml:space="preserve">Predlagane spremembe in dopolnitve statuta so potrebne zaradi uskladitev s spremembami ZPIZ-2, zaradi nove ureditve skupnih temeljev sistema plač javnih uslužbencev v Zakonu o skupnih temeljih sistema plač v javnem sektorju ter tudi zaradi uskladitve z Uredbo o standardni klasifikaciji dejavnosti, ki je začela veljati s 1. 1. 2025. Poleg tega so se med uporabo v obdobju desetih let veljavnosti statuta pojavile potrebe po nekaterih spremembah in dopolnitvah statuta s ciljem še učinkovitejšega upravljanja, vodenja in izvajanja nalog Zavoda za pokojninsko in invalidsko zavarovanje Slovenije. </w:t>
      </w:r>
    </w:p>
    <w:p w14:paraId="71E682A1" w14:textId="3EB6EAD7" w:rsidR="008F4C3C" w:rsidRPr="008F4C3C" w:rsidRDefault="008F4C3C" w:rsidP="008F4C3C">
      <w:r w:rsidRPr="008F4C3C">
        <w:t>V skladu z določbo tretjega odstavka 188. člena ZPIZ-2 mora k spremembam statuta soglasje podati Vlada Republike Slovenije, nato pa se v skladu z zakonom predpis objavi v Uradnem listu Republike Slovenije.</w:t>
      </w:r>
    </w:p>
    <w:p w14:paraId="29CE48ED" w14:textId="088E8F92" w:rsidR="00487A45" w:rsidRPr="008F4C3C" w:rsidRDefault="008F4C3C" w:rsidP="008F4C3C">
      <w:pPr>
        <w:pStyle w:val="Vir"/>
      </w:pPr>
      <w:r w:rsidRPr="008F4C3C">
        <w:t>Vir: Ministrstvo za delo, družino, socialne zadeve in enake možnost</w:t>
      </w:r>
      <w:r>
        <w:t>i</w:t>
      </w:r>
    </w:p>
    <w:p w14:paraId="2885A2CE" w14:textId="279E2BB9" w:rsidR="004857E7" w:rsidRPr="004857E7" w:rsidRDefault="004857E7" w:rsidP="004857E7">
      <w:pPr>
        <w:pStyle w:val="Naslov2"/>
      </w:pPr>
      <w:r w:rsidRPr="004857E7">
        <w:lastRenderedPageBreak/>
        <w:t xml:space="preserve">Imenovan revizor letnih poročil Sklada </w:t>
      </w:r>
    </w:p>
    <w:p w14:paraId="4A63DC1F" w14:textId="2BFB8B36" w:rsidR="004857E7" w:rsidRPr="004857E7" w:rsidRDefault="004857E7" w:rsidP="004857E7">
      <w:r w:rsidRPr="004857E7">
        <w:t xml:space="preserve">Vlada je za revizorja letnih poročil Javnega štipendijskega, razvojnega, invalidskega in preživninskega sklada Republike Slovenije za leta 2025, 2026 in 2027 imenovala AUDIT – I.N.G., </w:t>
      </w:r>
      <w:proofErr w:type="gramStart"/>
      <w:r w:rsidRPr="004857E7">
        <w:t>d.o.o.</w:t>
      </w:r>
      <w:proofErr w:type="gramEnd"/>
      <w:r w:rsidRPr="004857E7">
        <w:t>, Ljubljana.</w:t>
      </w:r>
    </w:p>
    <w:p w14:paraId="4E3C4013" w14:textId="0F0CBA0D" w:rsidR="004857E7" w:rsidRPr="004857E7" w:rsidRDefault="004857E7" w:rsidP="004857E7">
      <w:r w:rsidRPr="004857E7">
        <w:t xml:space="preserve">Direktorica Javnega štipendijskega, razvojnega, invalidskega in preživninskega sklada Republike Slovenije je 18. 3. 2025 imenovala strokovno komisijo za izvedbo postopka javnega naročila za zunanjo revizijo poslovanja sklada za obdobje 2025–2027. Nadzorni svet sklada je nato 15. 5. 2025 sprejel sklep, s katerim predlaga Vladi Republike Slovenije, da za revizorja sklada za poslovna leta 2025, 2026 in 2027 imenuje družbo AUDIT – I.N.G., </w:t>
      </w:r>
      <w:proofErr w:type="gramStart"/>
      <w:r w:rsidRPr="004857E7">
        <w:t>d.o.o.</w:t>
      </w:r>
      <w:proofErr w:type="gramEnd"/>
      <w:r w:rsidRPr="004857E7">
        <w:t>, pri čemer se upošteva tudi določba Zakona o revidiranju glede omejitve trajanja neprekinjenega opravljanja nalog ključnega revizijskega partnerja.</w:t>
      </w:r>
    </w:p>
    <w:p w14:paraId="30EAE2DB" w14:textId="1ADBD15D" w:rsidR="00487A45" w:rsidRPr="004857E7" w:rsidRDefault="004857E7" w:rsidP="004857E7">
      <w:pPr>
        <w:pStyle w:val="Vir"/>
      </w:pPr>
      <w:r w:rsidRPr="004857E7">
        <w:t>Vir: Ministrstvo za delo, družino, socialne zadeve in enake možnosti</w:t>
      </w:r>
    </w:p>
    <w:p w14:paraId="2CAD842C" w14:textId="3FDB8BCE" w:rsidR="002104D3" w:rsidRPr="002104D3" w:rsidRDefault="00AB7EBC" w:rsidP="002104D3">
      <w:pPr>
        <w:pStyle w:val="Naslov2"/>
      </w:pPr>
      <w:r>
        <w:t>V</w:t>
      </w:r>
      <w:r w:rsidR="002104D3" w:rsidRPr="002104D3">
        <w:t>lada se je seznanila s Skupnim poročilom o prostovoljstvu v Republiki Sloveniji za leto 2024</w:t>
      </w:r>
    </w:p>
    <w:p w14:paraId="7ED59FC5" w14:textId="77777777" w:rsidR="002104D3" w:rsidRPr="002104D3" w:rsidRDefault="002104D3" w:rsidP="002104D3">
      <w:r w:rsidRPr="002104D3">
        <w:t>Skupno poročilo o prostovoljstvu za leto 2024 vključuje seznam prostovoljskih organizacij in organizacij s prostovoljskim programom ter podatke o opravljenem prostovoljskem delu in oceno vrednosti prispevka prostovoljstva k družbeni blaginji.</w:t>
      </w:r>
    </w:p>
    <w:p w14:paraId="34BCD33B" w14:textId="77777777" w:rsidR="002104D3" w:rsidRPr="002104D3" w:rsidRDefault="002104D3" w:rsidP="002104D3">
      <w:r w:rsidRPr="002104D3">
        <w:t>V letu 2024 je poročilo o prostovoljskem delu oddalo 2.675 prostovoljskih organizacij in organizacij s prostovoljskim programom. Skupno število prostovoljcev v letu 2024 je bilo 203.786, skupaj pa so opravili 8.560.250 ur prostovoljskega dela. Največ prostovoljskih ur je bilo, podobno kot v prejšnjih letih, opravljenih na področju socialne dejavnosti. V primerjavi z letom 2023, ko je bilo skupno število prostovoljcev 206.845, opravljenih ur pa 8.072.127, je opazen porast števila opravljenih prostovoljskih ur, medtem ko se je skupno število prostovoljcev nekoliko zmanjšalo.</w:t>
      </w:r>
    </w:p>
    <w:p w14:paraId="65A0BA1C" w14:textId="77777777" w:rsidR="002104D3" w:rsidRPr="002104D3" w:rsidRDefault="002104D3" w:rsidP="002104D3">
      <w:r w:rsidRPr="002104D3">
        <w:t xml:space="preserve">Vrednost organiziranega prostovoljskega dela v letu 2024 je ocenjena na 84.972.928 evrov, kar jasno odraža pomembno in nenadomestljivo vlogo prostovoljstva pri soustvarjanju družbene blaginje v Republiki Sloveniji. </w:t>
      </w:r>
    </w:p>
    <w:p w14:paraId="37059729" w14:textId="77777777" w:rsidR="002104D3" w:rsidRPr="002104D3" w:rsidRDefault="002104D3" w:rsidP="002104D3">
      <w:r w:rsidRPr="002104D3">
        <w:t xml:space="preserve">Ob tem poudarjamo, da poročilo zajema uradne podatke o organiziranem prostovoljskem delu, kar pomeni, da vključuje le tisto prostovoljsko dejavnost, ki poteka v okviru vpisanih prostovoljskih organizacij in javnih zavodov ter pri kateri posameznik opravi najmanj 24 ur prostovoljskega dela letno. V evidenco tako niso vključeni posamezniki ali aktivnosti, ki potekajo zunaj teh meril (na primer enkratne prostovoljske akcije ali delo v organizacijah, ki niso vpisane v uradni vpisnik). </w:t>
      </w:r>
    </w:p>
    <w:p w14:paraId="405CAA90" w14:textId="77777777" w:rsidR="002104D3" w:rsidRPr="002104D3" w:rsidRDefault="002104D3" w:rsidP="002104D3">
      <w:r w:rsidRPr="002104D3">
        <w:t>Iz skupnega poročila o prostovoljstvu izhaja, da v sodobni družbi, kjer se soočamo z vedno bolj kompleksnimi izzivi – od socialne izključenosti, starajoče se populacije, do duševnega zdravja in podnebnih sprememb – prostovoljstvo ostaja ena najmočnejših oblik medčloveške povezanosti in družbene odgovornosti. Prostovoljske dejavnosti zajemajo širok spekter področij: od socialne podpore, kulturnih in okoljskih pobud, medgeneracijskega sodelovanja</w:t>
      </w:r>
      <w:proofErr w:type="gramStart"/>
      <w:r w:rsidRPr="002104D3">
        <w:t>,</w:t>
      </w:r>
      <w:proofErr w:type="gramEnd"/>
      <w:r w:rsidRPr="002104D3">
        <w:t xml:space="preserve"> do izobraževanja, športa, civilne zaščite in reševanja ter skrbi za ranljive skupine.</w:t>
      </w:r>
    </w:p>
    <w:p w14:paraId="5B379952" w14:textId="77777777" w:rsidR="002104D3" w:rsidRPr="002104D3" w:rsidRDefault="002104D3" w:rsidP="002104D3">
      <w:r w:rsidRPr="002104D3">
        <w:t>V poročilu je poudarjeno še, da je v zaključni fazi priprava prve samostojne Strategije razvoja prostovoljstva do leta 2030, ki predstavlja celovit in usmerjen odgovor na potrebe ter priložnosti v prostovoljskem sektorju. S pripravo samostojne strategije na tem področju je Vlada jasno izrazila zavedanje o ključni vlogi prostovoljstva pri razvoju vključujoče, solidarne in odporne družbe ter področju namenila posebno pozornost in strateški pomen.</w:t>
      </w:r>
    </w:p>
    <w:p w14:paraId="6B46AD03" w14:textId="6FCF9398" w:rsidR="002104D3" w:rsidRPr="002104D3" w:rsidRDefault="002104D3" w:rsidP="002104D3">
      <w:r w:rsidRPr="002104D3">
        <w:t>Zakon o prostovoljstvu določa, da Ministrstvo za javno upravo na podlagi zbirnih podatkov Ajpesa vsako leto pripravi skupno poročilo o prostovoljstvu v Republiki Sloveniji za preteklo koledarsko leto in ga predložiti Vladi v seznanitev.</w:t>
      </w:r>
    </w:p>
    <w:p w14:paraId="51C371A2" w14:textId="7B788A60" w:rsidR="00487A45" w:rsidRPr="002104D3" w:rsidRDefault="002104D3" w:rsidP="002104D3">
      <w:pPr>
        <w:pStyle w:val="Vir"/>
      </w:pPr>
      <w:r w:rsidRPr="002104D3">
        <w:t>Vir: Ministrstvo za javno upravo</w:t>
      </w:r>
    </w:p>
    <w:p w14:paraId="2253FC4D" w14:textId="2E617A6E" w:rsidR="003671FE" w:rsidRPr="003671FE" w:rsidRDefault="003671FE" w:rsidP="003671FE">
      <w:pPr>
        <w:pStyle w:val="Naslov2"/>
      </w:pPr>
      <w:r w:rsidRPr="003671FE">
        <w:t>Vlada prerazporeja sredstva državnega proračuna</w:t>
      </w:r>
    </w:p>
    <w:p w14:paraId="04E5D33B" w14:textId="6C1856FA" w:rsidR="003671FE" w:rsidRPr="003671FE" w:rsidRDefault="003671FE" w:rsidP="003671FE">
      <w:r w:rsidRPr="003671FE">
        <w:t>Vlada je odločila o prerazporeditvah pravic porabe v letošnjem državnem proračunu.</w:t>
      </w:r>
    </w:p>
    <w:p w14:paraId="149C21A2" w14:textId="77777777" w:rsidR="003671FE" w:rsidRPr="003671FE" w:rsidRDefault="003671FE" w:rsidP="003671FE">
      <w:r w:rsidRPr="003671FE">
        <w:lastRenderedPageBreak/>
        <w:t>Ministrstvo za infrastrukturo/Direkcija Republike Slovenije za infrastrukturo razporeja pravice porabe znotraj svojega finančnega načrta v skupni višini 10 milijonov evrov z namenom zagotovitve dodatnih sredstev za redno vzdrževanje državnih cest (iz investicijskega vzdrževanja na tekoče vzdrževanje).</w:t>
      </w:r>
    </w:p>
    <w:p w14:paraId="07AB16C7" w14:textId="77777777" w:rsidR="003671FE" w:rsidRPr="003671FE" w:rsidRDefault="003671FE" w:rsidP="003671FE">
      <w:r w:rsidRPr="003671FE">
        <w:t>Ministrstvo za finance razporeja sredstva splošne proračunske rezervacije Ministrstvu za obrambo v višini 51 tisoč evrov za nastale stroške pri izvajanju pomoči Republiki Severni Makedoniji, in sicer zaradi posledic požarov v nočnem klubu v mestu Kočani, kjer je v sklopu medicinske evakuacije sodelovala Slovenska vojska.</w:t>
      </w:r>
    </w:p>
    <w:p w14:paraId="25D3C9B4" w14:textId="18C2F60E" w:rsidR="003671FE" w:rsidRPr="003671FE" w:rsidRDefault="003671FE" w:rsidP="003671FE">
      <w:r w:rsidRPr="003671FE">
        <w:t>Urad vlade Republike Slovenije za informacijsko varnost razporeja pravice porabe znotraj svojega finančnega načrta v znesku 74 tisoč evrov za izvedbo projekta »Zaščita prometne infrastrukture pred sistemskimi tveganji – Atlantis«. Projekt bo dokončno razvil strategijo in orodja za zagotavljanje boljše razpoložljivosti in zanesljivosti storitev na področju energetike, prometa in telekomunikacij v primeru pandemije.</w:t>
      </w:r>
    </w:p>
    <w:p w14:paraId="635E1D40" w14:textId="1FB72036" w:rsidR="00487A45" w:rsidRPr="003671FE" w:rsidRDefault="003671FE" w:rsidP="004A2C3C">
      <w:pPr>
        <w:pStyle w:val="Vir"/>
      </w:pPr>
      <w:r w:rsidRPr="003671FE">
        <w:t>Vir: Ministrstvo za finance</w:t>
      </w:r>
    </w:p>
    <w:p w14:paraId="398EF18D" w14:textId="37F4519E" w:rsidR="00244B7E" w:rsidRPr="00244B7E" w:rsidRDefault="00244B7E" w:rsidP="00244B7E">
      <w:pPr>
        <w:pStyle w:val="Naslov2"/>
      </w:pPr>
      <w:r w:rsidRPr="00244B7E">
        <w:t xml:space="preserve">Soglasje za nov vir financiranja na projektu »Kampus Vrazov trg, Medicinske fakultete Univerze v Ljubljani«  </w:t>
      </w:r>
    </w:p>
    <w:p w14:paraId="08D4AADE" w14:textId="77777777" w:rsidR="00244B7E" w:rsidRPr="00244B7E" w:rsidRDefault="00244B7E" w:rsidP="00244B7E">
      <w:r w:rsidRPr="00244B7E">
        <w:t xml:space="preserve">Ministrstvo za visoko šolstvo, znanost in inovacije (MVZI) ter Univerza v Ljubljani (UL) bosta za investicijski projekt »Kampus Vrazov trg, Medicinska fakulteta Univerze v Ljubljani«, sklenila aneks k pogodbi o sofinanciranju izvedbe omenjenega projekta v okviru Načrta za okrevanje in odpornost. Z njim se bo na projekt </w:t>
      </w:r>
      <w:proofErr w:type="gramStart"/>
      <w:r w:rsidRPr="00244B7E">
        <w:t>vpeljalo</w:t>
      </w:r>
      <w:proofErr w:type="gramEnd"/>
      <w:r w:rsidRPr="00244B7E">
        <w:t xml:space="preserve"> nov vir financiranja, in sicer se v letu 2026 zagotovijo sredstva iz proračunske postavke Investicije v javne zdravstvene zavode do višine 17,6 milijona evrov. K navedenemu je MVZI pridobilo soglasje Ministrstva za zdravje, Urada za nadzor, kakovost in investicije v zdravstvu.  </w:t>
      </w:r>
    </w:p>
    <w:p w14:paraId="261CCB4A" w14:textId="07ECBBF6" w:rsidR="00244B7E" w:rsidRPr="00244B7E" w:rsidRDefault="00244B7E" w:rsidP="00244B7E">
      <w:r w:rsidRPr="00244B7E">
        <w:t>Skladno z določilom Zakona o izvrševanju proračunov Republike Slovenije za leti 2025 in 2026 lahko neposredni uporabnik prevzema obveznosti za pogodbe za investicije v zdravstvu, predvidene z Zakonom o zagotavljanju finančnih sredstev za investicije v slovensko zdravstvo v letih od 2021 do 2031 na področju izobraževanja. Ministrstvo, pristojno za visoko šolstvo, znanost in inovacije, pa mora pred prevzemom navedenih obveznosti pridobiti tudi soglasje vlade. Vlada je na današnji seji MVZI to soglasje dala</w:t>
      </w:r>
      <w:proofErr w:type="gramStart"/>
      <w:r w:rsidRPr="00244B7E">
        <w:t>..</w:t>
      </w:r>
      <w:proofErr w:type="gramEnd"/>
    </w:p>
    <w:p w14:paraId="50E597D6" w14:textId="7CCDB625" w:rsidR="004A2C3C" w:rsidRPr="004A2C3C" w:rsidRDefault="00244B7E" w:rsidP="006139AF">
      <w:pPr>
        <w:pStyle w:val="Vir"/>
      </w:pPr>
      <w:r w:rsidRPr="00244B7E">
        <w:t>Vir: Ministrstvo za visoko šolstvo, znanost in inovacije</w:t>
      </w:r>
    </w:p>
    <w:p w14:paraId="3FCDE3C9" w14:textId="2F31EE8F" w:rsidR="00AD3780" w:rsidRPr="00AD3780" w:rsidRDefault="00AD3780" w:rsidP="00AD3780">
      <w:pPr>
        <w:pStyle w:val="Naslov2"/>
      </w:pPr>
      <w:r w:rsidRPr="00AD3780">
        <w:t>Uvrstitev novega projekta »Novogradnja Fakultete za farmacijo« v veljavni Načrt Razvojnih programov 2025-2028</w:t>
      </w:r>
    </w:p>
    <w:p w14:paraId="50DDDC56" w14:textId="77777777" w:rsidR="00AD3780" w:rsidRPr="00AD3780" w:rsidRDefault="00AD3780" w:rsidP="00AD3780">
      <w:r w:rsidRPr="00AD3780">
        <w:t xml:space="preserve">Vlada je sklenila, da se v veljavni Načrt razvojnih programov za obdobje 2025-2028 uvrsti novi projekt »Novogradnja Fakultete za farmacijo« Univerze v Ljubljani (v nadaljevanju UL FFA). </w:t>
      </w:r>
    </w:p>
    <w:p w14:paraId="31C7EB4E" w14:textId="77777777" w:rsidR="00AD3780" w:rsidRPr="00AD3780" w:rsidRDefault="00AD3780" w:rsidP="00AD3780">
      <w:r w:rsidRPr="00AD3780">
        <w:t>Temeljni cilj tega investicijskega projekta je odpraviti prostorske in tehnične omejitve za izvajanje pedagoške, znanstvenoraziskovalne in razvojne ter strokovne dejavnosti UL FFA. Z novogradnjo bo fakulteta pridobila 33.790 kvadratnih metrov novih prostorov, ki bodo ustrezali najvišjim standardom. To bo omogočilo povečanje vpisnih mest za redni študij v že akreditirane študijske programe enovitega magistrskega študija farmacije in dodatno še zdravstvenega kadra s področja laboratorijske diagnostike.</w:t>
      </w:r>
    </w:p>
    <w:p w14:paraId="5D9AD40B" w14:textId="77777777" w:rsidR="00AD3780" w:rsidRPr="00AD3780" w:rsidRDefault="00AD3780" w:rsidP="00AD3780">
      <w:r w:rsidRPr="00AD3780">
        <w:t>Celotna vrednost projekta je ocenjena na 133.079.481 evrov (z DDV). Financiranje je predvideno iz treh virov. Pretežni del v višini 97,6 milijona evrov bo zagotovljen iz proračunskih sredstev na podlagi Zakona o zagotavljanju finančnih sredstev za investicije v slovensko zdravstvo v letih od 2021 do 2031 (ZZSIZS), 18,7 milijona evrov bo prispevalo Ministrstvo za visoko šolstvo, znanost in inovacije, preostalih 16,8 milijona evrov pa bo zagotovila Univerza v Ljubljani iz lastnih sredstev.</w:t>
      </w:r>
    </w:p>
    <w:p w14:paraId="129E350B" w14:textId="7E48FA42" w:rsidR="00AD3780" w:rsidRPr="00AD3780" w:rsidRDefault="00AD3780" w:rsidP="00AD3780">
      <w:r w:rsidRPr="00AD3780">
        <w:t>Gradbeno dovoljenje za projekt je bilo pridobljeno julija lani, pripravljeni sta tudi investicijska in projektna dokumentacija.</w:t>
      </w:r>
    </w:p>
    <w:p w14:paraId="39682144" w14:textId="64A530CF" w:rsidR="00487A45" w:rsidRPr="00AD3780" w:rsidRDefault="00AD3780" w:rsidP="00AD3780">
      <w:pPr>
        <w:pStyle w:val="Vir"/>
      </w:pPr>
      <w:r w:rsidRPr="00AD3780">
        <w:lastRenderedPageBreak/>
        <w:t>Vir: Ministrstvo za visoko šolstvo, znanost in inovacije</w:t>
      </w:r>
    </w:p>
    <w:p w14:paraId="62039D88" w14:textId="4696B869" w:rsidR="00715F7F" w:rsidRPr="00715F7F" w:rsidRDefault="00715F7F" w:rsidP="00715F7F">
      <w:pPr>
        <w:pStyle w:val="Naslov2"/>
      </w:pPr>
      <w:r w:rsidRPr="00715F7F">
        <w:t>Uvrstitev šestih projektov Revitalizacija objektov javne infrastrukture na obmejnih problemskih območjih za leto 2025 v veljavni Načrt razvojnih programov za obdobje 2025–2028</w:t>
      </w:r>
    </w:p>
    <w:p w14:paraId="2A47B6BD" w14:textId="7AD1970F" w:rsidR="00715F7F" w:rsidRPr="00715F7F" w:rsidRDefault="00715F7F" w:rsidP="00715F7F">
      <w:pPr>
        <w:rPr>
          <w:color w:val="000000" w:themeColor="text1"/>
        </w:rPr>
      </w:pPr>
      <w:r w:rsidRPr="00715F7F">
        <w:rPr>
          <w:color w:val="000000" w:themeColor="text1"/>
        </w:rPr>
        <w:t>Vlada je v veljavni načrt razvojnih programov 2025–2028 uvrstila šest novih projektov, in sicer</w:t>
      </w:r>
      <w:proofErr w:type="gramStart"/>
      <w:r w:rsidRPr="00715F7F">
        <w:rPr>
          <w:color w:val="000000" w:themeColor="text1"/>
        </w:rPr>
        <w:t xml:space="preserve"> :</w:t>
      </w:r>
      <w:proofErr w:type="gramEnd"/>
    </w:p>
    <w:p w14:paraId="1C3A4675" w14:textId="77777777" w:rsidR="00715F7F" w:rsidRPr="00715F7F" w:rsidRDefault="00715F7F" w:rsidP="00715F7F">
      <w:pPr>
        <w:rPr>
          <w:color w:val="000000" w:themeColor="text1"/>
        </w:rPr>
      </w:pPr>
      <w:r w:rsidRPr="00715F7F">
        <w:rPr>
          <w:color w:val="000000" w:themeColor="text1"/>
        </w:rPr>
        <w:t>- Obnova gradu Kostel</w:t>
      </w:r>
    </w:p>
    <w:p w14:paraId="02ADA929" w14:textId="77777777" w:rsidR="00715F7F" w:rsidRPr="00715F7F" w:rsidRDefault="00715F7F" w:rsidP="00715F7F">
      <w:pPr>
        <w:rPr>
          <w:color w:val="000000" w:themeColor="text1"/>
        </w:rPr>
      </w:pPr>
      <w:r w:rsidRPr="00715F7F">
        <w:rPr>
          <w:color w:val="000000" w:themeColor="text1"/>
        </w:rPr>
        <w:t>- Revitalizacija Resnikove hiše v Kozjem</w:t>
      </w:r>
    </w:p>
    <w:p w14:paraId="5B3F3547" w14:textId="77777777" w:rsidR="00715F7F" w:rsidRPr="00715F7F" w:rsidRDefault="00715F7F" w:rsidP="00715F7F">
      <w:pPr>
        <w:rPr>
          <w:color w:val="000000" w:themeColor="text1"/>
        </w:rPr>
      </w:pPr>
      <w:r w:rsidRPr="00715F7F">
        <w:rPr>
          <w:color w:val="000000" w:themeColor="text1"/>
        </w:rPr>
        <w:t>- Rekonstrukcija Natalijine hiše Komen</w:t>
      </w:r>
    </w:p>
    <w:p w14:paraId="22EBC528" w14:textId="77777777" w:rsidR="00715F7F" w:rsidRPr="00715F7F" w:rsidRDefault="00715F7F" w:rsidP="00715F7F">
      <w:pPr>
        <w:rPr>
          <w:color w:val="000000" w:themeColor="text1"/>
        </w:rPr>
      </w:pPr>
      <w:r w:rsidRPr="00715F7F">
        <w:rPr>
          <w:color w:val="000000" w:themeColor="text1"/>
        </w:rPr>
        <w:t>- Revitalizacija in obnova objekta Podvelka 55</w:t>
      </w:r>
    </w:p>
    <w:p w14:paraId="49F74A46" w14:textId="77777777" w:rsidR="00715F7F" w:rsidRPr="00715F7F" w:rsidRDefault="00715F7F" w:rsidP="00715F7F">
      <w:pPr>
        <w:rPr>
          <w:color w:val="000000" w:themeColor="text1"/>
        </w:rPr>
      </w:pPr>
      <w:r w:rsidRPr="00715F7F">
        <w:rPr>
          <w:color w:val="000000" w:themeColor="text1"/>
        </w:rPr>
        <w:t>- Obnova centra v Mestni grabi – Ormož</w:t>
      </w:r>
    </w:p>
    <w:p w14:paraId="2EE948DB" w14:textId="77777777" w:rsidR="00715F7F" w:rsidRPr="00715F7F" w:rsidRDefault="00715F7F" w:rsidP="00715F7F">
      <w:pPr>
        <w:rPr>
          <w:color w:val="000000" w:themeColor="text1"/>
        </w:rPr>
      </w:pPr>
      <w:r w:rsidRPr="00715F7F">
        <w:rPr>
          <w:color w:val="000000" w:themeColor="text1"/>
        </w:rPr>
        <w:t>- Celovita obnova Kosovelove domačije v Tomaju</w:t>
      </w:r>
    </w:p>
    <w:p w14:paraId="06EB7E50" w14:textId="77777777" w:rsidR="00715F7F" w:rsidRPr="00715F7F" w:rsidRDefault="00715F7F" w:rsidP="00715F7F">
      <w:pPr>
        <w:rPr>
          <w:color w:val="000000" w:themeColor="text1"/>
        </w:rPr>
      </w:pPr>
      <w:r w:rsidRPr="00715F7F">
        <w:rPr>
          <w:color w:val="000000" w:themeColor="text1"/>
        </w:rPr>
        <w:t xml:space="preserve">Gre za projekte, prijavljene na Javni razpis Revitalizacija objektov javne infrastrukture na obmejnih problemskih območjih za leto 2025 in njegovo spremembo, objavljenega v Uradnem listu RS št. 11/2025 z dne </w:t>
      </w:r>
      <w:proofErr w:type="gramStart"/>
      <w:r w:rsidRPr="00715F7F">
        <w:rPr>
          <w:color w:val="000000" w:themeColor="text1"/>
        </w:rPr>
        <w:t>21.2.2025</w:t>
      </w:r>
      <w:proofErr w:type="gramEnd"/>
      <w:r w:rsidRPr="00715F7F">
        <w:rPr>
          <w:color w:val="000000" w:themeColor="text1"/>
        </w:rPr>
        <w:t xml:space="preserve">, ki so izpolnjevali vse razpisne pogoje in dosegli zadostno število točk za izdajo sklepa o sofinanciranju. Namen razpisa je revitalizacija zapuščenih, delno zapuščenih in </w:t>
      </w:r>
      <w:proofErr w:type="gramStart"/>
      <w:r w:rsidRPr="00715F7F">
        <w:rPr>
          <w:color w:val="000000" w:themeColor="text1"/>
        </w:rPr>
        <w:t>ne vzdrževanih</w:t>
      </w:r>
      <w:proofErr w:type="gramEnd"/>
      <w:r w:rsidRPr="00715F7F">
        <w:rPr>
          <w:color w:val="000000" w:themeColor="text1"/>
        </w:rPr>
        <w:t xml:space="preserve"> objektov javne infrastrukture na obmejnih problemskih območjih (OPO) z namenom ohranjanja in obnavljanja naselbinske dediščine, funkcijskega dopolnjevanja z novimi centralnimi dejavnostmi, oskrbnimi in drugimi storitvami ter podjetniškimi iniciativami, v katere se vključuje čim več lokalnega prebivalstva in prebivalstva izven lokalnega območja. Cilj javnega razpisa je, da se v revitaliziranih objektih vzpostavijo raznovrstne dejavnosti, ki krepijo podjetniški, turistični, kulturni, socialni, zdravstveni, izobraževalni ipd. potencial, s čimer se naslavlja problematika odliva delovno aktivnega prebivalstva, slabšanja demografskega potenciala ter slabšanja opremljenosti z oskrbnimi (in storitvenimi) dejavnostmi na OPO.</w:t>
      </w:r>
    </w:p>
    <w:p w14:paraId="5651026C" w14:textId="75AD7C97" w:rsidR="00715F7F" w:rsidRPr="00715F7F" w:rsidRDefault="00715F7F" w:rsidP="00715F7F">
      <w:pPr>
        <w:rPr>
          <w:color w:val="000000" w:themeColor="text1"/>
        </w:rPr>
      </w:pPr>
      <w:r w:rsidRPr="00715F7F">
        <w:rPr>
          <w:color w:val="000000" w:themeColor="text1"/>
        </w:rPr>
        <w:t>Ker vrednost projektov presega 6.000.000,00 EUR, je v skladu z določili 31. člena Zakona o izvrševanju proračunov Republike Slovenije za leti 2025 in 2026 (ZIPRS2526) o uvrstitvi projektov v veljavni načrt razvojnih programov odločila Vlada RS.</w:t>
      </w:r>
    </w:p>
    <w:p w14:paraId="6EFE9DF8" w14:textId="7CD6D01C" w:rsidR="00487A45" w:rsidRPr="00715F7F" w:rsidRDefault="00715F7F" w:rsidP="00715F7F">
      <w:pPr>
        <w:pStyle w:val="Vir"/>
      </w:pPr>
      <w:r w:rsidRPr="00715F7F">
        <w:t>Vir: Ministrstvo za kohezijo in regionalni razvoj</w:t>
      </w:r>
    </w:p>
    <w:p w14:paraId="20C13147" w14:textId="35B2F1A3" w:rsidR="00E2763F" w:rsidRDefault="00E2763F" w:rsidP="004A2C3C">
      <w:pPr>
        <w:pStyle w:val="Naslov2"/>
      </w:pPr>
      <w:r w:rsidRPr="00E2763F">
        <w:t>Uvrstitev projekta dozidave in rekonstrukcije OŠ Ferda Vesela</w:t>
      </w:r>
    </w:p>
    <w:p w14:paraId="55A80B13" w14:textId="77777777" w:rsidR="00E2763F" w:rsidRPr="00E2763F" w:rsidRDefault="00E2763F" w:rsidP="00E2763F">
      <w:pPr>
        <w:rPr>
          <w:color w:val="000000" w:themeColor="text1"/>
        </w:rPr>
      </w:pPr>
      <w:r w:rsidRPr="00E2763F">
        <w:rPr>
          <w:color w:val="000000" w:themeColor="text1"/>
        </w:rPr>
        <w:t xml:space="preserve">Vlada je sprejela sklep o uvrstitvi projekta 2570-25-0024 Dozidava in rekonstrukcija OŠ Ferda Vesela v veljavni Načrt razvojnih programov 2025–2028. </w:t>
      </w:r>
    </w:p>
    <w:p w14:paraId="4E9726CF" w14:textId="77777777" w:rsidR="00E2763F" w:rsidRPr="00E2763F" w:rsidRDefault="00E2763F" w:rsidP="00E2763F">
      <w:pPr>
        <w:rPr>
          <w:color w:val="000000" w:themeColor="text1"/>
        </w:rPr>
      </w:pPr>
      <w:r w:rsidRPr="00E2763F">
        <w:rPr>
          <w:color w:val="000000" w:themeColor="text1"/>
        </w:rPr>
        <w:t>S tem pomembnim korakom bo zagotovljena podpora investiciji, katere cilj je izboljšanje prostorskih pogojev za izvajanje osnovnošolskega izobraževanja v Občini Ivančna Gorica.</w:t>
      </w:r>
    </w:p>
    <w:p w14:paraId="17B8BBBA" w14:textId="77777777" w:rsidR="00E2763F" w:rsidRPr="00E2763F" w:rsidRDefault="00E2763F" w:rsidP="00E2763F">
      <w:pPr>
        <w:rPr>
          <w:color w:val="000000" w:themeColor="text1"/>
        </w:rPr>
      </w:pPr>
      <w:r w:rsidRPr="00E2763F">
        <w:rPr>
          <w:color w:val="000000" w:themeColor="text1"/>
        </w:rPr>
        <w:t xml:space="preserve">Projekt vključuje rekonstrukcijo dela obstoječega objekta in gradnjo novega prizidka k OŠ Ferda Vesela. Nov prizidek, zgrajen kot skoraj </w:t>
      </w:r>
      <w:proofErr w:type="spellStart"/>
      <w:proofErr w:type="gramStart"/>
      <w:r w:rsidRPr="00E2763F">
        <w:rPr>
          <w:color w:val="000000" w:themeColor="text1"/>
        </w:rPr>
        <w:t>nič</w:t>
      </w:r>
      <w:proofErr w:type="gramEnd"/>
      <w:r w:rsidRPr="00E2763F">
        <w:rPr>
          <w:color w:val="000000" w:themeColor="text1"/>
        </w:rPr>
        <w:t>energijska</w:t>
      </w:r>
      <w:proofErr w:type="spellEnd"/>
      <w:r w:rsidRPr="00E2763F">
        <w:rPr>
          <w:color w:val="000000" w:themeColor="text1"/>
        </w:rPr>
        <w:t xml:space="preserve"> stavba (</w:t>
      </w:r>
      <w:proofErr w:type="spellStart"/>
      <w:r w:rsidRPr="00E2763F">
        <w:rPr>
          <w:color w:val="000000" w:themeColor="text1"/>
        </w:rPr>
        <w:t>sNES</w:t>
      </w:r>
      <w:proofErr w:type="spellEnd"/>
      <w:r w:rsidRPr="00E2763F">
        <w:rPr>
          <w:color w:val="000000" w:themeColor="text1"/>
        </w:rPr>
        <w:t>+), bo šoli omogočil oblikovanje treh novih oddelkov ter izboljšane pogoje za učence in zaposlene. V sklopu investicije je bila izvedena tudi odstranitev starega trakta učilnic, ki ga je nadomestil prizidek z dvema etažama in sodobno povezavo z obstoječim objektom.</w:t>
      </w:r>
    </w:p>
    <w:p w14:paraId="07F3DE4D" w14:textId="77777777" w:rsidR="00E2763F" w:rsidRPr="00E2763F" w:rsidRDefault="00E2763F" w:rsidP="00E2763F">
      <w:pPr>
        <w:rPr>
          <w:color w:val="000000" w:themeColor="text1"/>
        </w:rPr>
      </w:pPr>
      <w:r w:rsidRPr="00E2763F">
        <w:rPr>
          <w:color w:val="000000" w:themeColor="text1"/>
        </w:rPr>
        <w:t xml:space="preserve">Projekt je skladno z Odlokom o Programu porabe sredstev Sklada za podnebne spremembe 2023–2026 prijavljen na javni poziv Eko sklada 115SUB-sNESLS24 za nepovratne finančne spodbude občinam za skoraj </w:t>
      </w:r>
      <w:proofErr w:type="spellStart"/>
      <w:proofErr w:type="gramStart"/>
      <w:r w:rsidRPr="00E2763F">
        <w:rPr>
          <w:color w:val="000000" w:themeColor="text1"/>
        </w:rPr>
        <w:t>nič</w:t>
      </w:r>
      <w:proofErr w:type="gramEnd"/>
      <w:r w:rsidRPr="00E2763F">
        <w:rPr>
          <w:color w:val="000000" w:themeColor="text1"/>
        </w:rPr>
        <w:t>energijske</w:t>
      </w:r>
      <w:proofErr w:type="spellEnd"/>
      <w:r w:rsidRPr="00E2763F">
        <w:rPr>
          <w:color w:val="000000" w:themeColor="text1"/>
        </w:rPr>
        <w:t xml:space="preserve"> stavbe splošnega družbenega pomena. Na podlagi pridobljene odločbe bo Občina Ivančna Gorica v letu 2025 prejela 206.832 EUR nepovratnih sredstev Eko sklada.</w:t>
      </w:r>
    </w:p>
    <w:p w14:paraId="077EB8EE" w14:textId="5150D8A7" w:rsidR="00E2763F" w:rsidRPr="00E2763F" w:rsidRDefault="00E2763F" w:rsidP="00E2763F">
      <w:pPr>
        <w:rPr>
          <w:color w:val="000000" w:themeColor="text1"/>
        </w:rPr>
      </w:pPr>
      <w:r w:rsidRPr="00E2763F">
        <w:rPr>
          <w:color w:val="000000" w:themeColor="text1"/>
        </w:rPr>
        <w:t>Naložba bo bistveno pripomogla k zmanjšanju rabe energije v šoli ter povečala uporabo obnovljivih virov energije na kraju samem oziroma v njegovi neposredni bližini. S to investicijo bo OŠ Ferda Vesela zagotovila prostorske pogoje, ki ustrezajo vsem sodobnim standardom in normativom za izvajanje kakovostnega osnovnošolskega izobraževanja. Poleg izboljšanih pogojev za učence in učitelje</w:t>
      </w:r>
      <w:proofErr w:type="gramStart"/>
      <w:r w:rsidRPr="00E2763F">
        <w:rPr>
          <w:color w:val="000000" w:themeColor="text1"/>
        </w:rPr>
        <w:t>,</w:t>
      </w:r>
      <w:proofErr w:type="gramEnd"/>
      <w:r w:rsidRPr="00E2763F">
        <w:rPr>
          <w:color w:val="000000" w:themeColor="text1"/>
        </w:rPr>
        <w:t xml:space="preserve"> projekt prispeva tudi k uresničevanju ciljev podnebne politike in trajnostnega razvoja na lokalni ravni.</w:t>
      </w:r>
    </w:p>
    <w:p w14:paraId="1FEADF0C" w14:textId="48E5EFF3" w:rsidR="00487A45" w:rsidRPr="00E2763F" w:rsidRDefault="00E2763F" w:rsidP="00E2763F">
      <w:pPr>
        <w:pStyle w:val="Vir"/>
      </w:pPr>
      <w:r w:rsidRPr="00E2763F">
        <w:t>Vir: Ministrstvo za okolje, podnebje in energijo</w:t>
      </w:r>
    </w:p>
    <w:p w14:paraId="10B7574B" w14:textId="3D3851B0" w:rsidR="00636A15" w:rsidRPr="00636A15" w:rsidRDefault="00636A15" w:rsidP="00636A15">
      <w:pPr>
        <w:pStyle w:val="Naslov2"/>
      </w:pPr>
      <w:r w:rsidRPr="00636A15">
        <w:lastRenderedPageBreak/>
        <w:t>Vlada v veljavni Načrt razvojnih programov uvrstila projekt Rekonstrukcija strehe na Osnovni šoli Turnišče</w:t>
      </w:r>
    </w:p>
    <w:p w14:paraId="5EEAA657" w14:textId="1E5E3DF9" w:rsidR="00636A15" w:rsidRPr="00636A15" w:rsidRDefault="00636A15" w:rsidP="00636A15">
      <w:r w:rsidRPr="00636A15">
        <w:t xml:space="preserve">Vlada je v veljavni Načrt razvojnih programov za obdobje 2025-2028 uvrstila projekt rekonstrukcije strehe na Osnovni šoli Turnišče. Namen in cilj investicije je trajna zaščita šolskega objekta pred poškodbami, ki jih povzročajo ekstremne vremenske razmere. Cilj investicije je rekonstrukcija celotne strehe, ki zajema starejši in novejši del. Skupna vrednost investicije znaša 1.013.092,30 evra. </w:t>
      </w:r>
    </w:p>
    <w:p w14:paraId="45BEEFEB" w14:textId="56CBFEE2" w:rsidR="00487A45" w:rsidRPr="00636A15" w:rsidRDefault="00636A15" w:rsidP="00636A15">
      <w:pPr>
        <w:pStyle w:val="Vir"/>
      </w:pPr>
      <w:r w:rsidRPr="00636A15">
        <w:t>Vir: Ministrstvo za vzgojo in izobraževanje</w:t>
      </w:r>
    </w:p>
    <w:p w14:paraId="1E527BE4" w14:textId="349EA1E1" w:rsidR="00656F90" w:rsidRPr="001A5E0E" w:rsidRDefault="00656F90" w:rsidP="001A5E0E">
      <w:pPr>
        <w:pStyle w:val="Naslov2"/>
      </w:pPr>
      <w:r w:rsidRPr="00656F90">
        <w:t>Slovenija podpira nadaljnje prizadevanje EU za odgovorno in dolgoročno vzdržno upravljanje ribolovnih virov</w:t>
      </w:r>
    </w:p>
    <w:p w14:paraId="5D67A3DB" w14:textId="77777777" w:rsidR="00656F90" w:rsidRPr="00656F90" w:rsidRDefault="00656F90" w:rsidP="00656F90">
      <w:pPr>
        <w:rPr>
          <w:color w:val="000000" w:themeColor="text1"/>
        </w:rPr>
      </w:pPr>
      <w:r w:rsidRPr="00656F90">
        <w:rPr>
          <w:color w:val="000000" w:themeColor="text1"/>
        </w:rPr>
        <w:t>Sporočilo Komisije Evropskemu parlamentu in Svetu »Trajnostni ribolov v EU: trenutno stanje in usmeritve za leto 2026« je vsakoletni dokument Komisije, ki vsebuje pregled napredka, doseženega na področju trajnostnega ribolova flot EU, ter pregled socialno-ekonomske uspešnosti flot EU, ravnovesja med ribolovno zmogljivostjo in ribolovnimi možnostmi ter izvajanja obveznosti iztovarjanja. Sporočilo vključuje tudi glavne usmeritve, ki bodo podlaga za predloge Komisije o ribolovnih možnostih za prihodnje leto, med drugim za Črno in Sredozemsko morje.</w:t>
      </w:r>
    </w:p>
    <w:p w14:paraId="3B719635" w14:textId="77777777" w:rsidR="00656F90" w:rsidRPr="00656F90" w:rsidRDefault="00656F90" w:rsidP="00656F90">
      <w:pPr>
        <w:rPr>
          <w:color w:val="000000" w:themeColor="text1"/>
        </w:rPr>
      </w:pPr>
      <w:r w:rsidRPr="00656F90">
        <w:rPr>
          <w:color w:val="000000" w:themeColor="text1"/>
        </w:rPr>
        <w:t>Slovenija podpira nadaljnje prizadevanje Unije za odgovorno in dolgoročno vzdržno upravljanje ribolovnih virov, zlasti v občutljivih območjih, kot sta Sredozemlje in Jadransko morje.</w:t>
      </w:r>
    </w:p>
    <w:p w14:paraId="37CC8CD6" w14:textId="404BDE81" w:rsidR="00656F90" w:rsidRPr="00656F90" w:rsidRDefault="00656F90" w:rsidP="00656F90">
      <w:pPr>
        <w:rPr>
          <w:color w:val="000000" w:themeColor="text1"/>
        </w:rPr>
      </w:pPr>
      <w:r w:rsidRPr="00656F90">
        <w:rPr>
          <w:color w:val="000000" w:themeColor="text1"/>
        </w:rPr>
        <w:t>Slovenija podpira predloge, ki so namenjeni ohranjanju in trajnostnemu upravljanju ribolovnih virov in ki upoštevajo specifične značilnosti in potrebe slovenskega ribištva. Z vidika slovenskega ribištva bo v okviru razprav o sporočilu namenila posebno pozornost ukrepom upravljanja, ki zadevajo ribištvo v Jadranskem morju.</w:t>
      </w:r>
    </w:p>
    <w:p w14:paraId="52EC4BB1" w14:textId="3C8D4579" w:rsidR="00487A45" w:rsidRPr="00BB2B75" w:rsidRDefault="00656F90" w:rsidP="00BB2B75">
      <w:pPr>
        <w:pStyle w:val="Vir"/>
      </w:pPr>
      <w:r w:rsidRPr="00656F90">
        <w:t>Vir: Ministrstvo za kmetijstvo, gozdarstvo in prehrano</w:t>
      </w:r>
    </w:p>
    <w:p w14:paraId="17768E81" w14:textId="782270BA" w:rsidR="00BB2B75" w:rsidRPr="00BB2B75" w:rsidRDefault="00BB2B75" w:rsidP="00BB2B75">
      <w:pPr>
        <w:pStyle w:val="Naslov2"/>
      </w:pPr>
      <w:r w:rsidRPr="00BB2B75">
        <w:t>Prostovoljni prispevek Republike Slovenije za krepitev zmogljivosti Centra za obvladovanje tveganja suše v jugovzhodni Evropi (DMCSEE)</w:t>
      </w:r>
    </w:p>
    <w:p w14:paraId="1B6DE611" w14:textId="77777777" w:rsidR="00BB2B75" w:rsidRPr="00BB2B75" w:rsidRDefault="00BB2B75" w:rsidP="00BB2B75">
      <w:pPr>
        <w:rPr>
          <w:color w:val="000000" w:themeColor="text1"/>
        </w:rPr>
      </w:pPr>
      <w:r w:rsidRPr="00BB2B75">
        <w:rPr>
          <w:color w:val="000000" w:themeColor="text1"/>
        </w:rPr>
        <w:t>Vlada je namenila prostovoljni prispevek v skupni vrednosti 200.000,00 EUR v Svetovno meteorološko organizacijo za krepitev zmogljivosti Centra za obvladovanje tveganja suše v jugovzhodni Evropi (DMCSEE), in sicer v letu 2025 v višini do 100.000,00 EUR in v letu 2026 v višini do 100.000,00 EUR. Prispevek bo omogočil nadaljnji razvoj in izvajanje ključnih dejavnosti centra, ki igra pomembno vlogo pri obvladovanju posledic suše v eni najbolj ranljivih regij Evrope.</w:t>
      </w:r>
    </w:p>
    <w:p w14:paraId="78EAB3CB" w14:textId="77777777" w:rsidR="00BB2B75" w:rsidRPr="00BB2B75" w:rsidRDefault="00BB2B75" w:rsidP="00BB2B75">
      <w:pPr>
        <w:rPr>
          <w:color w:val="000000" w:themeColor="text1"/>
        </w:rPr>
      </w:pPr>
      <w:r w:rsidRPr="00BB2B75">
        <w:rPr>
          <w:color w:val="000000" w:themeColor="text1"/>
        </w:rPr>
        <w:t>Sredstva bodo dodeljena iz proračunskega Sklada za podnebne spremembe v okviru ukrepa »mednarodno podnebno financiranje«, kar je skladno z nacionalnimi in mednarodnimi zavezami Slovenije v okviru Pariškega sporazuma in Okvirne konvencije Združenih narodov o spremembi podnebja (UNFCCC). V skladu z odločitvijo bo Slovenija prispevala po 100.000 evrov v letih 2025 in 2026.</w:t>
      </w:r>
    </w:p>
    <w:p w14:paraId="2F71C429" w14:textId="77777777" w:rsidR="00BB2B75" w:rsidRPr="00BB2B75" w:rsidRDefault="00BB2B75" w:rsidP="00BB2B75">
      <w:pPr>
        <w:rPr>
          <w:color w:val="000000" w:themeColor="text1"/>
        </w:rPr>
      </w:pPr>
      <w:r w:rsidRPr="00BB2B75">
        <w:rPr>
          <w:color w:val="000000" w:themeColor="text1"/>
        </w:rPr>
        <w:t>Regija jugovzhodne Evrope je zaradi podnebnih sprememb že danes med najbolj prizadetimi v Evropi. Pogoste in intenzivne suše povzročajo veliko škodo v ključnih sektorjih, kot so kmetijstvo, energetika in vodooskrba. DMCSEE, ki deluje pod okriljem Agencije RS za okolje, v sodelovanju z mednarodnimi partnerji razvija orodja in politike za spremljanje, obvladovanje in prilagajanje na sušo. S prispevkom bo center okrepil svoje aktivnosti na področju monitoringa, zgodnjega opozarjanja, izobraževanja strokovnjakov in izmenjave znanja v regiji.</w:t>
      </w:r>
    </w:p>
    <w:p w14:paraId="67D72B06" w14:textId="3FC69F23" w:rsidR="00BB2B75" w:rsidRPr="00BB2B75" w:rsidRDefault="00BB2B75" w:rsidP="00BB2B75">
      <w:pPr>
        <w:rPr>
          <w:color w:val="000000" w:themeColor="text1"/>
        </w:rPr>
      </w:pPr>
      <w:r w:rsidRPr="00BB2B75">
        <w:rPr>
          <w:color w:val="000000" w:themeColor="text1"/>
        </w:rPr>
        <w:t>Z donacijo Slovenija uresničuje ambicijo biti vodilna država v regiji JV Evrope na področju prilagajanja na podnebne spremembe, obenem pa izpolnjuje svoje zaveze v okviru mednarodnega podnebnega financiranja.</w:t>
      </w:r>
    </w:p>
    <w:p w14:paraId="64235688" w14:textId="292B672F" w:rsidR="00487A45" w:rsidRPr="00BB2B75" w:rsidRDefault="00BB2B75" w:rsidP="00BB2B75">
      <w:pPr>
        <w:pStyle w:val="Vir"/>
      </w:pPr>
      <w:r w:rsidRPr="00BB2B75">
        <w:t>Vir: Ministrstvo za okolje, podnebje in energijo</w:t>
      </w:r>
    </w:p>
    <w:p w14:paraId="1BEF5F54" w14:textId="648AF7C0" w:rsidR="00862C56" w:rsidRPr="00862C56" w:rsidRDefault="00862C56" w:rsidP="00862C56">
      <w:pPr>
        <w:pStyle w:val="Naslov2"/>
      </w:pPr>
      <w:r w:rsidRPr="00862C56">
        <w:lastRenderedPageBreak/>
        <w:t>Vlada o predlogu zakona o spremembah in dopolnitvah Zakona o dohodnini</w:t>
      </w:r>
    </w:p>
    <w:p w14:paraId="4928D4B5" w14:textId="559D10C3" w:rsidR="00862C56" w:rsidRPr="00862C56" w:rsidRDefault="00862C56" w:rsidP="00862C56">
      <w:pPr>
        <w:rPr>
          <w:color w:val="000000" w:themeColor="text1"/>
        </w:rPr>
      </w:pPr>
      <w:r w:rsidRPr="00862C56">
        <w:rPr>
          <w:color w:val="000000" w:themeColor="text1"/>
        </w:rPr>
        <w:t>Vlada je sprejela mnenje na vloženi Predlog zakona o spremembah in dopolnitvah Zakona o dohodnini (ZDoh-2), ki ga je Državnemu zboru predložila skupina poslank in poslancev (prvopodpisani Janez Cigler Kralj).</w:t>
      </w:r>
    </w:p>
    <w:p w14:paraId="3E7510A0" w14:textId="77777777" w:rsidR="00862C56" w:rsidRPr="00862C56" w:rsidRDefault="00862C56" w:rsidP="00862C56">
      <w:pPr>
        <w:rPr>
          <w:color w:val="000000" w:themeColor="text1"/>
        </w:rPr>
      </w:pPr>
      <w:r w:rsidRPr="00862C56">
        <w:rPr>
          <w:color w:val="000000" w:themeColor="text1"/>
        </w:rPr>
        <w:t>Gre za predlog spremembe sistema ugotavljanja davčne osnove od dohodka iz dejavnosti z upoštevanjem normiranih odhodkov in spremembe na področju obdavčevanja dohodkov, doseženih z oddajanjem premoženja</w:t>
      </w:r>
      <w:proofErr w:type="gramStart"/>
      <w:r w:rsidRPr="00862C56">
        <w:rPr>
          <w:color w:val="000000" w:themeColor="text1"/>
        </w:rPr>
        <w:t xml:space="preserve"> v</w:t>
      </w:r>
      <w:proofErr w:type="gramEnd"/>
      <w:r w:rsidRPr="00862C56">
        <w:rPr>
          <w:color w:val="000000" w:themeColor="text1"/>
        </w:rPr>
        <w:t xml:space="preserve"> najem. Predlog zakona vrača ureditev sistema ugotavljanja davčne osnove z upoštevanjem normiranih odhodkov na stanje pred spremembami ZDoh-2. Na področju dohodkov iz oddajanja premoženja v najem pa se predlaga znižanje stopnje dohodnine s 25 odstotkov na 15 odstotkov ter vzpostavitev ukrepa davčne razbremenitve stanovanjskega najema za družine in mlade  z določitvijo nižje </w:t>
      </w:r>
      <w:proofErr w:type="gramStart"/>
      <w:r w:rsidRPr="00862C56">
        <w:rPr>
          <w:color w:val="000000" w:themeColor="text1"/>
        </w:rPr>
        <w:t>5 odstotne</w:t>
      </w:r>
      <w:proofErr w:type="gramEnd"/>
      <w:r w:rsidRPr="00862C56">
        <w:rPr>
          <w:color w:val="000000" w:themeColor="text1"/>
        </w:rPr>
        <w:t xml:space="preserve"> stopnje pri oddajanju stanovanjske nepremičnine rezidentu, ki vzdržuje mladoletnega otroka ter ima v tej nepremičnini prijavljeno stalno prebivališče in tu dejansko biva, ali rezidentu do dopolnjenega 30. leta starosti.</w:t>
      </w:r>
    </w:p>
    <w:p w14:paraId="2C0BA10B" w14:textId="77777777" w:rsidR="00862C56" w:rsidRPr="00862C56" w:rsidRDefault="00862C56" w:rsidP="00862C56">
      <w:pPr>
        <w:rPr>
          <w:color w:val="000000" w:themeColor="text1"/>
        </w:rPr>
      </w:pPr>
      <w:r w:rsidRPr="00862C56">
        <w:rPr>
          <w:color w:val="000000" w:themeColor="text1"/>
        </w:rPr>
        <w:t xml:space="preserve">Vlada je podala opredelitev in ugotovitev glede predlogov sprememb ter na tej podlagi predloga zakona ne podpira. </w:t>
      </w:r>
    </w:p>
    <w:p w14:paraId="552DF172" w14:textId="77777777" w:rsidR="00862C56" w:rsidRPr="00862C56" w:rsidRDefault="00862C56" w:rsidP="00862C56">
      <w:pPr>
        <w:rPr>
          <w:color w:val="000000" w:themeColor="text1"/>
        </w:rPr>
      </w:pPr>
      <w:r w:rsidRPr="00862C56">
        <w:rPr>
          <w:color w:val="000000" w:themeColor="text1"/>
        </w:rPr>
        <w:t xml:space="preserve">S predlogom se namreč </w:t>
      </w:r>
      <w:proofErr w:type="gramStart"/>
      <w:r w:rsidRPr="00862C56">
        <w:rPr>
          <w:color w:val="000000" w:themeColor="text1"/>
        </w:rPr>
        <w:t>odpravlja</w:t>
      </w:r>
      <w:proofErr w:type="gramEnd"/>
      <w:r w:rsidRPr="00862C56">
        <w:rPr>
          <w:color w:val="000000" w:themeColor="text1"/>
        </w:rPr>
        <w:t xml:space="preserve"> vse spremembe sistema, opravljene z namenom, da se sistem normiranih odhodkov oblikuje na način, da bo čim bolj služil svojemu namenu, torej administrativne poenostavitve za zavezance začetnike ter zavezance z majhnim obsegom poslovanja. S predlogom se daje administrativno poenostavitev tudi zavezancem, ki tovrstne poenostavitve ne potrebujejo, ker jim administrativni stroški predstavljajo majhen delež prihodkov, ter vnaša nesorazmerno veliko davčno ugodnost za določene zavezance, in sicer zavezance z dejavnostmi, ki imajo v splošnem nizke dejanske odhodke, ter zavezance z višjimi dohodki z dela, kar predstavlja prevelik odmik od osnovnih davčnih načel. Poleg navedenega</w:t>
      </w:r>
      <w:proofErr w:type="gramStart"/>
      <w:r w:rsidRPr="00862C56">
        <w:rPr>
          <w:color w:val="000000" w:themeColor="text1"/>
        </w:rPr>
        <w:t>,</w:t>
      </w:r>
      <w:proofErr w:type="gramEnd"/>
      <w:r w:rsidRPr="00862C56">
        <w:rPr>
          <w:color w:val="000000" w:themeColor="text1"/>
        </w:rPr>
        <w:t xml:space="preserve"> pa se bodo nesorazmerno povečale spodbude za anomalije na trgu dela, v sistemih socialnih zavarovanj in sistemu socialne varnosti.</w:t>
      </w:r>
    </w:p>
    <w:p w14:paraId="02752F85" w14:textId="1AAF94F9" w:rsidR="00862C56" w:rsidRPr="00862C56" w:rsidRDefault="00862C56" w:rsidP="00862C56">
      <w:pPr>
        <w:rPr>
          <w:color w:val="000000" w:themeColor="text1"/>
        </w:rPr>
      </w:pPr>
      <w:r w:rsidRPr="00862C56">
        <w:rPr>
          <w:color w:val="000000" w:themeColor="text1"/>
        </w:rPr>
        <w:t>Odločitev o višini davčne stopnje pri enkratni obdavčitvi dohodkov iz oddajanja premoženja v najem mora temeljiti na ustavnem načelu enakosti in načelu davčne pravičnosti ter ne sme povzročiti prevelikih razlik pri davčni obravnavi davčnih zavezancev z enako ekonomsko močjo, ki dosegajo dohodke iz različnih virov, s čimer se zasleduje ustavno načelo enakosti ter s tem podobna obravnava podobnih dohodkov. Stopnja dohodnine od tovrstnih dohodkov je enaka splošni stopnji dohodnine od dohodkov iz kapitala to je 25 odstotna stopnja</w:t>
      </w:r>
      <w:proofErr w:type="gramStart"/>
      <w:r w:rsidRPr="00862C56">
        <w:rPr>
          <w:color w:val="000000" w:themeColor="text1"/>
        </w:rPr>
        <w:t xml:space="preserve">.  </w:t>
      </w:r>
      <w:proofErr w:type="gramEnd"/>
      <w:r w:rsidRPr="00862C56">
        <w:rPr>
          <w:color w:val="000000" w:themeColor="text1"/>
        </w:rPr>
        <w:t xml:space="preserve">Vlada ocenjuje kot neprimerno tudi predlagano razlikovanje v davčni stopnji oziroma davčni obremenitvi posameznikov, ki ne temelji </w:t>
      </w:r>
      <w:proofErr w:type="gramStart"/>
      <w:r w:rsidRPr="00862C56">
        <w:rPr>
          <w:color w:val="000000" w:themeColor="text1"/>
        </w:rPr>
        <w:t xml:space="preserve">na  </w:t>
      </w:r>
      <w:proofErr w:type="gramEnd"/>
      <w:r w:rsidRPr="00862C56">
        <w:rPr>
          <w:color w:val="000000" w:themeColor="text1"/>
        </w:rPr>
        <w:t xml:space="preserve">materialnem položaju oziroma ekonomski moči davčnega zavezanca – prejemnika dohodka, niti na njegovih osebnih okoliščinah, pač pa na socialnem oziroma družinskem položaju izplačevalca dohodka (osebe, ki plačuje najemnino). Predlog zakona v tem delu tako predstavlja dodaten odstop od načela enakosti in davčne pravičnosti, prav tako pa ne zagotavlja uresničitve zasledovanega </w:t>
      </w:r>
      <w:proofErr w:type="gramStart"/>
      <w:r w:rsidRPr="00862C56">
        <w:rPr>
          <w:color w:val="000000" w:themeColor="text1"/>
        </w:rPr>
        <w:t xml:space="preserve">cilja  </w:t>
      </w:r>
      <w:proofErr w:type="gramEnd"/>
      <w:r w:rsidRPr="00862C56">
        <w:rPr>
          <w:color w:val="000000" w:themeColor="text1"/>
        </w:rPr>
        <w:t>(večja dostopnost stanovanj za te posebne družbene skupine).</w:t>
      </w:r>
    </w:p>
    <w:p w14:paraId="7A937203" w14:textId="6D902395" w:rsidR="00487A45" w:rsidRPr="00862C56" w:rsidRDefault="00862C56" w:rsidP="00862C56">
      <w:pPr>
        <w:pStyle w:val="Vir"/>
      </w:pPr>
      <w:r w:rsidRPr="00862C56">
        <w:t>Vir: Ministrstvo za finance</w:t>
      </w:r>
    </w:p>
    <w:p w14:paraId="57B0212C" w14:textId="5A15A4C0" w:rsidR="00B52B6E" w:rsidRPr="00B52B6E" w:rsidRDefault="00B52B6E" w:rsidP="00B52B6E">
      <w:pPr>
        <w:pStyle w:val="Naslov2"/>
      </w:pPr>
      <w:r w:rsidRPr="00B52B6E">
        <w:t xml:space="preserve">Vlada sprejela Mnenje o </w:t>
      </w:r>
      <w:proofErr w:type="gramStart"/>
      <w:r w:rsidRPr="00B52B6E">
        <w:t>predlogu Zakona</w:t>
      </w:r>
      <w:proofErr w:type="gramEnd"/>
      <w:r w:rsidRPr="00B52B6E">
        <w:t xml:space="preserve"> o spremembah Zakona o omejevanju porabe alkohola</w:t>
      </w:r>
    </w:p>
    <w:p w14:paraId="58413CF0" w14:textId="0598DB7D" w:rsidR="00B52B6E" w:rsidRPr="00B52B6E" w:rsidRDefault="00B52B6E" w:rsidP="00B52B6E">
      <w:r w:rsidRPr="00B52B6E">
        <w:t xml:space="preserve">Vlada je v Državni zbor poslala Mnenje o </w:t>
      </w:r>
      <w:proofErr w:type="gramStart"/>
      <w:r w:rsidRPr="00B52B6E">
        <w:t>predlogu Zakona</w:t>
      </w:r>
      <w:proofErr w:type="gramEnd"/>
      <w:r w:rsidRPr="00B52B6E">
        <w:t xml:space="preserve"> o spremembah Zakona o omejevanju porabe alkohola, ki ga je Državnemu zboru Republike Slovenije predložila skupina poslank in poslancev s prvopodpisano Jelko Godec.</w:t>
      </w:r>
    </w:p>
    <w:p w14:paraId="76DA7E9A" w14:textId="77777777" w:rsidR="00B52B6E" w:rsidRPr="00B52B6E" w:rsidRDefault="00B52B6E" w:rsidP="00B52B6E">
      <w:r w:rsidRPr="00B52B6E">
        <w:t xml:space="preserve">Vlada ocenjuje, da je ureditev, sprejeta leta 2003, ki prepoveduje ponudbo in prodajo alkohola v šolskih in zdravstvenih prostorih, ustrezna in primerljiva z ureditvijo v drugih državah članicah Evropske unije. Zato nasprotuje (ponovnemu) odpiranju možnosti za ponudbo alkohola v teh prostorih, tudi v primerih, ko gre za dejavnosti, ki potekajo izven časa osnovnih vzgojno-izobraževalnih ali zdravstvenih dejavnosti. </w:t>
      </w:r>
    </w:p>
    <w:p w14:paraId="3737E40A" w14:textId="77777777" w:rsidR="00B52B6E" w:rsidRPr="00B52B6E" w:rsidRDefault="00B52B6E" w:rsidP="00B52B6E"/>
    <w:p w14:paraId="7634247A" w14:textId="77777777" w:rsidR="00B52B6E" w:rsidRPr="00B52B6E" w:rsidRDefault="00B52B6E" w:rsidP="00B52B6E">
      <w:r w:rsidRPr="00B52B6E">
        <w:lastRenderedPageBreak/>
        <w:t>Svoje stališče vlada med drugim utemeljuje na znanstvenih ugotovitvah, ki opozarjajo na povezavo med razpoložljivostjo alkohola v varnih okoljih, namenjenih mladim in bolnikom, ter večjim tveganjem za njegovo uživanje. Poleg tega opozarja na negativno družbeno sporočilo oziroma »normalizacijo« pitja alkohola v družbi, kjer je ta pojav že sicer močno razširjen. Vlada</w:t>
      </w:r>
      <w:proofErr w:type="gramStart"/>
      <w:r w:rsidRPr="00B52B6E">
        <w:t xml:space="preserve"> kot</w:t>
      </w:r>
      <w:proofErr w:type="gramEnd"/>
      <w:r w:rsidRPr="00B52B6E">
        <w:t xml:space="preserve"> problematične izpostavlja tudi pravne dileme, povezane s ponujanjem alkohola na dogodkih, ki se jih udeležujejo mladoletne osebe, ter tehnično neizvedljivost jasnega ločevanja med osnovnimi in dodatnimi dejavnostmi v teh prostorih.</w:t>
      </w:r>
    </w:p>
    <w:p w14:paraId="49685C26" w14:textId="77777777" w:rsidR="00B52B6E" w:rsidRPr="00B52B6E" w:rsidRDefault="00B52B6E" w:rsidP="00B52B6E">
      <w:r w:rsidRPr="00B52B6E">
        <w:t xml:space="preserve">Vlada ugotavlja tudi, da veljavna zakonska rešitev v ničemer ne onemogoča organiziranja različnih prireditev v javnih prostorih, in meni, da bi se v tako občutljivih prostorih, kot so šolske in zdravstvene ustanove, kazalo še naprej izogibati povezovanju javnih prireditev in pitja alkohola. S tem namreč neposredno pozitivno prispevamo k spreminjanju miselnosti, da izvedba različnih dogodkov ni mogoča brez uživanja alkohola. </w:t>
      </w:r>
    </w:p>
    <w:p w14:paraId="2400FCFD" w14:textId="35195AD4" w:rsidR="00B52B6E" w:rsidRPr="00B52B6E" w:rsidRDefault="00B52B6E" w:rsidP="00B52B6E">
      <w:r w:rsidRPr="00B52B6E">
        <w:t xml:space="preserve">Na podlagi navedenega vlada </w:t>
      </w:r>
      <w:proofErr w:type="gramStart"/>
      <w:r w:rsidRPr="00B52B6E">
        <w:t>predloga Zakona</w:t>
      </w:r>
      <w:proofErr w:type="gramEnd"/>
      <w:r w:rsidRPr="00B52B6E">
        <w:t xml:space="preserve"> o spremembah Zakona o omejevanju porabe alkohola ne podpira in meni, da ni primeren za nadaljnjo obravnavo.</w:t>
      </w:r>
    </w:p>
    <w:p w14:paraId="288D5DB4" w14:textId="2F8080E8" w:rsidR="00487A45" w:rsidRDefault="00B52B6E" w:rsidP="00707845">
      <w:pPr>
        <w:pStyle w:val="Vir"/>
      </w:pPr>
      <w:r w:rsidRPr="00B52B6E">
        <w:t>Vir: Ministrstvo za zdravje</w:t>
      </w:r>
    </w:p>
    <w:p w14:paraId="3C345B33" w14:textId="397885EC" w:rsidR="000E2DD8" w:rsidRPr="000E2DD8" w:rsidRDefault="000E2DD8" w:rsidP="000E2DD8">
      <w:pPr>
        <w:pStyle w:val="Naslov2"/>
      </w:pPr>
      <w:bookmarkStart w:id="0" w:name="_Hlk203045949"/>
      <w:r w:rsidRPr="000E2DD8">
        <w:t>Vlada potrdila predlog nove</w:t>
      </w:r>
      <w:r w:rsidR="009508DE">
        <w:t>ga</w:t>
      </w:r>
      <w:r w:rsidRPr="000E2DD8">
        <w:t xml:space="preserve"> Zakona o poslovnem registru Slovenije </w:t>
      </w:r>
    </w:p>
    <w:p w14:paraId="1A6B064A" w14:textId="2F523989" w:rsidR="00926D5A" w:rsidRPr="00926D5A" w:rsidRDefault="00926D5A" w:rsidP="00926D5A">
      <w:pPr>
        <w:rPr>
          <w:color w:val="000000" w:themeColor="text1"/>
        </w:rPr>
      </w:pPr>
      <w:r w:rsidRPr="00926D5A">
        <w:rPr>
          <w:color w:val="000000" w:themeColor="text1"/>
        </w:rPr>
        <w:t>Poslovni register je po več kot dveh desetletjih pred novo celovito pravno, vsebinsko in tehnično prenovo. Prenova bo obsegala prenovo pravnega okvira, to je Zakona o Poslovnem registru Slovenije in podzakonskih aktov, obseg in strukturo podatkov o poslovnih subjektih, postopke vpisa podatkov v poslovni register ter dostopnost in javnost podatkov o poslovnih subjektih v poslovnem registru.</w:t>
      </w:r>
    </w:p>
    <w:p w14:paraId="16DCF391" w14:textId="77777777" w:rsidR="00926D5A" w:rsidRPr="00926D5A" w:rsidRDefault="00926D5A" w:rsidP="00926D5A">
      <w:pPr>
        <w:rPr>
          <w:color w:val="000000" w:themeColor="text1"/>
        </w:rPr>
      </w:pPr>
      <w:r w:rsidRPr="00926D5A">
        <w:rPr>
          <w:color w:val="000000" w:themeColor="text1"/>
        </w:rPr>
        <w:t xml:space="preserve">Poslovni register je osrednja javna zbirka podatkov o vseh poslovnih subjektih s sedežem v Republiki Sloveniji, njegov pomen pa se povečuje vse od vzpostavitve leta 1997. Trenutni predlog zakona bo nadomestil veljavni zakon iz leta 2006. </w:t>
      </w:r>
    </w:p>
    <w:p w14:paraId="3578BB5F" w14:textId="77777777" w:rsidR="00926D5A" w:rsidRPr="00926D5A" w:rsidRDefault="00926D5A" w:rsidP="00926D5A">
      <w:pPr>
        <w:rPr>
          <w:color w:val="000000" w:themeColor="text1"/>
        </w:rPr>
      </w:pPr>
      <w:r w:rsidRPr="00926D5A">
        <w:rPr>
          <w:color w:val="000000" w:themeColor="text1"/>
        </w:rPr>
        <w:t xml:space="preserve">V poslovnem registru je bilo 31. decembra 2024 vpisanih 245.819 enot poslovnega registra: poslovnih subjektov, njihovih delov in podružnic tujih podjetij. Od junija 2008 do junija 2024 se je število vpisanih enot poslovnega registra povečalo za 47,6 </w:t>
      </w:r>
      <w:proofErr w:type="gramStart"/>
      <w:r w:rsidRPr="00926D5A">
        <w:rPr>
          <w:color w:val="000000" w:themeColor="text1"/>
        </w:rPr>
        <w:t>odstotkov</w:t>
      </w:r>
      <w:proofErr w:type="gramEnd"/>
      <w:r w:rsidRPr="00926D5A">
        <w:rPr>
          <w:color w:val="000000" w:themeColor="text1"/>
        </w:rPr>
        <w:t>.</w:t>
      </w:r>
    </w:p>
    <w:p w14:paraId="73B9001A" w14:textId="77777777" w:rsidR="00926D5A" w:rsidRPr="00926D5A" w:rsidRDefault="00926D5A" w:rsidP="00926D5A">
      <w:pPr>
        <w:rPr>
          <w:color w:val="000000" w:themeColor="text1"/>
        </w:rPr>
      </w:pPr>
      <w:r w:rsidRPr="00926D5A">
        <w:rPr>
          <w:color w:val="000000" w:themeColor="text1"/>
        </w:rPr>
        <w:t xml:space="preserve">Prenova poslovnega registra bo med drugim prinesla spremembe postopkov vpisa v poslovni register, in sicer bodo ti bolj enostavni in hitrejši. Še v večji meri se bodo naslanjali na funkcionalnosti informacijskega sistema za podporo poslovnim subjektom (SPOT). V skladu z načelom »samo enkrat« bodo poslovni subjekti prijavo za vpis ali izbris vložili enkrat za več namenov hkrati. Prijavo za vpis bodo lahko glede na vrsto postopka vložili na eni od SPOT točk ali pri notarju, </w:t>
      </w:r>
      <w:proofErr w:type="spellStart"/>
      <w:r w:rsidRPr="00926D5A">
        <w:rPr>
          <w:color w:val="000000" w:themeColor="text1"/>
        </w:rPr>
        <w:t>AJPESu</w:t>
      </w:r>
      <w:proofErr w:type="spellEnd"/>
      <w:r w:rsidRPr="00926D5A">
        <w:rPr>
          <w:color w:val="000000" w:themeColor="text1"/>
        </w:rPr>
        <w:t xml:space="preserve"> ali drugem pristojnem ali registrskem organu. V primeru, da bodo izpolnjeni tehnični pogoji, bodo lahko prijavo za vpis vložili tudi sami neposredno </w:t>
      </w:r>
      <w:proofErr w:type="gramStart"/>
      <w:r w:rsidRPr="00926D5A">
        <w:rPr>
          <w:color w:val="000000" w:themeColor="text1"/>
        </w:rPr>
        <w:t>prek</w:t>
      </w:r>
      <w:proofErr w:type="gramEnd"/>
      <w:r w:rsidRPr="00926D5A">
        <w:rPr>
          <w:color w:val="000000" w:themeColor="text1"/>
        </w:rPr>
        <w:t xml:space="preserve"> SPOT. </w:t>
      </w:r>
    </w:p>
    <w:p w14:paraId="1B45E86C" w14:textId="77777777" w:rsidR="00926D5A" w:rsidRPr="00926D5A" w:rsidRDefault="00926D5A" w:rsidP="00926D5A">
      <w:pPr>
        <w:rPr>
          <w:color w:val="000000" w:themeColor="text1"/>
        </w:rPr>
      </w:pPr>
      <w:r w:rsidRPr="00926D5A">
        <w:rPr>
          <w:color w:val="000000" w:themeColor="text1"/>
        </w:rPr>
        <w:t xml:space="preserve">S prenovo poslovnega registra bo Republika Slovenija naredila pomemben korak v smeri digitalne preobrazbe gospodarstva. Pomemben element te prenove, ki je del širše strategije Digitalna Slovenija 2030, bo uvedba digitalne identitete podjetij. Ta bo podpirala digitalno preobrazbo poslovanja poslovnih subjektov v Republiki Sloveniji. </w:t>
      </w:r>
    </w:p>
    <w:p w14:paraId="63F23E31" w14:textId="77777777" w:rsidR="00926D5A" w:rsidRPr="00926D5A" w:rsidRDefault="00926D5A" w:rsidP="00926D5A">
      <w:pPr>
        <w:rPr>
          <w:color w:val="000000" w:themeColor="text1"/>
        </w:rPr>
      </w:pPr>
      <w:r w:rsidRPr="00926D5A">
        <w:rPr>
          <w:color w:val="000000" w:themeColor="text1"/>
        </w:rPr>
        <w:t>Digitalno identiteto podjetij bodo sestavljali podatki o poslovnih subjektih, ki se zbirajo in obdelujejo v poslovnem registru</w:t>
      </w:r>
      <w:proofErr w:type="gramStart"/>
      <w:r w:rsidRPr="00926D5A">
        <w:rPr>
          <w:color w:val="000000" w:themeColor="text1"/>
        </w:rPr>
        <w:t>,</w:t>
      </w:r>
      <w:proofErr w:type="gramEnd"/>
      <w:r w:rsidRPr="00926D5A">
        <w:rPr>
          <w:color w:val="000000" w:themeColor="text1"/>
        </w:rPr>
        <w:t xml:space="preserve"> kot tudi podatki iz letnih poročil poslovnih subjektov, ki so na voljo v zbirki za javno objavo letnih poročil (JOLP). Vsi podatki pa bodo prek spletnega portala www.ajpes.si dostopni uporabnikom teh podatkov.</w:t>
      </w:r>
    </w:p>
    <w:p w14:paraId="5F48B82A" w14:textId="77777777" w:rsidR="00926D5A" w:rsidRPr="00926D5A" w:rsidRDefault="00926D5A" w:rsidP="00926D5A">
      <w:pPr>
        <w:rPr>
          <w:color w:val="000000" w:themeColor="text1"/>
        </w:rPr>
      </w:pPr>
      <w:r w:rsidRPr="00926D5A">
        <w:rPr>
          <w:color w:val="000000" w:themeColor="text1"/>
        </w:rPr>
        <w:t>Digitalna identiteta podjetij bo vsebovala ključne atribute oziroma značilnosti poslovnih subjektov, ki so pomembni za pravni promet in poslovanje v Republiki Sloveniji, čezmejno, kot tudi v mednarodnih dobavnih verigah. Točni podatki v strukturirani obliki bodo omogočali zanesljivo identifikacijo poslovnih subjektov v poslovnem okolju, krepili zaupanje v pravno varnost in varnost pravnega prometa ter prispevali k zmanjšanju tveganj za goljufije in zlorabe.</w:t>
      </w:r>
    </w:p>
    <w:p w14:paraId="03CDFF59" w14:textId="77777777" w:rsidR="00926D5A" w:rsidRPr="00926D5A" w:rsidRDefault="00926D5A" w:rsidP="00926D5A">
      <w:pPr>
        <w:rPr>
          <w:color w:val="000000" w:themeColor="text1"/>
        </w:rPr>
      </w:pPr>
      <w:r w:rsidRPr="00926D5A">
        <w:rPr>
          <w:color w:val="000000" w:themeColor="text1"/>
        </w:rPr>
        <w:t xml:space="preserve">Za pripravo predlaganih rešitev je bila že leta 2014 oblikovana vladna delovna skupina, ki je pripravila strokovna izhodišča za prenovo registrske zakonodaje. Trenutno se postopki vpisa poslovnih subjektov izvajajo na različne načine podlagi več kot 40 zakonih in podzakonskih aktih. Delovna </w:t>
      </w:r>
      <w:r w:rsidRPr="00926D5A">
        <w:rPr>
          <w:color w:val="000000" w:themeColor="text1"/>
        </w:rPr>
        <w:lastRenderedPageBreak/>
        <w:t xml:space="preserve">skupina se je zavzela za poenostavitev in poenotenje postopkov vpisa poslovnih subjektov. To je predvsem pomembno za 22 skupin poslovnih subjektov, ki se po veljavni ureditvi vpišejo v dva registra, v področni in nato še v poslovni register. Predlagala je vzpostavitev enotnega informacijskega sistema za vpis poslovnih subjektov in vodenje podatkov o </w:t>
      </w:r>
      <w:proofErr w:type="gramStart"/>
      <w:r w:rsidRPr="00926D5A">
        <w:rPr>
          <w:color w:val="000000" w:themeColor="text1"/>
        </w:rPr>
        <w:t>poslovnih subjektov</w:t>
      </w:r>
      <w:proofErr w:type="gramEnd"/>
      <w:r w:rsidRPr="00926D5A">
        <w:rPr>
          <w:color w:val="000000" w:themeColor="text1"/>
        </w:rPr>
        <w:t xml:space="preserve"> na enem mestu, to je v poslovnem registru.</w:t>
      </w:r>
    </w:p>
    <w:p w14:paraId="10C9B5E1" w14:textId="0A43E4F4" w:rsidR="00926D5A" w:rsidRPr="00926D5A" w:rsidRDefault="00926D5A" w:rsidP="00926D5A">
      <w:pPr>
        <w:rPr>
          <w:color w:val="000000" w:themeColor="text1"/>
        </w:rPr>
      </w:pPr>
      <w:r w:rsidRPr="00926D5A">
        <w:rPr>
          <w:color w:val="000000" w:themeColor="text1"/>
        </w:rPr>
        <w:t xml:space="preserve">Informacijski sistem za podporo poslovnim subjektom SPOT ravno v teh dneh obeležuje že 20 let uspešnega delovanja. Prek njega je bilo leta 2024 oddanih že več kot 2,8 </w:t>
      </w:r>
      <w:proofErr w:type="gramStart"/>
      <w:r w:rsidRPr="00926D5A">
        <w:rPr>
          <w:color w:val="000000" w:themeColor="text1"/>
        </w:rPr>
        <w:t>milijonov</w:t>
      </w:r>
      <w:proofErr w:type="gramEnd"/>
      <w:r w:rsidRPr="00926D5A">
        <w:rPr>
          <w:color w:val="000000" w:themeColor="text1"/>
        </w:rPr>
        <w:t xml:space="preserve"> vlog. Poenostavljeni postopki vpisa poslovnih subjektov in oblikovanje digitalne identitete podjetij bodo v času prizadevanj za večjo konkurenčnost slovenskega in evropskega gospodarstva prispevali k trajnostno usmerjeni gospodarski rasti.</w:t>
      </w:r>
    </w:p>
    <w:p w14:paraId="017B1B2D" w14:textId="50E7C62B" w:rsidR="00926D5A" w:rsidRPr="00926D5A" w:rsidRDefault="00926D5A" w:rsidP="00926D5A">
      <w:pPr>
        <w:rPr>
          <w:color w:val="000000" w:themeColor="text1"/>
        </w:rPr>
      </w:pPr>
      <w:r w:rsidRPr="00926D5A">
        <w:rPr>
          <w:color w:val="000000" w:themeColor="text1"/>
        </w:rPr>
        <w:t>Finančne posledice predloga zakona so ocenjene na 1.620.000 evrov, in sicer za nadgradnjo informacijskih sistemov in rešitev. Sredstva so zagotovljena v finančnem načrtu Ministrstva za gospodarstvo, turizem in šport ter Ministrstva za digitalno preobrazbo. Del sredstev bo zagotovil AJPES iz lastnih virov.</w:t>
      </w:r>
    </w:p>
    <w:p w14:paraId="3F9B8281" w14:textId="6ACE3C2D" w:rsidR="000E2DD8" w:rsidRPr="000E2DD8" w:rsidRDefault="00926D5A" w:rsidP="001C1B36">
      <w:pPr>
        <w:pStyle w:val="Vir"/>
      </w:pPr>
      <w:r w:rsidRPr="00926D5A">
        <w:t>Vir: Ministrstvo za gospodarstvo, turizem in šport</w:t>
      </w:r>
    </w:p>
    <w:bookmarkEnd w:id="0"/>
    <w:p w14:paraId="679B61CB" w14:textId="0F8A494A" w:rsidR="00912076" w:rsidRPr="00912076" w:rsidRDefault="00912076" w:rsidP="00912076">
      <w:pPr>
        <w:pStyle w:val="Naslov2"/>
      </w:pPr>
      <w:r w:rsidRPr="00912076">
        <w:t>Poročilo o delu Medresorske tehnične skupine za kibernetsko varnost za dvig odpornosti informacijsko komunikacijskih sistemov državne uprave</w:t>
      </w:r>
    </w:p>
    <w:p w14:paraId="4F0396BD" w14:textId="2F25DCDB" w:rsidR="00912076" w:rsidRPr="00912076" w:rsidRDefault="00912076" w:rsidP="00912076">
      <w:pPr>
        <w:rPr>
          <w:color w:val="000000" w:themeColor="text1"/>
        </w:rPr>
      </w:pPr>
      <w:r w:rsidRPr="00912076">
        <w:rPr>
          <w:color w:val="000000" w:themeColor="text1"/>
        </w:rPr>
        <w:t xml:space="preserve">Vlada se je seznanila s Poročilom o delu Medresorske tehnične skupine za kibernetsko varnost za dvig odpornosti informacijsko komunikacijskih sistemov državne uprave. </w:t>
      </w:r>
    </w:p>
    <w:p w14:paraId="32E6173D" w14:textId="77777777" w:rsidR="00912076" w:rsidRPr="00912076" w:rsidRDefault="00912076" w:rsidP="00912076">
      <w:pPr>
        <w:rPr>
          <w:color w:val="000000" w:themeColor="text1"/>
        </w:rPr>
      </w:pPr>
      <w:r w:rsidRPr="00912076">
        <w:rPr>
          <w:color w:val="000000" w:themeColor="text1"/>
        </w:rPr>
        <w:t>Urad Vlade Republike Slovenije za informacijsko varnost v skladu z drugim odstavkom 27. člena Zakon o informacijski varnosti (Uradni list RS, št. 30/18, 95/21, 130/22 – ZEKom-2, 18/23 – ZDU-1O in 49/23) koordinira delovanje sistema informacijske varnosti. Omenjeno nalogo izvaja na podlagi Nacionalnega načrta za odzivanje na kibernetske incidente (Vlada Republike Slovenije št. 38600-3/2021/4 z dne 18. 3. 2021) s Koordinacijsko skupino za kibernetsko varnost. Koordinacijska skupina za kibernetsko varnost je na podlagi povečanega trenda kibernetskih incidentov identificirala potrebo in posledično predlagala izvedbo sistematičnih ukrepov za dvig odpornosti informacijsko komunikacijskih sistemov državne uprave. Z namenom izvedbe omenjenih sistematičnih ukrepov je Vlada Republike Slovenije sprejela sklep št. 02401-11/2024/4 z dne 7. 11. 2024 s katerim je ustanovila Medresorsko tehnično skupino za kibernetsko varnost za dvig odpornosti informacijsko komunikacijskih sistemov državne uprave (v nadaljevanju delovna skupina)</w:t>
      </w:r>
      <w:proofErr w:type="gramStart"/>
      <w:r w:rsidRPr="00912076">
        <w:rPr>
          <w:color w:val="000000" w:themeColor="text1"/>
        </w:rPr>
        <w:t>.  Medresorska tehnična skupine</w:t>
      </w:r>
      <w:proofErr w:type="gramEnd"/>
      <w:r w:rsidRPr="00912076">
        <w:rPr>
          <w:color w:val="000000" w:themeColor="text1"/>
        </w:rPr>
        <w:t xml:space="preserve"> je specializirana skupina, katere glavna naloga je bila analiza stanja varnosti informacijskih sistemov, omrežij in podatkovnih virov informacijsko komunikacijskih sistemov državne uprave s poudarkom na tehnični dimenziji. V delovni skupini so sodelovali predstavniki Urada Vlade Republike Slovenije za informacijsko varnost, Ministrstva za obrambo, Ministrstva za digitalno preobrazbo, Policije. Poleg omenjenih predstavnikov so v delovni skupini sodelovali tudi zunanjimi strokovnjaki. </w:t>
      </w:r>
    </w:p>
    <w:p w14:paraId="02EA4FB5" w14:textId="24A55976" w:rsidR="00912076" w:rsidRPr="00912076" w:rsidRDefault="00912076" w:rsidP="00912076">
      <w:pPr>
        <w:rPr>
          <w:color w:val="000000" w:themeColor="text1"/>
        </w:rPr>
      </w:pPr>
      <w:r w:rsidRPr="00912076">
        <w:rPr>
          <w:color w:val="000000" w:themeColor="text1"/>
        </w:rPr>
        <w:t>V odziv je delovna skupina, na podlagi preučitve trenutnega stanja pripravila, zahteve, usmeritve in priporočila za krepitev kibernetske varnosti in dvig odpornosti informacijsko-komunikacijskih sistemov in omrežij organov državne uprave pred kibernetskimi incidenti. Ker so različni organi na različnih stopnjah zrelosti</w:t>
      </w:r>
      <w:proofErr w:type="gramStart"/>
      <w:r w:rsidRPr="00912076">
        <w:rPr>
          <w:color w:val="000000" w:themeColor="text1"/>
        </w:rPr>
        <w:t xml:space="preserve"> se</w:t>
      </w:r>
      <w:proofErr w:type="gramEnd"/>
      <w:r w:rsidRPr="00912076">
        <w:rPr>
          <w:color w:val="000000" w:themeColor="text1"/>
        </w:rPr>
        <w:t xml:space="preserve"> ocenjuje, da je treba zagotoviti minimalni nivo kibernetske varnosti, ki bo dosežen z implementacijo določenega nabora priporočil in ukrepov. Navedene ukrepe državni organi predvidoma izvedejo v obdobju od treh mesecev do treh let, kot je določeno v poročilu in o njih poročajo SIGOV-CERT. Ostale ukrepe iz poročila se izvedejo skladno s predlagano časovnico, opredeljeno v predlogih sklepov.</w:t>
      </w:r>
    </w:p>
    <w:p w14:paraId="3C8229C3" w14:textId="38DE09A1" w:rsidR="00487A45" w:rsidRPr="00912076" w:rsidRDefault="00912076" w:rsidP="00912076">
      <w:pPr>
        <w:pStyle w:val="Vir"/>
      </w:pPr>
      <w:r w:rsidRPr="00912076">
        <w:t>Vir: Urad za informacijsko varnost</w:t>
      </w:r>
    </w:p>
    <w:p w14:paraId="31F5655D" w14:textId="374F1AB4" w:rsidR="00194FB7" w:rsidRDefault="00194FB7" w:rsidP="0047558E">
      <w:pPr>
        <w:pStyle w:val="Naslov2"/>
      </w:pPr>
      <w:bookmarkStart w:id="1" w:name="_Hlk203045974"/>
      <w:r w:rsidRPr="00194FB7">
        <w:t xml:space="preserve">Seznanitev Vlade Republike Slovenije z izvedenimi ukrepi, projekti in aktivnostmi pri obnovi po poplavah in plazovih v avgustu 2023 </w:t>
      </w:r>
    </w:p>
    <w:p w14:paraId="6AB2EAEF" w14:textId="3E0DC96E" w:rsidR="00194FB7" w:rsidRPr="00194FB7" w:rsidRDefault="00194FB7" w:rsidP="00194FB7">
      <w:r w:rsidRPr="00194FB7">
        <w:lastRenderedPageBreak/>
        <w:t xml:space="preserve">Avgusta 2023 so Republiko Slovenijo prizadele obsežne poplave, ki so povzročile izjemno materialno škodo in močno prizadele številne posameznike, gospodarske subjekte ter lokalne skupnosti. </w:t>
      </w:r>
    </w:p>
    <w:p w14:paraId="6CEBC457" w14:textId="77777777" w:rsidR="00194FB7" w:rsidRPr="00194FB7" w:rsidRDefault="00194FB7" w:rsidP="00194FB7">
      <w:r w:rsidRPr="00194FB7">
        <w:t xml:space="preserve">Vlada redno spremlja izvajanje ukrepov za odpravo posledic in napredek na ključnih področjih. Na današnji seji se je seznanila s strnjeno celovito informacijo o opravljenem delu na ključnih področjih in učinkih sprejetih ukrepov, ki jih je Vlada predlagala za odpravo posledic največje in najobsežnejše naravne nesreče. </w:t>
      </w:r>
    </w:p>
    <w:p w14:paraId="1D1955F4" w14:textId="031B014E" w:rsidR="00194FB7" w:rsidRPr="00194FB7" w:rsidRDefault="00194FB7" w:rsidP="00194FB7">
      <w:r w:rsidRPr="00194FB7">
        <w:t xml:space="preserve">Vlada Republike Slovenije je sprejela sklep, s katerim nalaga ministrstvom in službam, da v skladu s svojimi nalogami in pristojnostmi ter sprejetimi programi sprejmejo dodatne ukrepe, s katerimi bi pospešili vse aktivnosti z namenom, da se sanacija zaključi v predvidenem roku. </w:t>
      </w:r>
    </w:p>
    <w:p w14:paraId="22B122EE" w14:textId="7932EED3" w:rsidR="001E030B" w:rsidRDefault="00194FB7" w:rsidP="001E030B">
      <w:pPr>
        <w:pStyle w:val="Vir"/>
      </w:pPr>
      <w:r w:rsidRPr="00194FB7">
        <w:t>Vir: Služba vlade za obnovo po poplavah in plazovih</w:t>
      </w:r>
    </w:p>
    <w:bookmarkEnd w:id="1"/>
    <w:p w14:paraId="28C97C82" w14:textId="2408BAC7" w:rsidR="001E030B" w:rsidRDefault="001E030B" w:rsidP="001E030B">
      <w:pPr>
        <w:pStyle w:val="Naslov2"/>
      </w:pPr>
      <w:r>
        <w:t>Vlada prerazporeja sredstva državnega proračuna</w:t>
      </w:r>
    </w:p>
    <w:p w14:paraId="54BA6051" w14:textId="77777777" w:rsidR="001E030B" w:rsidRDefault="001E030B" w:rsidP="001E030B">
      <w:r>
        <w:t>Vlada je na današnji seji odločila o prerazporeditvah pravic porabe v letošnjem državnem proračunu.</w:t>
      </w:r>
    </w:p>
    <w:p w14:paraId="697C696C" w14:textId="77777777" w:rsidR="001E030B" w:rsidRDefault="001E030B" w:rsidP="001E030B">
      <w:r>
        <w:t xml:space="preserve">Ministrstvo za kmetijstvo, gozdarstvo in prehrano prerazporeja pravice porabe v višini 2,9 milijona evrov v okviru finančnih načrtov neposrednih uporabnikov, ki so v njegovi pristojnosti. Sredstva se prerazporejajo za razvoj informacijskega sistema na Agenciji RS za kmetijske trge in razvoj podeželja za podporo izvajanju skupne kmetijske politike 2023 – 2027 v letu 2025. </w:t>
      </w:r>
    </w:p>
    <w:p w14:paraId="4D01DD11" w14:textId="77777777" w:rsidR="001E030B" w:rsidRDefault="001E030B" w:rsidP="001E030B">
      <w:r>
        <w:t xml:space="preserve">Ministrstvo za naravne vire in prostor prerazporeja pravice porabe v okviru svojega finančnega načrta v višini 1,5 milijona evrov. Sredstva se prerazporedijo z evidenčnega projekta Programi odprave posledic naravnih nesreč, na katerem so načrtovana sredstva za eventualne nove naravne nesreče </w:t>
      </w:r>
      <w:proofErr w:type="gramStart"/>
      <w:r>
        <w:t>oziroma</w:t>
      </w:r>
      <w:proofErr w:type="gramEnd"/>
      <w:r>
        <w:t xml:space="preserve"> dogodke, katerih vnaprej pri pripravi proračunov za prihodnja leta ni mogoče načrtovati. V letu 2025 so bile za izvedbo programa odprave posledic neposredne škode na stvareh zaradi močnega neurja z dežjem, poplavami in vetrom med 12. in 13. julijem 2023 izkazane dodatne potrebe predvsem zaradi stroškov, nastalih pri sanaciji kulturnega spomenika Partizanske bolnišnice Franja.</w:t>
      </w:r>
    </w:p>
    <w:p w14:paraId="4CCFB7D3" w14:textId="3AC8423B" w:rsidR="001E030B" w:rsidRDefault="001E030B" w:rsidP="001E030B">
      <w:r>
        <w:t>Ministrstvo za naravne vire in prostor prav tako prerazporeja pravice porabe v višini 470 tisoč evrov v okviru svojega finančnega načrta. 40 tisoč evrov bodo namenili za komunikacijske aktivnosti ob drugi obletnici katastrofalnih poplav za ozaveščanje in promocijo, 180 tisoč evrov za plačilo tekočih materialnih stroškov in 250 tisoč evrov za odškodnine, kazni in stroške v sodnih, upravnih in revizijskih postopkih ter stroških poravnav in izvršb. Dodatnih 50 tisoč evrov pa ministrstvo prerazporeja znotraj lastnih finančnih nartov za namen materialnih stroškov za tekoče obveznosti, ozaveščanje in promocijo za plačilo komunikacijskih storitev ob drugi obletnici poplav.</w:t>
      </w:r>
    </w:p>
    <w:p w14:paraId="300E5F12" w14:textId="688E7E94" w:rsidR="001E030B" w:rsidRDefault="001E030B" w:rsidP="00E44ADE">
      <w:pPr>
        <w:pStyle w:val="Vir"/>
      </w:pPr>
      <w:r>
        <w:t>Vir: Ministrstvo za finance</w:t>
      </w:r>
    </w:p>
    <w:p w14:paraId="7E0AB948" w14:textId="6E73DBE2" w:rsidR="00E44ADE" w:rsidRPr="00E44ADE" w:rsidRDefault="00E44ADE" w:rsidP="00E44ADE">
      <w:pPr>
        <w:pStyle w:val="Naslov2"/>
      </w:pPr>
      <w:r w:rsidRPr="00E44ADE">
        <w:t>Vlada meni, da je prepoved pravice do ugovora vesti za farmacevte v Zakonu o lekarniški dejavnosti v skladu z Ustavo</w:t>
      </w:r>
    </w:p>
    <w:p w14:paraId="7C730127" w14:textId="45A347FD" w:rsidR="00E44ADE" w:rsidRPr="00E44ADE" w:rsidRDefault="00E44ADE" w:rsidP="00E44ADE">
      <w:pPr>
        <w:rPr>
          <w:color w:val="000000" w:themeColor="text1"/>
        </w:rPr>
      </w:pPr>
      <w:r w:rsidRPr="00E44ADE">
        <w:rPr>
          <w:color w:val="000000" w:themeColor="text1"/>
        </w:rPr>
        <w:t xml:space="preserve">Vlada je sprejela mnenje o zahtevi Sindikata farmacevtov Slovenije – SIFRAM za oceno ustavnosti 21.a člena Zakona o lekarniški dejavnosti (ZDL-1). Vlada ocenjuje, da je omenjeni člen zakona, ki farmacevtskim strokovnim delavcem prepoveduje uveljavljanje ugovora vesti, v skladu z Ustavo Republike Slovenije. </w:t>
      </w:r>
    </w:p>
    <w:p w14:paraId="63003B10" w14:textId="77777777" w:rsidR="00E44ADE" w:rsidRPr="00E44ADE" w:rsidRDefault="00E44ADE" w:rsidP="00E44ADE">
      <w:pPr>
        <w:rPr>
          <w:color w:val="000000" w:themeColor="text1"/>
        </w:rPr>
      </w:pPr>
      <w:r w:rsidRPr="00E44ADE">
        <w:rPr>
          <w:color w:val="000000" w:themeColor="text1"/>
        </w:rPr>
        <w:t>Vlada poudarja, da je lekarniška dejavnost sestavni del javne zdravstvene službe, katere osnovni namen je zagotavljanje kakovostne in učinkovite preskrbe z zdravili in drugimi izdelki za podporo zdravljenja in ohranitev zdravja ter svetovanje glede njihove varne, pravilne in učinkovite uporabe pacientom. Po oceni vlade bi dopustitev ugovora vesti lahko ogrozila pravico pacientov do pravočasnega dostopa do zdravil ter posegla v njihovo pravico do zdravstvenega varstva. Zato je prepoved pravice do ugovora vesti farmacevtskih strokovnih delavcev primerna, potrebna in proporcionalna.</w:t>
      </w:r>
    </w:p>
    <w:p w14:paraId="2230E707" w14:textId="250835A2" w:rsidR="00E44ADE" w:rsidRPr="00E44ADE" w:rsidRDefault="00E44ADE" w:rsidP="00E44ADE">
      <w:pPr>
        <w:rPr>
          <w:color w:val="000000" w:themeColor="text1"/>
        </w:rPr>
      </w:pPr>
      <w:r w:rsidRPr="00E44ADE">
        <w:rPr>
          <w:color w:val="000000" w:themeColor="text1"/>
        </w:rPr>
        <w:t xml:space="preserve">Kot izhaja Ustave, je ugovor vesti v pravnem redu pogojno dopusten v primerih, ki jih določi zakon, če se s tem ne omejujejo pravice in svoboščine drugih oseb. V tem primeru pravice pacienta do zdravstvenega varstva in kakovostne ter učinkovite preskrbe z zdravili in drugimi izdelki za podporo </w:t>
      </w:r>
      <w:r w:rsidRPr="00E44ADE">
        <w:rPr>
          <w:color w:val="000000" w:themeColor="text1"/>
        </w:rPr>
        <w:lastRenderedPageBreak/>
        <w:t xml:space="preserve">zdravljenja in ohranitev zdravja ter svetovanje glede njihove varne, pravilne in učinkovite uporabe pacientom pretehtajo nad pravicami farmacevtskega strokovnega delavca. </w:t>
      </w:r>
    </w:p>
    <w:p w14:paraId="6AB1D5B6" w14:textId="46FE51E1" w:rsidR="001E030B" w:rsidRPr="00E44ADE" w:rsidRDefault="00E44ADE" w:rsidP="00E44ADE">
      <w:pPr>
        <w:pStyle w:val="Vir"/>
      </w:pPr>
      <w:r w:rsidRPr="00E44ADE">
        <w:t>Vir: Ministrstvo za zdravje</w:t>
      </w:r>
    </w:p>
    <w:p w14:paraId="4C641214" w14:textId="43260038" w:rsidR="008D38F3" w:rsidRPr="008D38F3" w:rsidRDefault="008D38F3" w:rsidP="008D38F3">
      <w:pPr>
        <w:pStyle w:val="Naslov2"/>
      </w:pPr>
      <w:r w:rsidRPr="008D38F3">
        <w:t>Vlada izdala odločbo o imenovanju generalne sekretarke na Ministrstvu za vzgojo in izobraževanje</w:t>
      </w:r>
    </w:p>
    <w:p w14:paraId="0DCADB37" w14:textId="240D8589" w:rsidR="008D38F3" w:rsidRPr="008D38F3" w:rsidRDefault="008D38F3" w:rsidP="008D38F3">
      <w:r w:rsidRPr="008D38F3">
        <w:t xml:space="preserve">Vlada je izdala odločbo o imenovanju mag. Darinke Cankar za generalno sekretarko na Ministrstvu za vzgojo in izobraževanje za mandatno dobo 5 let, in sicer od 21. 7. 2025 do 20. 7. 2030, z možnostjo ponovnega imenovanja. </w:t>
      </w:r>
    </w:p>
    <w:p w14:paraId="6973C6E0" w14:textId="7FAAB162" w:rsidR="00487A45" w:rsidRPr="008D38F3" w:rsidRDefault="008D38F3" w:rsidP="008D38F3">
      <w:pPr>
        <w:pStyle w:val="Vir"/>
      </w:pPr>
      <w:r w:rsidRPr="008D38F3">
        <w:t>Vir: Ministrstvo za vzgojo in izobraževanje</w:t>
      </w:r>
    </w:p>
    <w:p w14:paraId="70CDCF19" w14:textId="5F24FF90" w:rsidR="00EB5BCC" w:rsidRPr="00EB5BCC" w:rsidRDefault="00EB5BCC" w:rsidP="00EB5BCC">
      <w:pPr>
        <w:pStyle w:val="Naslov2"/>
      </w:pPr>
      <w:r w:rsidRPr="00EB5BCC">
        <w:t>Vlada imenovala Moniko Pintar Mesarič za generalno direktorico Direktorata za železnice, žičnice in upravljanje prometa v Ministrstvu za infrastrukturo</w:t>
      </w:r>
    </w:p>
    <w:p w14:paraId="5F95DBFD" w14:textId="35C89D54" w:rsidR="00EB5BCC" w:rsidRPr="00EB5BCC" w:rsidRDefault="00EB5BCC" w:rsidP="00EB5BCC">
      <w:r w:rsidRPr="00EB5BCC">
        <w:t>Vlada je imenovala Moniko Pintar Mesarič za generalno direktorico Direktorata za železnice, žičnice in upravljanje prometa v Ministrstvu za infrastrukturo (MZI) na predlog ministrice za infrastrukturo mag. Alenka Bratušek. Ministrica je na podlagi tretjega stavka četrtega odstavka 82. člena ZJU Vladi Republike Slovenije predlagala, da se Monika Pintar Mesarič ponovno imenuje na položaj generalne direktorice Direktorata za železnice, žičnice in upravljanje prometa, za dobo petih let, in sicer za obdobje od 23. 10. 2025 do 22. 10. 2030, z možnostjo ponovnega imenovanja.</w:t>
      </w:r>
    </w:p>
    <w:p w14:paraId="1BE6EA46" w14:textId="77777777" w:rsidR="00EB5BCC" w:rsidRPr="00EB5BCC" w:rsidRDefault="00EB5BCC" w:rsidP="00EB5BCC">
      <w:r w:rsidRPr="00EB5BCC">
        <w:t xml:space="preserve">Četrti odstavek 82. člena ZJU določa, da se uradniki za položaje iz drugega odstavka tega člena izbirajo na podlagi javnega natečaja. Najkasneje tri mesece pred potekom obdobja imenovanja mora biti zaključen postopek javnega natečaja za položaj. V istem roku lahko funkcionar oziroma organ, pristojen za imenovanje, uradnika ponovno imenuje na isti položaj brez internega oziroma javnega natečaja. </w:t>
      </w:r>
    </w:p>
    <w:p w14:paraId="6129EDA5" w14:textId="77777777" w:rsidR="00EB5BCC" w:rsidRPr="00EB5BCC" w:rsidRDefault="00EB5BCC" w:rsidP="00EB5BCC">
      <w:r w:rsidRPr="00EB5BCC">
        <w:t xml:space="preserve">Monika Pintar Mesarič, je bila </w:t>
      </w:r>
      <w:proofErr w:type="gramStart"/>
      <w:r w:rsidRPr="00EB5BCC">
        <w:t xml:space="preserve">dne  </w:t>
      </w:r>
      <w:proofErr w:type="gramEnd"/>
      <w:r w:rsidRPr="00EB5BCC">
        <w:t>22. 10. 2020 imenovana za generalno direktorico Direktorata za kopenski promet v Ministrstvu za infrastrukturo za mandatno dobo petih let, najdlje do 22. 10. 2025, z možnostjo ponovnega imenovanja. Z Uredbo o spremembah in dopolnitvah Uredbe o notranji organizaciji in sistemizaciji delovnih mest in nazivih v organih javne uprave in pravosodnih organih je bil v Ministrstvu za infrastrukturo ukinjen Direktorat za kopenski promet in oblikovan Direktorat za železnice, žičnice in upravljanje prometa. Na podlagi drugega odstavka 54. člena Zakona o spremembah in dopolnitvah Zakona o državni upravi, ki določa</w:t>
      </w:r>
      <w:proofErr w:type="gramStart"/>
      <w:r w:rsidRPr="00EB5BCC">
        <w:t xml:space="preserve"> da</w:t>
      </w:r>
      <w:proofErr w:type="gramEnd"/>
      <w:r w:rsidRPr="00EB5BCC">
        <w:t xml:space="preserve"> uradnikom, ki so z dnem uveljavitve tega zakona na položaju generalnega direktorja na ministrstvu, z uveljavitvijo aktov iz prvega odstavka tega člena, ne glede na določbe četrtega odstavka 83. člena Zakona o javnih uslužbencih, položaji ne prenehajo, če so direktorati, ki jih vodijo, ustanovijo v vsebinsko enakem ali zmanjšanem obsegu na istem ali drugem ministrstvu, je položaj generalne direktorice Direktorata za železnice, žičnice in upravljanje prometa, prevzela Monika Pintar Mesarič.</w:t>
      </w:r>
    </w:p>
    <w:p w14:paraId="6AF678A4" w14:textId="0674AE47" w:rsidR="00EB5BCC" w:rsidRPr="00EB5BCC" w:rsidRDefault="00EB5BCC" w:rsidP="00EB5BCC">
      <w:r w:rsidRPr="00EB5BCC">
        <w:t xml:space="preserve">Pred tem je bila Monika Pintar Mesarič med drugim generalna direktorica Direktorata za javno premoženje (in finančni sistem) ter vodja Sektorja za upravljanje </w:t>
      </w:r>
      <w:proofErr w:type="gramStart"/>
      <w:r w:rsidRPr="00EB5BCC">
        <w:t>javnega premoženjem</w:t>
      </w:r>
      <w:proofErr w:type="gramEnd"/>
      <w:r w:rsidRPr="00EB5BCC">
        <w:t xml:space="preserve"> in nadzor nad zadolževanjem javnega sektorja v Ministrstvu za finance.</w:t>
      </w:r>
    </w:p>
    <w:p w14:paraId="5F94B162" w14:textId="70B10BB2" w:rsidR="00487A45" w:rsidRPr="00EB5BCC" w:rsidRDefault="00EB5BCC" w:rsidP="00EB5BCC">
      <w:pPr>
        <w:pStyle w:val="Vir"/>
      </w:pPr>
      <w:r w:rsidRPr="00EB5BCC">
        <w:t>Vir: Ministrstvo za infrastrukturo</w:t>
      </w:r>
    </w:p>
    <w:p w14:paraId="412BACF9" w14:textId="17C5C8B1" w:rsidR="00942E8E" w:rsidRPr="00942E8E" w:rsidRDefault="00942E8E" w:rsidP="00942E8E">
      <w:pPr>
        <w:pStyle w:val="Naslov2"/>
      </w:pPr>
      <w:r w:rsidRPr="00942E8E">
        <w:t>Vlada dala soglasje k imenovanju direktorja Univerzitetne psihiatrične klinike Ljubljana</w:t>
      </w:r>
    </w:p>
    <w:p w14:paraId="293001AD" w14:textId="6C488112" w:rsidR="00942E8E" w:rsidRPr="00942E8E" w:rsidRDefault="00942E8E" w:rsidP="00942E8E">
      <w:r w:rsidRPr="00942E8E">
        <w:t>Vlada je na današnji seji dala soglasje k imenovanju Damijana Perneta za direktorja javnega zdravstvenega zavoda Univerzitetna psihiatrična klinika Ljubljana za mandatno dobo štirih let, in sicer od 1. 8. 2025 do 31. 7. 2029, z možnostjo ponovnega imenovanja.</w:t>
      </w:r>
    </w:p>
    <w:p w14:paraId="3BA53B6F" w14:textId="364B80D2" w:rsidR="00942E8E" w:rsidRPr="00942E8E" w:rsidRDefault="00942E8E" w:rsidP="00942E8E">
      <w:r w:rsidRPr="00942E8E">
        <w:t xml:space="preserve">Damijan Perne, specialist psihiatrije, ima 25 let izkušenj kot zdravnik na področju psihiatrije in osem let vodstvenih delovnih izkušenj kot strokovni in poslovni direktor Psihiatrične bolnišnice Begunje. Leta </w:t>
      </w:r>
      <w:r w:rsidRPr="00942E8E">
        <w:lastRenderedPageBreak/>
        <w:t>2017 je postal predstojnik Centra za izven-bolnišnično psihiatrijo na Univerzitetni psihiatrični kliniki Ljubljana, kjer od letošnjega aprila opravlja tudi funkcijo vršilca dolžnosti direktorja.</w:t>
      </w:r>
    </w:p>
    <w:p w14:paraId="6BC69FE2" w14:textId="6A61AD37" w:rsidR="00487A45" w:rsidRPr="00942E8E" w:rsidRDefault="00942E8E" w:rsidP="00942E8E">
      <w:pPr>
        <w:pStyle w:val="Vir"/>
      </w:pPr>
      <w:r w:rsidRPr="00942E8E">
        <w:t>Vir: Ministrstvo za zdravje</w:t>
      </w:r>
    </w:p>
    <w:p w14:paraId="6FAF25E5" w14:textId="35DE532E" w:rsidR="00FB1D4D" w:rsidRPr="00FB1D4D" w:rsidRDefault="00FB1D4D" w:rsidP="00FB1D4D">
      <w:pPr>
        <w:pStyle w:val="Naslov2"/>
      </w:pPr>
      <w:r w:rsidRPr="00FB1D4D">
        <w:t>Razrešitev in imenovanj</w:t>
      </w:r>
      <w:r w:rsidR="00844159">
        <w:t>e</w:t>
      </w:r>
      <w:r w:rsidRPr="00FB1D4D">
        <w:t xml:space="preserve"> predstavnice ustanovitelja v Svet javnega zavoda Varstveno delovni center Tončke Hočevar</w:t>
      </w:r>
    </w:p>
    <w:p w14:paraId="124DA172" w14:textId="4D9BA4F5" w:rsidR="00FB1D4D" w:rsidRPr="00FB1D4D" w:rsidRDefault="00FB1D4D" w:rsidP="00FB1D4D">
      <w:r w:rsidRPr="00FB1D4D">
        <w:t>Vlada je sprejela sklep o razrešitvi Marjane Baraga iz sveta javnega zavoda Varstveno delovnega centra Tončke Hočevar, potem ko je ta kot predstavnica ustanovitelja odstopila z mesta članice sveta. Vlada je na mesto Marjane Baraga, ki je bila dne 21. septembra 2023 imenovana za 4-letni mandat, imenovala mag. Tanjo Skornšek Pleš, in sicer za obdobje od 11. julija do 3. oktobra 2027.</w:t>
      </w:r>
    </w:p>
    <w:p w14:paraId="5326E1FB" w14:textId="0DA203F1" w:rsidR="00487A45" w:rsidRPr="00FB1D4D" w:rsidRDefault="00FB1D4D" w:rsidP="00FB1D4D">
      <w:pPr>
        <w:pStyle w:val="Vir"/>
      </w:pPr>
      <w:r w:rsidRPr="00FB1D4D">
        <w:t>Vir: Ministrstvo za solidarno prihodnost</w:t>
      </w:r>
    </w:p>
    <w:p w14:paraId="397F3A97" w14:textId="1848CFEF" w:rsidR="001164F0" w:rsidRPr="001164F0" w:rsidRDefault="001164F0" w:rsidP="001164F0">
      <w:pPr>
        <w:pStyle w:val="Naslov2"/>
      </w:pPr>
      <w:r>
        <w:t>R</w:t>
      </w:r>
      <w:r w:rsidRPr="001164F0">
        <w:t>azrešit</w:t>
      </w:r>
      <w:r>
        <w:t>ev</w:t>
      </w:r>
      <w:r w:rsidRPr="001164F0">
        <w:t xml:space="preserve"> članic in imenovanje nadomestnih članov nadzornega sveta Javnega sklada Republike Slovenije za regionalni razvoj in razvoj podeželja</w:t>
      </w:r>
    </w:p>
    <w:p w14:paraId="119E7434" w14:textId="348C7C69" w:rsidR="001164F0" w:rsidRPr="001164F0" w:rsidRDefault="001164F0" w:rsidP="001164F0">
      <w:pPr>
        <w:rPr>
          <w:color w:val="000000" w:themeColor="text1"/>
        </w:rPr>
      </w:pPr>
      <w:r w:rsidRPr="001164F0">
        <w:rPr>
          <w:color w:val="000000" w:themeColor="text1"/>
        </w:rPr>
        <w:t xml:space="preserve">Vlada je razrešila mag. Simono Hočevar in mag. Natašo Kokol Car z mest članic nadzornega sveta Javnega sklada Republike Slovenije za regionalni razvoj in razvoj podeželja. Razlog je menjava zaposlitve omenjenih članic. Sočasno je v nadzorni svet za preostanek mandatnega obdobja, in sicer od 11. 7. 2025 do 23. 6. 2026, imenovala: </w:t>
      </w:r>
    </w:p>
    <w:p w14:paraId="06DCB481" w14:textId="77777777" w:rsidR="001164F0" w:rsidRPr="001164F0" w:rsidRDefault="001164F0" w:rsidP="001164F0">
      <w:pPr>
        <w:rPr>
          <w:color w:val="000000" w:themeColor="text1"/>
        </w:rPr>
      </w:pPr>
      <w:r w:rsidRPr="001164F0">
        <w:rPr>
          <w:color w:val="000000" w:themeColor="text1"/>
        </w:rPr>
        <w:t xml:space="preserve">-  dr. Til Rozman, </w:t>
      </w:r>
      <w:proofErr w:type="gramStart"/>
      <w:r w:rsidRPr="001164F0">
        <w:rPr>
          <w:color w:val="000000" w:themeColor="text1"/>
        </w:rPr>
        <w:t>iz</w:t>
      </w:r>
      <w:proofErr w:type="gramEnd"/>
      <w:r w:rsidRPr="001164F0">
        <w:rPr>
          <w:color w:val="000000" w:themeColor="text1"/>
        </w:rPr>
        <w:t xml:space="preserve"> Ministrstva za javno upravo kot predstavnika državnega organa, pristojnega za razvoj,</w:t>
      </w:r>
    </w:p>
    <w:p w14:paraId="55A18838" w14:textId="55F0859D" w:rsidR="001164F0" w:rsidRPr="001164F0" w:rsidRDefault="001164F0" w:rsidP="001164F0">
      <w:pPr>
        <w:rPr>
          <w:color w:val="000000" w:themeColor="text1"/>
        </w:rPr>
      </w:pPr>
      <w:proofErr w:type="gramStart"/>
      <w:r w:rsidRPr="001164F0">
        <w:rPr>
          <w:color w:val="000000" w:themeColor="text1"/>
        </w:rPr>
        <w:t xml:space="preserve">-  </w:t>
      </w:r>
      <w:proofErr w:type="gramEnd"/>
      <w:r w:rsidRPr="001164F0">
        <w:rPr>
          <w:color w:val="000000" w:themeColor="text1"/>
        </w:rPr>
        <w:t>Miha Primec, iz Ministrstva za finance kot predstavnika državnega organa, pristojnega za finance.</w:t>
      </w:r>
    </w:p>
    <w:p w14:paraId="59541D75" w14:textId="2563C7E7" w:rsidR="00487A45" w:rsidRPr="001164F0" w:rsidRDefault="001164F0" w:rsidP="001164F0">
      <w:pPr>
        <w:pStyle w:val="Vir"/>
      </w:pPr>
      <w:r w:rsidRPr="001164F0">
        <w:t>Vir: Ministrstvo za kohezijo in regionalni razvoj</w:t>
      </w:r>
    </w:p>
    <w:p w14:paraId="2FDBA087" w14:textId="4F5679EF" w:rsidR="009D01B0" w:rsidRPr="009D01B0" w:rsidRDefault="009D01B0" w:rsidP="009D01B0">
      <w:pPr>
        <w:pStyle w:val="Naslov2"/>
      </w:pPr>
      <w:r w:rsidRPr="009D01B0">
        <w:t>Vlada imenovala dr. Jaklitsch in dr. Devetaka v svet javnega zavoda ŠCNR</w:t>
      </w:r>
    </w:p>
    <w:p w14:paraId="649275A8" w14:textId="22A59C37" w:rsidR="009D01B0" w:rsidRPr="009D01B0" w:rsidRDefault="009D01B0" w:rsidP="009D01B0">
      <w:r w:rsidRPr="009D01B0">
        <w:t>Vlada je na današnji seji v svet javnega zavoda Študijski center za narodno spravo za mandatno dobo pet let, z možnostjo ponovnega imenovanja, kot predstavnika ustanovitelja imenovala dr. Heleno Jaklitsch in dr. Roberta Devetaka.</w:t>
      </w:r>
    </w:p>
    <w:p w14:paraId="5B6A8F5E" w14:textId="6EACC9E2" w:rsidR="00487A45" w:rsidRPr="009D01B0" w:rsidRDefault="009D01B0" w:rsidP="009D01B0">
      <w:pPr>
        <w:pStyle w:val="Vir"/>
      </w:pPr>
      <w:r w:rsidRPr="009D01B0">
        <w:t>Vir: Ministrstvo za pravosodje</w:t>
      </w:r>
    </w:p>
    <w:p w14:paraId="48B38E9A" w14:textId="64CAC175" w:rsidR="00372AC2" w:rsidRPr="00372AC2" w:rsidRDefault="00372AC2" w:rsidP="00372AC2">
      <w:pPr>
        <w:pStyle w:val="Naslov2"/>
      </w:pPr>
      <w:r w:rsidRPr="00372AC2">
        <w:t>Vlada izdala sklep, s katerim se zavrže predlog za ugotovitev ničnosti odločbe MKGP</w:t>
      </w:r>
    </w:p>
    <w:p w14:paraId="660AE719" w14:textId="0C8D9F24" w:rsidR="00372AC2" w:rsidRPr="00372AC2" w:rsidRDefault="00372AC2" w:rsidP="00372AC2">
      <w:pPr>
        <w:rPr>
          <w:color w:val="000000" w:themeColor="text1"/>
        </w:rPr>
      </w:pPr>
      <w:r w:rsidRPr="00372AC2">
        <w:rPr>
          <w:color w:val="000000" w:themeColor="text1"/>
        </w:rPr>
        <w:t xml:space="preserve">Vlada izdaja sklep, s katerim se </w:t>
      </w:r>
      <w:proofErr w:type="gramStart"/>
      <w:r w:rsidRPr="00372AC2">
        <w:rPr>
          <w:color w:val="000000" w:themeColor="text1"/>
        </w:rPr>
        <w:t>zavrže</w:t>
      </w:r>
      <w:proofErr w:type="gramEnd"/>
      <w:r w:rsidRPr="00372AC2">
        <w:rPr>
          <w:color w:val="000000" w:themeColor="text1"/>
        </w:rPr>
        <w:t xml:space="preserve"> predlog Rajka Majcna, ugotovitev ničnosti ter odpravo in razveljavitev po nadzorstveni pravici odločbe Ministrstva za kmetijstvo, gozdarstvo in prehrano (MKGP). </w:t>
      </w:r>
    </w:p>
    <w:p w14:paraId="7028C99F" w14:textId="77777777" w:rsidR="00372AC2" w:rsidRPr="00372AC2" w:rsidRDefault="00372AC2" w:rsidP="00372AC2">
      <w:pPr>
        <w:rPr>
          <w:color w:val="000000" w:themeColor="text1"/>
        </w:rPr>
      </w:pPr>
      <w:r w:rsidRPr="00372AC2">
        <w:rPr>
          <w:color w:val="000000" w:themeColor="text1"/>
        </w:rPr>
        <w:t xml:space="preserve">MKGP je z odločbo z dne 12. 4. 2019 odločilo, da se Društvu za zaščito in pomoč živalim v stiski, Lajka, Cesta v Mestni log 33, 1000 Ljubljana, podeli status nevladne organizacije, ki deluje v javnem interesu na področju zaščite živali.  </w:t>
      </w:r>
    </w:p>
    <w:p w14:paraId="67CBC5C8" w14:textId="77777777" w:rsidR="00372AC2" w:rsidRPr="00372AC2" w:rsidRDefault="00372AC2" w:rsidP="00372AC2">
      <w:pPr>
        <w:rPr>
          <w:color w:val="000000" w:themeColor="text1"/>
        </w:rPr>
      </w:pPr>
      <w:r w:rsidRPr="00372AC2">
        <w:rPr>
          <w:color w:val="000000" w:themeColor="text1"/>
        </w:rPr>
        <w:t xml:space="preserve">Predlagatelj Rajko Majcen </w:t>
      </w:r>
      <w:proofErr w:type="gramStart"/>
      <w:r w:rsidRPr="00372AC2">
        <w:rPr>
          <w:color w:val="000000" w:themeColor="text1"/>
        </w:rPr>
        <w:t xml:space="preserve">je  </w:t>
      </w:r>
      <w:proofErr w:type="gramEnd"/>
      <w:r w:rsidRPr="00372AC2">
        <w:rPr>
          <w:color w:val="000000" w:themeColor="text1"/>
        </w:rPr>
        <w:t xml:space="preserve">25. 3. 2025 vložil vlogo, v kateri navaja, da je odločba, s katero je bil Društvu Lajka avtomatično podeljen status nevladne organizacije v javnem interesu, materialno nezakonita in da so podani pogoji za uvedbo postopka za njeno odpravo ali ugotovitev ničnosti ter dodatno med drugim poziva organ druge stopnje, da po uradni dolžnosti preveri pogoje za postopek za ugotovitev ničnosti. </w:t>
      </w:r>
    </w:p>
    <w:p w14:paraId="0F6F6E97" w14:textId="77777777" w:rsidR="00372AC2" w:rsidRPr="00372AC2" w:rsidRDefault="00372AC2" w:rsidP="00372AC2">
      <w:pPr>
        <w:rPr>
          <w:color w:val="000000" w:themeColor="text1"/>
        </w:rPr>
      </w:pPr>
      <w:r w:rsidRPr="00372AC2">
        <w:rPr>
          <w:color w:val="000000" w:themeColor="text1"/>
        </w:rPr>
        <w:t xml:space="preserve">Organ druge stopnje je skladno s prvim odstavkom 129. člena Zakona o splošnem upravnem postopku najprej preizkusil zahtevo predlagatelja in ugotovil, da odločba v ničemer ne vpliva na pravni položaj predlagatelja in je treba njegov predlog za izrek ničnosti odločbe zaradi pomanjkanja aktivne legitimacije zavreči. Prav tako pa predlagatelj tudi ni upravičen uveljavljati zahteve za odpravo oziroma </w:t>
      </w:r>
      <w:r w:rsidRPr="00372AC2">
        <w:rPr>
          <w:color w:val="000000" w:themeColor="text1"/>
        </w:rPr>
        <w:lastRenderedPageBreak/>
        <w:t xml:space="preserve">razveljavitev omenjene odločbe po nadzorstveni </w:t>
      </w:r>
      <w:proofErr w:type="gramStart"/>
      <w:r w:rsidRPr="00372AC2">
        <w:rPr>
          <w:color w:val="000000" w:themeColor="text1"/>
        </w:rPr>
        <w:t>pravici</w:t>
      </w:r>
      <w:proofErr w:type="gramEnd"/>
      <w:r w:rsidRPr="00372AC2">
        <w:rPr>
          <w:color w:val="000000" w:themeColor="text1"/>
        </w:rPr>
        <w:t>, ob upoštevanju določbe prvega odstavka 275. člena ZUP.</w:t>
      </w:r>
    </w:p>
    <w:p w14:paraId="2834A669" w14:textId="105A62AE" w:rsidR="00372AC2" w:rsidRPr="00372AC2" w:rsidRDefault="00372AC2" w:rsidP="00372AC2">
      <w:pPr>
        <w:rPr>
          <w:color w:val="000000" w:themeColor="text1"/>
        </w:rPr>
      </w:pPr>
      <w:r w:rsidRPr="00372AC2">
        <w:rPr>
          <w:color w:val="000000" w:themeColor="text1"/>
        </w:rPr>
        <w:t>Ker je organ druge stopnje ugotovil, da predlagatelj v vlogi ne uveljavlja kakšne svoje pravice ali pravne koristi oziroma ne more biti stranka, je odločil, da se njegov predlog zavrže na podlagi druge točke prvega odstavka 129. člena ZUP.</w:t>
      </w:r>
    </w:p>
    <w:p w14:paraId="2979FF54" w14:textId="692B7C90" w:rsidR="00487A45" w:rsidRPr="00C128D6" w:rsidRDefault="00372AC2" w:rsidP="00C128D6">
      <w:pPr>
        <w:pStyle w:val="Vir"/>
      </w:pPr>
      <w:r w:rsidRPr="00372AC2">
        <w:t>Vir: Ministrstvo za kmetijstvo, gozdarstvo in prehrano</w:t>
      </w:r>
    </w:p>
    <w:p w14:paraId="63C12ECC" w14:textId="71D5F88D" w:rsidR="00C128D6" w:rsidRPr="00C128D6" w:rsidRDefault="00C128D6" w:rsidP="00C128D6">
      <w:pPr>
        <w:pStyle w:val="Naslov2"/>
      </w:pPr>
      <w:r w:rsidRPr="00C128D6">
        <w:t>Vlada o razrešitvi člana strokovnega sveta Agencije za javni nadzor nad revidiranjem</w:t>
      </w:r>
    </w:p>
    <w:p w14:paraId="2FC415B8" w14:textId="77777777" w:rsidR="00C128D6" w:rsidRPr="00C128D6" w:rsidRDefault="00C128D6" w:rsidP="00C128D6">
      <w:r w:rsidRPr="00C128D6">
        <w:t xml:space="preserve">Vlada je na današnji seji odločila o razrešitvi Mitje </w:t>
      </w:r>
      <w:proofErr w:type="spellStart"/>
      <w:proofErr w:type="gramStart"/>
      <w:r w:rsidRPr="00C128D6">
        <w:t>Skiteka</w:t>
      </w:r>
      <w:proofErr w:type="spellEnd"/>
      <w:proofErr w:type="gramEnd"/>
      <w:r w:rsidRPr="00C128D6">
        <w:t xml:space="preserve"> z mesta člana strokovnega sveta Agencije za javni nadzor nad revidiranjem (ANR).</w:t>
      </w:r>
    </w:p>
    <w:p w14:paraId="286AD350" w14:textId="7FC98BDC" w:rsidR="00C128D6" w:rsidRPr="00C128D6" w:rsidRDefault="00C128D6" w:rsidP="00C128D6">
      <w:r w:rsidRPr="00C128D6">
        <w:t>Član strokovnega sveta ANR Mitja Skitek je obvestil ministra za finance in strokovni svet ANR o nastanku naknadnega nastopa nezdružljivosti med trajanjem funkcije člana strokovnega sveta ANR. Obvestilo se šteje kot odstopna izjava. Na podlagi te odstopne izjave lahko vlada člana strokovnega sveta ANR predčasno razreši.</w:t>
      </w:r>
    </w:p>
    <w:p w14:paraId="090052CD" w14:textId="25395FA2" w:rsidR="00487A45" w:rsidRPr="00C128D6" w:rsidRDefault="00C128D6" w:rsidP="00C128D6">
      <w:pPr>
        <w:pStyle w:val="Vir"/>
      </w:pPr>
      <w:r w:rsidRPr="00C128D6">
        <w:t>Vir: Ministrstvo za finance</w:t>
      </w:r>
    </w:p>
    <w:p w14:paraId="1CA68B93" w14:textId="292A4448" w:rsidR="004D3391" w:rsidRPr="004D3391" w:rsidRDefault="004D3391" w:rsidP="004D3391">
      <w:pPr>
        <w:pStyle w:val="Naslov2"/>
      </w:pPr>
      <w:r w:rsidRPr="004D3391">
        <w:t>Damjan Petrič ponovno imenovan za v. d. generalnega direktorja policije</w:t>
      </w:r>
    </w:p>
    <w:p w14:paraId="3C45432B" w14:textId="558A54B3" w:rsidR="004D3391" w:rsidRPr="004D3391" w:rsidRDefault="004D3391" w:rsidP="004D3391">
      <w:r w:rsidRPr="004D3391">
        <w:t>Vlada je izdala odločbo o ponovnem imenovanju Damjana Petriča za vršilca dolžnosti generalnega direktorja policije v Ministrstvu za notranje zadeve, Policiji, in sicer od 16. julija 2025 do imenovanja novega generalnega direktorja, vendar največ za šest mesecev, to je najdlje do 15. januarja 2026.</w:t>
      </w:r>
    </w:p>
    <w:p w14:paraId="5091B3E6" w14:textId="01418CB7" w:rsidR="004D3391" w:rsidRDefault="004D3391" w:rsidP="004D3391">
      <w:r w:rsidRPr="004D3391">
        <w:t>Deveti odstavek 83. člena Zakona o javnih uslužbencih določa, da lahko v času od sprožitve natečajnega postopka do imenovanja novega uradnika na položaj iz drugega odstavka 82. člena istega zakona brez javnega natečaja največ šest mesecev naloge na tem položaju opravlja vršilec dolžnosti. Za vršilca dolžnosti je brez javnega natečaja lahko imenovana oseba, ki izpolnjuje predpisane pogoje. Minister za notranje zadeve Boštjan Poklukar je sprožil natečajni postopek za položaj generalnega direktorja policije, vendar natečajni postopek ni zaključen, zato je vladi podal predlog za ponovno imenovanje Damjana Petriča za vršilca dolžnosti generalnega direktorja policije.</w:t>
      </w:r>
    </w:p>
    <w:p w14:paraId="6368BAA5" w14:textId="4CA5FEEA" w:rsidR="004D3391" w:rsidRPr="004D3391" w:rsidRDefault="004D3391" w:rsidP="004D3391">
      <w:pPr>
        <w:pStyle w:val="Vir"/>
      </w:pPr>
      <w:r>
        <w:t>Vir: Ministrstvo za notranje zadeve</w:t>
      </w:r>
    </w:p>
    <w:p w14:paraId="187F5DB7" w14:textId="77777777" w:rsidR="00D9670A" w:rsidRPr="00C128D6" w:rsidRDefault="00D9670A" w:rsidP="00D9670A"/>
    <w:sectPr w:rsidR="00D9670A" w:rsidRPr="00C128D6"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F82748"/>
    <w:multiLevelType w:val="hybridMultilevel"/>
    <w:tmpl w:val="9C6C7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A619C8"/>
    <w:multiLevelType w:val="hybridMultilevel"/>
    <w:tmpl w:val="2C40235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AF77E7"/>
    <w:multiLevelType w:val="hybridMultilevel"/>
    <w:tmpl w:val="EEAC01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8557BA"/>
    <w:multiLevelType w:val="hybridMultilevel"/>
    <w:tmpl w:val="D8EC6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F4295D"/>
    <w:multiLevelType w:val="hybridMultilevel"/>
    <w:tmpl w:val="8D18557E"/>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244675"/>
    <w:multiLevelType w:val="hybridMultilevel"/>
    <w:tmpl w:val="59B8646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754367"/>
    <w:multiLevelType w:val="hybridMultilevel"/>
    <w:tmpl w:val="1FCA0EDC"/>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1E7377"/>
    <w:multiLevelType w:val="hybridMultilevel"/>
    <w:tmpl w:val="B262D25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59D1852"/>
    <w:multiLevelType w:val="hybridMultilevel"/>
    <w:tmpl w:val="32566874"/>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C10881"/>
    <w:multiLevelType w:val="hybridMultilevel"/>
    <w:tmpl w:val="580655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FB360A"/>
    <w:multiLevelType w:val="hybridMultilevel"/>
    <w:tmpl w:val="A19437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DD5D1F"/>
    <w:multiLevelType w:val="hybridMultilevel"/>
    <w:tmpl w:val="0A141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F47342"/>
    <w:multiLevelType w:val="hybridMultilevel"/>
    <w:tmpl w:val="3C3E81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591D7C"/>
    <w:multiLevelType w:val="hybridMultilevel"/>
    <w:tmpl w:val="C95C4226"/>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9D83594"/>
    <w:multiLevelType w:val="hybridMultilevel"/>
    <w:tmpl w:val="16A045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835279F"/>
    <w:multiLevelType w:val="hybridMultilevel"/>
    <w:tmpl w:val="619C3D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1B4734B"/>
    <w:multiLevelType w:val="hybridMultilevel"/>
    <w:tmpl w:val="7A2C68EA"/>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FC217C"/>
    <w:multiLevelType w:val="hybridMultilevel"/>
    <w:tmpl w:val="65749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EEF22D9"/>
    <w:multiLevelType w:val="hybridMultilevel"/>
    <w:tmpl w:val="553426D6"/>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5C018D6"/>
    <w:multiLevelType w:val="hybridMultilevel"/>
    <w:tmpl w:val="6C6858DA"/>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A04FDC"/>
    <w:multiLevelType w:val="multilevel"/>
    <w:tmpl w:val="E7845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F29274C"/>
    <w:multiLevelType w:val="hybridMultilevel"/>
    <w:tmpl w:val="EFD8E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26"/>
  </w:num>
  <w:num w:numId="2" w16cid:durableId="984821814">
    <w:abstractNumId w:val="18"/>
  </w:num>
  <w:num w:numId="3" w16cid:durableId="150218247">
    <w:abstractNumId w:val="0"/>
  </w:num>
  <w:num w:numId="4" w16cid:durableId="1026903286">
    <w:abstractNumId w:val="20"/>
  </w:num>
  <w:num w:numId="5" w16cid:durableId="231817878">
    <w:abstractNumId w:val="10"/>
  </w:num>
  <w:num w:numId="6" w16cid:durableId="2110814889">
    <w:abstractNumId w:val="29"/>
  </w:num>
  <w:num w:numId="7" w16cid:durableId="695153758">
    <w:abstractNumId w:val="11"/>
  </w:num>
  <w:num w:numId="8" w16cid:durableId="853298866">
    <w:abstractNumId w:val="16"/>
  </w:num>
  <w:num w:numId="9" w16cid:durableId="1789348953">
    <w:abstractNumId w:val="9"/>
  </w:num>
  <w:num w:numId="10" w16cid:durableId="97021618">
    <w:abstractNumId w:val="24"/>
  </w:num>
  <w:num w:numId="11" w16cid:durableId="2008942213">
    <w:abstractNumId w:val="19"/>
  </w:num>
  <w:num w:numId="12" w16cid:durableId="928387069">
    <w:abstractNumId w:val="2"/>
  </w:num>
  <w:num w:numId="13" w16cid:durableId="845248613">
    <w:abstractNumId w:val="1"/>
  </w:num>
  <w:num w:numId="14" w16cid:durableId="803695375">
    <w:abstractNumId w:val="30"/>
  </w:num>
  <w:num w:numId="15" w16cid:durableId="1464273212">
    <w:abstractNumId w:val="25"/>
  </w:num>
  <w:num w:numId="16" w16cid:durableId="1302923749">
    <w:abstractNumId w:val="15"/>
  </w:num>
  <w:num w:numId="17" w16cid:durableId="1972395110">
    <w:abstractNumId w:val="6"/>
  </w:num>
  <w:num w:numId="18" w16cid:durableId="1255162543">
    <w:abstractNumId w:val="27"/>
  </w:num>
  <w:num w:numId="19" w16cid:durableId="1195539138">
    <w:abstractNumId w:val="12"/>
  </w:num>
  <w:num w:numId="20" w16cid:durableId="341126694">
    <w:abstractNumId w:val="7"/>
  </w:num>
  <w:num w:numId="21" w16cid:durableId="152383026">
    <w:abstractNumId w:val="23"/>
  </w:num>
  <w:num w:numId="22" w16cid:durableId="578248411">
    <w:abstractNumId w:val="21"/>
  </w:num>
  <w:num w:numId="23" w16cid:durableId="1443498838">
    <w:abstractNumId w:val="5"/>
  </w:num>
  <w:num w:numId="24" w16cid:durableId="1038705911">
    <w:abstractNumId w:val="8"/>
  </w:num>
  <w:num w:numId="25" w16cid:durableId="1009020718">
    <w:abstractNumId w:val="3"/>
  </w:num>
  <w:num w:numId="26" w16cid:durableId="484391991">
    <w:abstractNumId w:val="14"/>
  </w:num>
  <w:num w:numId="27" w16cid:durableId="810562967">
    <w:abstractNumId w:val="4"/>
  </w:num>
  <w:num w:numId="28" w16cid:durableId="1661735985">
    <w:abstractNumId w:val="17"/>
  </w:num>
  <w:num w:numId="29" w16cid:durableId="1203328894">
    <w:abstractNumId w:val="13"/>
  </w:num>
  <w:num w:numId="30" w16cid:durableId="1544711407">
    <w:abstractNumId w:val="22"/>
  </w:num>
  <w:num w:numId="31" w16cid:durableId="18473302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00148"/>
    <w:rsid w:val="000318E4"/>
    <w:rsid w:val="00037669"/>
    <w:rsid w:val="00044FEC"/>
    <w:rsid w:val="00045211"/>
    <w:rsid w:val="00050A56"/>
    <w:rsid w:val="00076DF7"/>
    <w:rsid w:val="000848E4"/>
    <w:rsid w:val="00085D04"/>
    <w:rsid w:val="00087069"/>
    <w:rsid w:val="00097B85"/>
    <w:rsid w:val="000D354C"/>
    <w:rsid w:val="000D5520"/>
    <w:rsid w:val="000E0657"/>
    <w:rsid w:val="000E2DD8"/>
    <w:rsid w:val="000E795D"/>
    <w:rsid w:val="00106798"/>
    <w:rsid w:val="00110B8F"/>
    <w:rsid w:val="00114383"/>
    <w:rsid w:val="001164F0"/>
    <w:rsid w:val="0013016C"/>
    <w:rsid w:val="001328B2"/>
    <w:rsid w:val="001567ED"/>
    <w:rsid w:val="001602C9"/>
    <w:rsid w:val="0016530C"/>
    <w:rsid w:val="001673A5"/>
    <w:rsid w:val="00173343"/>
    <w:rsid w:val="00194FB7"/>
    <w:rsid w:val="001A5E0E"/>
    <w:rsid w:val="001B01DD"/>
    <w:rsid w:val="001B1ACB"/>
    <w:rsid w:val="001B42F9"/>
    <w:rsid w:val="001B5E62"/>
    <w:rsid w:val="001B7E2D"/>
    <w:rsid w:val="001C1B36"/>
    <w:rsid w:val="001C3560"/>
    <w:rsid w:val="001D16A7"/>
    <w:rsid w:val="001E030B"/>
    <w:rsid w:val="001E3275"/>
    <w:rsid w:val="001F51BC"/>
    <w:rsid w:val="001F5F76"/>
    <w:rsid w:val="001F7F63"/>
    <w:rsid w:val="00201055"/>
    <w:rsid w:val="00203166"/>
    <w:rsid w:val="00203A7B"/>
    <w:rsid w:val="00203F5F"/>
    <w:rsid w:val="002104D3"/>
    <w:rsid w:val="00215140"/>
    <w:rsid w:val="00220CDD"/>
    <w:rsid w:val="0022161B"/>
    <w:rsid w:val="00231021"/>
    <w:rsid w:val="00244B7E"/>
    <w:rsid w:val="002501CE"/>
    <w:rsid w:val="00254446"/>
    <w:rsid w:val="0026496E"/>
    <w:rsid w:val="00272A55"/>
    <w:rsid w:val="00274356"/>
    <w:rsid w:val="00291D63"/>
    <w:rsid w:val="00293CB5"/>
    <w:rsid w:val="002B4374"/>
    <w:rsid w:val="002C36A6"/>
    <w:rsid w:val="002D5B5D"/>
    <w:rsid w:val="002E1B38"/>
    <w:rsid w:val="002F1D11"/>
    <w:rsid w:val="002F37E1"/>
    <w:rsid w:val="002F5ADC"/>
    <w:rsid w:val="00314EA3"/>
    <w:rsid w:val="0032428F"/>
    <w:rsid w:val="00346113"/>
    <w:rsid w:val="00346E22"/>
    <w:rsid w:val="00351E1E"/>
    <w:rsid w:val="00357DC0"/>
    <w:rsid w:val="00361255"/>
    <w:rsid w:val="0036714B"/>
    <w:rsid w:val="003671FE"/>
    <w:rsid w:val="00371B02"/>
    <w:rsid w:val="00372AC2"/>
    <w:rsid w:val="00380D61"/>
    <w:rsid w:val="00381018"/>
    <w:rsid w:val="003847C8"/>
    <w:rsid w:val="003877EB"/>
    <w:rsid w:val="00390DF7"/>
    <w:rsid w:val="0039662C"/>
    <w:rsid w:val="003C2EAE"/>
    <w:rsid w:val="003C33AA"/>
    <w:rsid w:val="003D459F"/>
    <w:rsid w:val="003D64D8"/>
    <w:rsid w:val="003E17B6"/>
    <w:rsid w:val="003E6170"/>
    <w:rsid w:val="003F4CC5"/>
    <w:rsid w:val="00405BFD"/>
    <w:rsid w:val="00407CA0"/>
    <w:rsid w:val="0041081F"/>
    <w:rsid w:val="004108D2"/>
    <w:rsid w:val="00413F2F"/>
    <w:rsid w:val="00415527"/>
    <w:rsid w:val="00431BE4"/>
    <w:rsid w:val="00432937"/>
    <w:rsid w:val="004403EC"/>
    <w:rsid w:val="00447B57"/>
    <w:rsid w:val="00455B63"/>
    <w:rsid w:val="00460370"/>
    <w:rsid w:val="0047558E"/>
    <w:rsid w:val="004857E7"/>
    <w:rsid w:val="00485D23"/>
    <w:rsid w:val="00487A45"/>
    <w:rsid w:val="004A2C3C"/>
    <w:rsid w:val="004A7CAD"/>
    <w:rsid w:val="004B262F"/>
    <w:rsid w:val="004B4753"/>
    <w:rsid w:val="004B7346"/>
    <w:rsid w:val="004D3391"/>
    <w:rsid w:val="004D3724"/>
    <w:rsid w:val="004D6DD6"/>
    <w:rsid w:val="004E4419"/>
    <w:rsid w:val="004F17B0"/>
    <w:rsid w:val="004F4BB3"/>
    <w:rsid w:val="005069F3"/>
    <w:rsid w:val="00514121"/>
    <w:rsid w:val="00522637"/>
    <w:rsid w:val="00527867"/>
    <w:rsid w:val="00527AA5"/>
    <w:rsid w:val="005314D7"/>
    <w:rsid w:val="005515BD"/>
    <w:rsid w:val="00555922"/>
    <w:rsid w:val="00565EDC"/>
    <w:rsid w:val="00575591"/>
    <w:rsid w:val="00575662"/>
    <w:rsid w:val="0059143B"/>
    <w:rsid w:val="00591FF5"/>
    <w:rsid w:val="005A570D"/>
    <w:rsid w:val="005B5886"/>
    <w:rsid w:val="005C1523"/>
    <w:rsid w:val="005D3C9A"/>
    <w:rsid w:val="005E0230"/>
    <w:rsid w:val="005E1ABB"/>
    <w:rsid w:val="005E4406"/>
    <w:rsid w:val="005E6A4B"/>
    <w:rsid w:val="00610B2E"/>
    <w:rsid w:val="006139AF"/>
    <w:rsid w:val="00614FFD"/>
    <w:rsid w:val="006274BB"/>
    <w:rsid w:val="00630884"/>
    <w:rsid w:val="00634EFA"/>
    <w:rsid w:val="00635D43"/>
    <w:rsid w:val="00636A15"/>
    <w:rsid w:val="00650F3F"/>
    <w:rsid w:val="00656F90"/>
    <w:rsid w:val="0066249C"/>
    <w:rsid w:val="0067375D"/>
    <w:rsid w:val="00683AAE"/>
    <w:rsid w:val="0069648A"/>
    <w:rsid w:val="006A208B"/>
    <w:rsid w:val="006C1B31"/>
    <w:rsid w:val="006C21AD"/>
    <w:rsid w:val="006C5874"/>
    <w:rsid w:val="006E6AA4"/>
    <w:rsid w:val="0070324C"/>
    <w:rsid w:val="00707845"/>
    <w:rsid w:val="007120FD"/>
    <w:rsid w:val="007130E1"/>
    <w:rsid w:val="00715F7F"/>
    <w:rsid w:val="00717E59"/>
    <w:rsid w:val="007361C1"/>
    <w:rsid w:val="00737297"/>
    <w:rsid w:val="0073796B"/>
    <w:rsid w:val="00750D01"/>
    <w:rsid w:val="00753D21"/>
    <w:rsid w:val="00754769"/>
    <w:rsid w:val="007643A0"/>
    <w:rsid w:val="007669A3"/>
    <w:rsid w:val="00781345"/>
    <w:rsid w:val="0079385F"/>
    <w:rsid w:val="007A6460"/>
    <w:rsid w:val="007B0ADD"/>
    <w:rsid w:val="007B168B"/>
    <w:rsid w:val="007B1CDD"/>
    <w:rsid w:val="007B7634"/>
    <w:rsid w:val="007C21FB"/>
    <w:rsid w:val="007D34C8"/>
    <w:rsid w:val="007E198F"/>
    <w:rsid w:val="007E6BA8"/>
    <w:rsid w:val="007F5D6B"/>
    <w:rsid w:val="007F6EF7"/>
    <w:rsid w:val="008244C0"/>
    <w:rsid w:val="008272F2"/>
    <w:rsid w:val="008336E7"/>
    <w:rsid w:val="00836E94"/>
    <w:rsid w:val="00844159"/>
    <w:rsid w:val="00847AD3"/>
    <w:rsid w:val="00857A30"/>
    <w:rsid w:val="008624E8"/>
    <w:rsid w:val="00862C56"/>
    <w:rsid w:val="00890B4D"/>
    <w:rsid w:val="00891D16"/>
    <w:rsid w:val="00892B8A"/>
    <w:rsid w:val="008B6F3F"/>
    <w:rsid w:val="008B7AF2"/>
    <w:rsid w:val="008C4231"/>
    <w:rsid w:val="008D38F3"/>
    <w:rsid w:val="008D49BD"/>
    <w:rsid w:val="008F4C3C"/>
    <w:rsid w:val="00905C96"/>
    <w:rsid w:val="00905FB2"/>
    <w:rsid w:val="00912076"/>
    <w:rsid w:val="00912915"/>
    <w:rsid w:val="009170E9"/>
    <w:rsid w:val="009174DA"/>
    <w:rsid w:val="00926D5A"/>
    <w:rsid w:val="00933061"/>
    <w:rsid w:val="00933087"/>
    <w:rsid w:val="00942E8E"/>
    <w:rsid w:val="00945B27"/>
    <w:rsid w:val="009508DE"/>
    <w:rsid w:val="009540E4"/>
    <w:rsid w:val="009617D3"/>
    <w:rsid w:val="00962496"/>
    <w:rsid w:val="00965588"/>
    <w:rsid w:val="00974186"/>
    <w:rsid w:val="00980C30"/>
    <w:rsid w:val="00981D65"/>
    <w:rsid w:val="00983241"/>
    <w:rsid w:val="00986FFE"/>
    <w:rsid w:val="009900DE"/>
    <w:rsid w:val="0099141C"/>
    <w:rsid w:val="009978F2"/>
    <w:rsid w:val="009A41AA"/>
    <w:rsid w:val="009C2C98"/>
    <w:rsid w:val="009C2D77"/>
    <w:rsid w:val="009C562E"/>
    <w:rsid w:val="009D01B0"/>
    <w:rsid w:val="009D10D1"/>
    <w:rsid w:val="009E3BF3"/>
    <w:rsid w:val="00A03639"/>
    <w:rsid w:val="00A06971"/>
    <w:rsid w:val="00A12381"/>
    <w:rsid w:val="00A13FC4"/>
    <w:rsid w:val="00A1750C"/>
    <w:rsid w:val="00A224C2"/>
    <w:rsid w:val="00A30052"/>
    <w:rsid w:val="00A34FC4"/>
    <w:rsid w:val="00A445DF"/>
    <w:rsid w:val="00A5415F"/>
    <w:rsid w:val="00A60A37"/>
    <w:rsid w:val="00A63E12"/>
    <w:rsid w:val="00A67305"/>
    <w:rsid w:val="00A72B6F"/>
    <w:rsid w:val="00A7412B"/>
    <w:rsid w:val="00A87E19"/>
    <w:rsid w:val="00A95C96"/>
    <w:rsid w:val="00AA1B5D"/>
    <w:rsid w:val="00AA6622"/>
    <w:rsid w:val="00AB1DC2"/>
    <w:rsid w:val="00AB6390"/>
    <w:rsid w:val="00AB7EBC"/>
    <w:rsid w:val="00AC4300"/>
    <w:rsid w:val="00AC4E2C"/>
    <w:rsid w:val="00AD14DA"/>
    <w:rsid w:val="00AD1AFD"/>
    <w:rsid w:val="00AD3780"/>
    <w:rsid w:val="00AE5AE3"/>
    <w:rsid w:val="00AE6CD6"/>
    <w:rsid w:val="00AF1258"/>
    <w:rsid w:val="00AF6D2A"/>
    <w:rsid w:val="00B022E5"/>
    <w:rsid w:val="00B21A86"/>
    <w:rsid w:val="00B301B3"/>
    <w:rsid w:val="00B326A5"/>
    <w:rsid w:val="00B47F61"/>
    <w:rsid w:val="00B52B6E"/>
    <w:rsid w:val="00B60F58"/>
    <w:rsid w:val="00B67490"/>
    <w:rsid w:val="00B70CCC"/>
    <w:rsid w:val="00B70F5B"/>
    <w:rsid w:val="00B710AF"/>
    <w:rsid w:val="00B73F19"/>
    <w:rsid w:val="00B753A8"/>
    <w:rsid w:val="00B84862"/>
    <w:rsid w:val="00B90375"/>
    <w:rsid w:val="00BA743D"/>
    <w:rsid w:val="00BB1111"/>
    <w:rsid w:val="00BB245A"/>
    <w:rsid w:val="00BB2B75"/>
    <w:rsid w:val="00BB6BF3"/>
    <w:rsid w:val="00BB73C0"/>
    <w:rsid w:val="00BE5C43"/>
    <w:rsid w:val="00BF11F0"/>
    <w:rsid w:val="00BF7CE6"/>
    <w:rsid w:val="00C06300"/>
    <w:rsid w:val="00C128D6"/>
    <w:rsid w:val="00C3152B"/>
    <w:rsid w:val="00C34B85"/>
    <w:rsid w:val="00C354D9"/>
    <w:rsid w:val="00C365A8"/>
    <w:rsid w:val="00C42DF6"/>
    <w:rsid w:val="00C458C2"/>
    <w:rsid w:val="00C524DF"/>
    <w:rsid w:val="00C54586"/>
    <w:rsid w:val="00C666AC"/>
    <w:rsid w:val="00C8735C"/>
    <w:rsid w:val="00C961AD"/>
    <w:rsid w:val="00C97F7B"/>
    <w:rsid w:val="00CA52D7"/>
    <w:rsid w:val="00CA5624"/>
    <w:rsid w:val="00CA6984"/>
    <w:rsid w:val="00CB5714"/>
    <w:rsid w:val="00CC3123"/>
    <w:rsid w:val="00CC37B3"/>
    <w:rsid w:val="00CD7197"/>
    <w:rsid w:val="00D10EB4"/>
    <w:rsid w:val="00D14EEC"/>
    <w:rsid w:val="00D572F3"/>
    <w:rsid w:val="00D60721"/>
    <w:rsid w:val="00D60A92"/>
    <w:rsid w:val="00D650E2"/>
    <w:rsid w:val="00D65BF1"/>
    <w:rsid w:val="00D70E9E"/>
    <w:rsid w:val="00D7373E"/>
    <w:rsid w:val="00D9208E"/>
    <w:rsid w:val="00D944AC"/>
    <w:rsid w:val="00D95BC6"/>
    <w:rsid w:val="00D966FF"/>
    <w:rsid w:val="00D9670A"/>
    <w:rsid w:val="00DA3B4D"/>
    <w:rsid w:val="00DA5C0D"/>
    <w:rsid w:val="00DC3A98"/>
    <w:rsid w:val="00DD2B2A"/>
    <w:rsid w:val="00DE199D"/>
    <w:rsid w:val="00DE1B54"/>
    <w:rsid w:val="00DE27BA"/>
    <w:rsid w:val="00DF4506"/>
    <w:rsid w:val="00E02AB3"/>
    <w:rsid w:val="00E05EEE"/>
    <w:rsid w:val="00E14AAE"/>
    <w:rsid w:val="00E2036F"/>
    <w:rsid w:val="00E2763F"/>
    <w:rsid w:val="00E3207D"/>
    <w:rsid w:val="00E3507E"/>
    <w:rsid w:val="00E43F4B"/>
    <w:rsid w:val="00E44ADE"/>
    <w:rsid w:val="00E45D1D"/>
    <w:rsid w:val="00E6446C"/>
    <w:rsid w:val="00E7132A"/>
    <w:rsid w:val="00E7306E"/>
    <w:rsid w:val="00E80F20"/>
    <w:rsid w:val="00E83E60"/>
    <w:rsid w:val="00E86C78"/>
    <w:rsid w:val="00E948BD"/>
    <w:rsid w:val="00EA3138"/>
    <w:rsid w:val="00EA4024"/>
    <w:rsid w:val="00EB5BCC"/>
    <w:rsid w:val="00EC012E"/>
    <w:rsid w:val="00EF1263"/>
    <w:rsid w:val="00F00D20"/>
    <w:rsid w:val="00F01966"/>
    <w:rsid w:val="00F06AB5"/>
    <w:rsid w:val="00F153DC"/>
    <w:rsid w:val="00F20884"/>
    <w:rsid w:val="00F21123"/>
    <w:rsid w:val="00F21419"/>
    <w:rsid w:val="00F23144"/>
    <w:rsid w:val="00F24A5B"/>
    <w:rsid w:val="00F26E77"/>
    <w:rsid w:val="00F35E61"/>
    <w:rsid w:val="00F462C7"/>
    <w:rsid w:val="00F73CE1"/>
    <w:rsid w:val="00F8432A"/>
    <w:rsid w:val="00F93A56"/>
    <w:rsid w:val="00F979B5"/>
    <w:rsid w:val="00FA792D"/>
    <w:rsid w:val="00FB1D4D"/>
    <w:rsid w:val="00FC28E1"/>
    <w:rsid w:val="00FC2D38"/>
    <w:rsid w:val="00FD6F18"/>
    <w:rsid w:val="00FE0CBB"/>
    <w:rsid w:val="00FE5604"/>
    <w:rsid w:val="00FE60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basedOn w:val="Privzetapisavaodstavka"/>
    <w:uiPriority w:val="99"/>
    <w:unhideWhenUsed/>
    <w:rsid w:val="00CA52D7"/>
    <w:rPr>
      <w:color w:val="0563C1" w:themeColor="hyperlink"/>
      <w:u w:val="single"/>
    </w:rPr>
  </w:style>
  <w:style w:type="paragraph" w:customStyle="1" w:styleId="Neotevilenodstavek">
    <w:name w:val="Neoštevilčen odstavek"/>
    <w:basedOn w:val="Navaden"/>
    <w:link w:val="NeotevilenodstavekZnak"/>
    <w:qFormat/>
    <w:rsid w:val="00346113"/>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346113"/>
    <w:rPr>
      <w:rFonts w:ascii="Arial" w:eastAsia="Times New Roman" w:hAnsi="Arial" w:cs="Times New Roman"/>
    </w:rPr>
  </w:style>
  <w:style w:type="paragraph" w:customStyle="1" w:styleId="Poglavje">
    <w:name w:val="Poglavje"/>
    <w:basedOn w:val="Navaden"/>
    <w:qFormat/>
    <w:rsid w:val="00D65BF1"/>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3425">
      <w:bodyDiv w:val="1"/>
      <w:marLeft w:val="0"/>
      <w:marRight w:val="0"/>
      <w:marTop w:val="0"/>
      <w:marBottom w:val="0"/>
      <w:divBdr>
        <w:top w:val="none" w:sz="0" w:space="0" w:color="auto"/>
        <w:left w:val="none" w:sz="0" w:space="0" w:color="auto"/>
        <w:bottom w:val="none" w:sz="0" w:space="0" w:color="auto"/>
        <w:right w:val="none" w:sz="0" w:space="0" w:color="auto"/>
      </w:divBdr>
    </w:div>
    <w:div w:id="815991628">
      <w:bodyDiv w:val="1"/>
      <w:marLeft w:val="0"/>
      <w:marRight w:val="0"/>
      <w:marTop w:val="0"/>
      <w:marBottom w:val="0"/>
      <w:divBdr>
        <w:top w:val="none" w:sz="0" w:space="0" w:color="auto"/>
        <w:left w:val="none" w:sz="0" w:space="0" w:color="auto"/>
        <w:bottom w:val="none" w:sz="0" w:space="0" w:color="auto"/>
        <w:right w:val="none" w:sz="0" w:space="0" w:color="auto"/>
      </w:divBdr>
    </w:div>
    <w:div w:id="1165585755">
      <w:bodyDiv w:val="1"/>
      <w:marLeft w:val="0"/>
      <w:marRight w:val="0"/>
      <w:marTop w:val="0"/>
      <w:marBottom w:val="0"/>
      <w:divBdr>
        <w:top w:val="none" w:sz="0" w:space="0" w:color="auto"/>
        <w:left w:val="none" w:sz="0" w:space="0" w:color="auto"/>
        <w:bottom w:val="none" w:sz="0" w:space="0" w:color="auto"/>
        <w:right w:val="none" w:sz="0" w:space="0" w:color="auto"/>
      </w:divBdr>
    </w:div>
    <w:div w:id="154332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4DDD5E-BF2A-42E4-BF83-F29C09BA9F1D}">
  <ds:schemaRefs>
    <ds:schemaRef ds:uri="http://schemas.microsoft.com/sharepoint/v3/contenttype/forms"/>
  </ds:schemaRefs>
</ds:datastoreItem>
</file>

<file path=customXml/itemProps2.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customXml/itemProps4.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6947</Words>
  <Characters>39599</Characters>
  <Application>Microsoft Office Word</Application>
  <DocSecurity>0</DocSecurity>
  <Lines>329</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2025-07-10T11:20:00Z</dcterms:created>
  <dcterms:modified xsi:type="dcterms:W3CDTF">2025-07-10T11:20:00Z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