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2378616D" w:rsidR="0073796B" w:rsidRPr="0039662C" w:rsidRDefault="00D10EB4" w:rsidP="0039662C">
      <w:pPr>
        <w:pStyle w:val="Naslov1"/>
      </w:pPr>
      <w:r>
        <w:t>1</w:t>
      </w:r>
      <w:r w:rsidR="00432937">
        <w:t>5</w:t>
      </w:r>
      <w:r w:rsidR="00E3207D">
        <w:t>9</w:t>
      </w:r>
      <w:r w:rsidR="0073796B" w:rsidRPr="0039662C">
        <w:t>. redna seja Vlade Republike Slovenije</w:t>
      </w:r>
    </w:p>
    <w:p w14:paraId="27F30B92" w14:textId="3C48796D" w:rsidR="0073796B" w:rsidRDefault="00EF1263" w:rsidP="008B7AF2">
      <w:pPr>
        <w:pStyle w:val="DatumSZJ"/>
      </w:pPr>
      <w:r>
        <w:t>19</w:t>
      </w:r>
      <w:r w:rsidR="00D10EB4">
        <w:t>.</w:t>
      </w:r>
      <w:r w:rsidR="0073796B" w:rsidRPr="008B7AF2">
        <w:t xml:space="preserve"> </w:t>
      </w:r>
      <w:r w:rsidR="00C666AC">
        <w:t>j</w:t>
      </w:r>
      <w:r w:rsidR="00DA3B4D">
        <w:t xml:space="preserve">unij </w:t>
      </w:r>
      <w:r w:rsidR="0073796B" w:rsidRPr="008B7AF2">
        <w:t>202</w:t>
      </w:r>
      <w:r w:rsidR="00F21123">
        <w:t>5</w:t>
      </w:r>
    </w:p>
    <w:p w14:paraId="5003A70D" w14:textId="3E5345A5" w:rsidR="003C2EAE" w:rsidRPr="003C2EAE" w:rsidRDefault="003C2EAE" w:rsidP="003C2EAE">
      <w:pPr>
        <w:pStyle w:val="Naslov2"/>
        <w:rPr>
          <w:rStyle w:val="Naslov2Znak"/>
          <w:b/>
          <w:bCs/>
        </w:rPr>
      </w:pPr>
      <w:r w:rsidRPr="003C2EAE">
        <w:t xml:space="preserve">Vlada izdala uredbo za povečanje produktivnosti in dodane vrednosti pri predelavi in trženju </w:t>
      </w:r>
      <w:r w:rsidRPr="003C2EAE">
        <w:rPr>
          <w:rStyle w:val="Naslov2Znak"/>
          <w:b/>
          <w:bCs/>
        </w:rPr>
        <w:t>kmetijskih proizvodov</w:t>
      </w:r>
    </w:p>
    <w:p w14:paraId="43073D8D" w14:textId="77777777" w:rsidR="003C2EAE" w:rsidRDefault="003C2EAE" w:rsidP="003C2EAE">
      <w:r>
        <w:t xml:space="preserve">Vlada je izdala Uredbo o izvajanju </w:t>
      </w:r>
      <w:proofErr w:type="gramStart"/>
      <w:r>
        <w:t>intervencije</w:t>
      </w:r>
      <w:proofErr w:type="gramEnd"/>
      <w:r>
        <w:t xml:space="preserve"> naložbe v predelavo in trženje kmetijskih proizvodov za dvig produktivnosti in tehnološki razvoj, vključno z digitalizacijo, ter intervencije kolektivne naložbe v kmetijstvu za skupno pripravo kmetijskih proizvodov za trg in razvoj močnih in odpornih verig vrednosti preskrbe s hrano iz strateškega načrta skupne kmetijske politike 2023–2027.</w:t>
      </w:r>
    </w:p>
    <w:p w14:paraId="486D1FF7" w14:textId="77777777" w:rsidR="003C2EAE" w:rsidRDefault="003C2EAE" w:rsidP="003C2EAE"/>
    <w:p w14:paraId="07D112FB" w14:textId="292D42EC" w:rsidR="003C2EAE" w:rsidRDefault="003C2EAE" w:rsidP="003C2EAE">
      <w:proofErr w:type="gramStart"/>
      <w:r>
        <w:t>Intervencija</w:t>
      </w:r>
      <w:proofErr w:type="gramEnd"/>
      <w:r>
        <w:t xml:space="preserve"> naložbe v predelavo in trženje kmetijskih proizvodov za dvig produktivnosti in tehnološki razvoj je namenjena majhnim kmetijam, kmetijam ter pravnim osebam in samostojnim podjetnikom posameznikom. Cilji so povečanje produktivnosti in dodane vrednosti pri predelavi oziroma trženju, povečanje stroškovne učinkovitosti, večja digitaliziranost proizvodnje, prilagoditev proizvodnje podnebnim spremembam ter zmanjšanje vplivov na okolje. Med naložbe sodijo ureditev objekta oziroma nakup opreme za objekt, nakup mobilnega predelovalnega obrata, opreme za učinkovito rabo energije oziroma pridobivanje energije iz obnovljivih virov, ponovno uporabo stranskih proizvodov, zmanjšanje rabe vode, ponovno rabo odpadne vode, rabo meteorne vode, zbiranje odpadne vode ter preprečevanje in zmanjšanje nastajanja odpadkov, nakup čistilne naprave oziroma lovilca maščob ali nakup strojev za prekladanje materialov. Prav tako med naložbe sodijo nakup namenskega aparata za prodajo ali nakup opreme za nadgradnjo lastne, mobilne prodajalne.</w:t>
      </w:r>
    </w:p>
    <w:p w14:paraId="7233CBFC" w14:textId="77777777" w:rsidR="003C2EAE" w:rsidRDefault="003C2EAE" w:rsidP="003C2EAE"/>
    <w:p w14:paraId="7AD1E8F8" w14:textId="1D702478" w:rsidR="003C2EAE" w:rsidRDefault="003C2EAE" w:rsidP="003C2EAE">
      <w:r>
        <w:t xml:space="preserve">Podpora iz </w:t>
      </w:r>
      <w:proofErr w:type="gramStart"/>
      <w:r>
        <w:t>intervencije</w:t>
      </w:r>
      <w:proofErr w:type="gramEnd"/>
      <w:r>
        <w:t xml:space="preserve"> kolektivne naložbe za skupno pripravo kmetijskih proizvodov za trg je namenjena naložbam v prvo prodajo kmetijskih proizvodov prodajnemu posredniku ali predelovalcu oziroma naložbam v trženje kmetijskih proizvodov iz lastne pridelave. Upravičenci so priznane organizacije proizvajalcev, priznane skupine proizvajalcev za skupno trženje ter zadruge. Naložbe, </w:t>
      </w:r>
      <w:proofErr w:type="gramStart"/>
      <w:r>
        <w:t>namenjene</w:t>
      </w:r>
      <w:proofErr w:type="gramEnd"/>
      <w:r>
        <w:t xml:space="preserve"> prvi prodaji kmetijskih proizvodov, so ureditev skladišča, hladilnice ali zbirnega centra, nakup opreme za učinkovito rabo energije oziroma pridobivanje energije iz obnovljivih virov, ponovno uporabo stranskih proizvodov, zmanjšanje rabe vode, ponovno rabo odpadne vode, rabo meteorne vode, zbiranje odpadne vode ali preprečevanje in zmanjšanje nastajanja odpadkov, nakup čistilne naprave, nakup tovornega vozila z opremo za namen dostave in ohranjanja kakovosti kmetijskih proizvodov ali nakup strojev za prekladanje materialov.</w:t>
      </w:r>
    </w:p>
    <w:p w14:paraId="5EA63912" w14:textId="77777777" w:rsidR="003C2EAE" w:rsidRDefault="003C2EAE" w:rsidP="003C2EAE"/>
    <w:p w14:paraId="61E35E5D" w14:textId="48256BD2" w:rsidR="003C2EAE" w:rsidRDefault="003C2EAE" w:rsidP="003C2EAE">
      <w:r>
        <w:t xml:space="preserve">Z uredbo se določajo namen in cilji </w:t>
      </w:r>
      <w:proofErr w:type="gramStart"/>
      <w:r>
        <w:t>intervencije</w:t>
      </w:r>
      <w:proofErr w:type="gramEnd"/>
      <w:r>
        <w:t xml:space="preserve"> oziroma </w:t>
      </w:r>
      <w:proofErr w:type="spellStart"/>
      <w:r>
        <w:t>podintervencij</w:t>
      </w:r>
      <w:proofErr w:type="spellEnd"/>
      <w:r>
        <w:t xml:space="preserve">, vlagatelj in upravičenec, upravičeni in neupravičeni stroški, pogoji za dodelitev podpore, merila za ocenjevanje vlog, pogoji za izplačilo sredstev, obveznosti, finančne določbe in upravne sankcije za izvajanje 73. člena Uredbe (EU) 2021/2115 Evropskega parlamenta in Sveta z dne 2. decembra 2021 o določitvi pravil o podpori za strateške načrte, ki jih pripravijo države članice v okviru skupne kmetijske politike in se financirajo iz Evropskega kmetijskega jamstvenega sklada in Evropskega kmetijskega sklada za razvoj podeželja. </w:t>
      </w:r>
    </w:p>
    <w:p w14:paraId="2EA7D5E2" w14:textId="6AA801C1" w:rsidR="00857A30" w:rsidRDefault="003C2EAE" w:rsidP="003C2EAE">
      <w:pPr>
        <w:pStyle w:val="Vir"/>
      </w:pPr>
      <w:r>
        <w:t>Vir: Ministrstvo za kmetijstvo, gozdarstvo in prehrano</w:t>
      </w:r>
    </w:p>
    <w:p w14:paraId="03AC2399" w14:textId="4051AF3D" w:rsidR="00912915" w:rsidRDefault="00912915" w:rsidP="00912915">
      <w:pPr>
        <w:pStyle w:val="Naslov2"/>
      </w:pPr>
      <w:r>
        <w:t xml:space="preserve">Sprejet paket strožjih pogojev obratovanja in spremljanje naprav za sežig in sosežig </w:t>
      </w:r>
    </w:p>
    <w:p w14:paraId="55E7E8FE" w14:textId="77777777" w:rsidR="00912915" w:rsidRDefault="00912915" w:rsidP="00912915">
      <w:r>
        <w:t>Vlada je sprejela paket podzakonskih aktov</w:t>
      </w:r>
      <w:proofErr w:type="gramStart"/>
      <w:r>
        <w:t xml:space="preserve"> s</w:t>
      </w:r>
      <w:proofErr w:type="gramEnd"/>
      <w:r>
        <w:t xml:space="preserve"> katerimi sledi zahtevam novele Zakona o varstvu okolja glede določitve mejnih vrednosti emisij naprav za sosežig odpadkov ter nadzora nad emisijami. </w:t>
      </w:r>
      <w:r>
        <w:lastRenderedPageBreak/>
        <w:t xml:space="preserve">Sočasno je minister za okolje, podnebje in energijo sprejel prenovljen pravilnik o prvih meritvah in obratovalnem </w:t>
      </w:r>
      <w:proofErr w:type="gramStart"/>
      <w:r>
        <w:t>monitoringu</w:t>
      </w:r>
      <w:proofErr w:type="gramEnd"/>
      <w:r>
        <w:t xml:space="preserve"> emisije snovi v zrak iz nepremičnih virov onesnaževanja.</w:t>
      </w:r>
    </w:p>
    <w:p w14:paraId="3CE22D9E" w14:textId="77777777" w:rsidR="00912915" w:rsidRDefault="00912915" w:rsidP="00912915"/>
    <w:p w14:paraId="4BFCDBF7" w14:textId="77777777" w:rsidR="00912915" w:rsidRDefault="00912915" w:rsidP="00912915">
      <w:r>
        <w:t>Paket dveh uredb in pravilnika sledi določilom Zakona o varstvu okolja in uvaja strožje pogoje obratovanja in spremljanja obratovanja naprav za sežig in sosežig odpadkov ter drugih industrijskih naprav.</w:t>
      </w:r>
    </w:p>
    <w:p w14:paraId="3E8F7D34" w14:textId="77777777" w:rsidR="00912915" w:rsidRDefault="00912915" w:rsidP="00912915"/>
    <w:p w14:paraId="21C31201" w14:textId="77777777" w:rsidR="00912915" w:rsidRDefault="00912915" w:rsidP="00912915">
      <w:r>
        <w:t xml:space="preserve">S sprejetjem paketa daje vlada jasen signal, da sta zdravje ljudi in varstvo okolja njeni prednostni nalogi. Slovenija bo imela odslej enega najnaprednejših sistemov nadzora nad sežiganjem odpadkov v Evropi. </w:t>
      </w:r>
    </w:p>
    <w:p w14:paraId="5396693C" w14:textId="77777777" w:rsidR="00912915" w:rsidRDefault="00912915" w:rsidP="00912915"/>
    <w:p w14:paraId="4C4FF777" w14:textId="77777777" w:rsidR="00912915" w:rsidRPr="00912915" w:rsidRDefault="00912915" w:rsidP="00912915">
      <w:pPr>
        <w:rPr>
          <w:u w:val="single"/>
        </w:rPr>
      </w:pPr>
      <w:r w:rsidRPr="00912915">
        <w:rPr>
          <w:u w:val="single"/>
        </w:rPr>
        <w:t xml:space="preserve">Spremembe uredbe o sežigalnicah odpadkov in napravah za sosežig odpadkov </w:t>
      </w:r>
    </w:p>
    <w:p w14:paraId="32D573D0" w14:textId="77777777" w:rsidR="00912915" w:rsidRDefault="00912915" w:rsidP="00912915"/>
    <w:p w14:paraId="41C8B566" w14:textId="77777777" w:rsidR="00912915" w:rsidRDefault="00912915" w:rsidP="00912915">
      <w:r>
        <w:t xml:space="preserve">Vlada je sprejela spremembe Uredbe o sežigalnicah odpadkov in napravah za sosežig odpadkov, ki prenaša zahteve lani sprejete novele Zakona o varstvu okolja (ZVO-2A) in s tem za naprave za sosežig odpadkov uvaja najstrožje </w:t>
      </w:r>
      <w:proofErr w:type="gramStart"/>
      <w:r>
        <w:t>okoljske</w:t>
      </w:r>
      <w:proofErr w:type="gramEnd"/>
      <w:r>
        <w:t xml:space="preserve"> standarde v EU. </w:t>
      </w:r>
    </w:p>
    <w:p w14:paraId="4BE3E4CB" w14:textId="77777777" w:rsidR="00912915" w:rsidRDefault="00912915" w:rsidP="00912915"/>
    <w:p w14:paraId="00CD1851" w14:textId="77777777" w:rsidR="00912915" w:rsidRDefault="00912915" w:rsidP="00912915">
      <w:r>
        <w:t xml:space="preserve"> Ključne novosti uredbe:</w:t>
      </w:r>
    </w:p>
    <w:p w14:paraId="572A835D" w14:textId="063009AF" w:rsidR="00912915" w:rsidRDefault="00912915" w:rsidP="00912915">
      <w:pPr>
        <w:pStyle w:val="Odstavekseznama"/>
        <w:numPr>
          <w:ilvl w:val="0"/>
          <w:numId w:val="29"/>
        </w:numPr>
      </w:pPr>
      <w:r>
        <w:t>Strožje mejne vrednosti emisij za zrak in vodo za naprave za sosežig odpadkov, izenačene z mejnimi vrednostmi iz zaključka o BAT za sežig odpadkov, ki opisuje najboljše razpoložljive tehnike na tem področju.</w:t>
      </w:r>
    </w:p>
    <w:p w14:paraId="14FE5983" w14:textId="0951F8A5" w:rsidR="00912915" w:rsidRDefault="00912915" w:rsidP="00912915">
      <w:pPr>
        <w:pStyle w:val="Odstavekseznama"/>
        <w:numPr>
          <w:ilvl w:val="0"/>
          <w:numId w:val="29"/>
        </w:numPr>
      </w:pPr>
      <w:r>
        <w:t xml:space="preserve">Dodatne polurne mejne vrednosti, ki presegajo zahteve EU – Slovenija postavlja višje </w:t>
      </w:r>
      <w:proofErr w:type="gramStart"/>
      <w:r>
        <w:t>okoljske</w:t>
      </w:r>
      <w:proofErr w:type="gramEnd"/>
      <w:r>
        <w:t xml:space="preserve"> standarde.</w:t>
      </w:r>
    </w:p>
    <w:p w14:paraId="7CBCA38B" w14:textId="519498B8" w:rsidR="00912915" w:rsidRDefault="00912915" w:rsidP="00912915">
      <w:pPr>
        <w:pStyle w:val="Odstavekseznama"/>
        <w:numPr>
          <w:ilvl w:val="0"/>
          <w:numId w:val="29"/>
        </w:numPr>
      </w:pPr>
      <w:r>
        <w:t xml:space="preserve">Časovna omejitev in opredelitev pogojev za prilagoditev posameznih mejnih vrednosti, ki jo sicer že omogoča evropska direktiva o industrijskih </w:t>
      </w:r>
      <w:proofErr w:type="gramStart"/>
      <w:r>
        <w:t>emisijah</w:t>
      </w:r>
      <w:proofErr w:type="gramEnd"/>
      <w:r>
        <w:t xml:space="preserve"> iz leta 2010, izključno v izjemnih primerih, kadar tehnologija tehnično ali finančno še ni dostopna, pod strogimi pogoji in strokovnim nadzorom. </w:t>
      </w:r>
    </w:p>
    <w:p w14:paraId="6BDB0B19" w14:textId="7637CAD8" w:rsidR="00912915" w:rsidRDefault="00912915" w:rsidP="00912915">
      <w:pPr>
        <w:pStyle w:val="Odstavekseznama"/>
        <w:numPr>
          <w:ilvl w:val="0"/>
          <w:numId w:val="29"/>
        </w:numPr>
      </w:pPr>
      <w:r>
        <w:t xml:space="preserve">Jasna pravila za delovanje ob okvarah – omejitev sežiganja in obvezno obveščanje inšpekcije. </w:t>
      </w:r>
    </w:p>
    <w:p w14:paraId="4D45A4CF" w14:textId="0F7D445D" w:rsidR="00912915" w:rsidRDefault="00912915" w:rsidP="00912915">
      <w:pPr>
        <w:pStyle w:val="Odstavekseznama"/>
        <w:numPr>
          <w:ilvl w:val="0"/>
          <w:numId w:val="29"/>
        </w:numPr>
      </w:pPr>
      <w:r>
        <w:t xml:space="preserve">Večja preglednost – vsi razlogi za izjeme bodo javno dostopni in utemeljeni. </w:t>
      </w:r>
    </w:p>
    <w:p w14:paraId="03D0743E" w14:textId="77777777" w:rsidR="00912915" w:rsidRDefault="00912915" w:rsidP="00912915"/>
    <w:p w14:paraId="6F08163C" w14:textId="77777777" w:rsidR="00912915" w:rsidRPr="00912915" w:rsidRDefault="00912915" w:rsidP="00912915">
      <w:pPr>
        <w:rPr>
          <w:u w:val="single"/>
        </w:rPr>
      </w:pPr>
      <w:r w:rsidRPr="00912915">
        <w:rPr>
          <w:u w:val="single"/>
        </w:rPr>
        <w:t xml:space="preserve">Spremembe Uredbe o </w:t>
      </w:r>
      <w:proofErr w:type="gramStart"/>
      <w:r w:rsidRPr="00912915">
        <w:rPr>
          <w:u w:val="single"/>
        </w:rPr>
        <w:t>emisiji</w:t>
      </w:r>
      <w:proofErr w:type="gramEnd"/>
      <w:r w:rsidRPr="00912915">
        <w:rPr>
          <w:u w:val="single"/>
        </w:rPr>
        <w:t xml:space="preserve"> snovi v zrak iz nepremičnih virov onesnaževanja</w:t>
      </w:r>
    </w:p>
    <w:p w14:paraId="2449DFFA" w14:textId="77777777" w:rsidR="00912915" w:rsidRDefault="00912915" w:rsidP="00912915"/>
    <w:p w14:paraId="41224E1D" w14:textId="77777777" w:rsidR="00912915" w:rsidRDefault="00912915" w:rsidP="00912915">
      <w:r>
        <w:t xml:space="preserve">Vlada je sprejela tudi spremembe Uredbe o </w:t>
      </w:r>
      <w:proofErr w:type="gramStart"/>
      <w:r>
        <w:t>emisiji</w:t>
      </w:r>
      <w:proofErr w:type="gramEnd"/>
      <w:r>
        <w:t xml:space="preserve"> snovi v zrak iz nepremičnih virov onesnaževanja, s katero uvajajo sodobnejši standardi za industrijske naprave, zmanjšuje administrativno obremenitev in krepi nadzor nad emisijami. </w:t>
      </w:r>
    </w:p>
    <w:p w14:paraId="5C1B95A3" w14:textId="77777777" w:rsidR="00912915" w:rsidRDefault="00912915" w:rsidP="00912915"/>
    <w:p w14:paraId="294865A8" w14:textId="77777777" w:rsidR="00912915" w:rsidRDefault="00912915" w:rsidP="00912915">
      <w:r>
        <w:t>Ključne novosti uredbe:</w:t>
      </w:r>
    </w:p>
    <w:p w14:paraId="5970B6E5" w14:textId="04AA3940" w:rsidR="00912915" w:rsidRDefault="00912915" w:rsidP="00912915">
      <w:pPr>
        <w:pStyle w:val="Odstavekseznama"/>
        <w:numPr>
          <w:ilvl w:val="0"/>
          <w:numId w:val="30"/>
        </w:numPr>
      </w:pPr>
      <w:r>
        <w:t xml:space="preserve">Razširjen obratovalni </w:t>
      </w:r>
      <w:proofErr w:type="gramStart"/>
      <w:r>
        <w:t>monitoring</w:t>
      </w:r>
      <w:proofErr w:type="gramEnd"/>
      <w:r>
        <w:t>: meritve se bodo izvajale na vseh posameznih izpustih naprav, glede na prostorninski in masni pretok snovi.</w:t>
      </w:r>
    </w:p>
    <w:p w14:paraId="5425595D" w14:textId="01DFAC60" w:rsidR="00912915" w:rsidRDefault="00912915" w:rsidP="00912915">
      <w:pPr>
        <w:pStyle w:val="Odstavekseznama"/>
        <w:numPr>
          <w:ilvl w:val="0"/>
          <w:numId w:val="30"/>
        </w:numPr>
      </w:pPr>
      <w:r>
        <w:t>Prenehanje uporabe zastarele uredbe za cementarne: nova uredba nadomešča staro uredbo za proizvodnjo cementa, kar pomeni poenostavitev zakonodaje in boljšo usklajenost z okoljevarstvenimi cilji.</w:t>
      </w:r>
    </w:p>
    <w:p w14:paraId="37E22D63" w14:textId="5F5FD4DE" w:rsidR="00912915" w:rsidRDefault="00912915" w:rsidP="00912915">
      <w:pPr>
        <w:pStyle w:val="Odstavekseznama"/>
        <w:numPr>
          <w:ilvl w:val="0"/>
          <w:numId w:val="30"/>
        </w:numPr>
      </w:pPr>
      <w:r>
        <w:t xml:space="preserve">Letni </w:t>
      </w:r>
      <w:proofErr w:type="gramStart"/>
      <w:r>
        <w:t>monitoring</w:t>
      </w:r>
      <w:proofErr w:type="gramEnd"/>
      <w:r>
        <w:t xml:space="preserve"> za velike izpuste: cementarne bodo morale izvajati letne meritve tudi na mlinih, sušilnicah in hladilnikih z velikim pretokom odpadnih plinov.</w:t>
      </w:r>
    </w:p>
    <w:p w14:paraId="7AF3F851" w14:textId="7848960A" w:rsidR="00912915" w:rsidRDefault="00912915" w:rsidP="00912915">
      <w:pPr>
        <w:pStyle w:val="Odstavekseznama"/>
        <w:numPr>
          <w:ilvl w:val="0"/>
          <w:numId w:val="30"/>
        </w:numPr>
      </w:pPr>
      <w:r>
        <w:t>Strožji ukrepi za zmanjšanje emisij: poudarek na preprečevanju onesnaževanja in varovanju zdravja ljudi v okolici industrijskih obratov.</w:t>
      </w:r>
    </w:p>
    <w:p w14:paraId="7C8A34F5" w14:textId="77777777" w:rsidR="00912915" w:rsidRDefault="00912915" w:rsidP="00912915">
      <w:r>
        <w:t xml:space="preserve"> </w:t>
      </w:r>
    </w:p>
    <w:p w14:paraId="5D1E8CD2" w14:textId="77777777" w:rsidR="00912915" w:rsidRPr="00912915" w:rsidRDefault="00912915" w:rsidP="00912915">
      <w:pPr>
        <w:rPr>
          <w:u w:val="single"/>
        </w:rPr>
      </w:pPr>
      <w:r w:rsidRPr="00912915">
        <w:rPr>
          <w:u w:val="single"/>
        </w:rPr>
        <w:t xml:space="preserve">Pravilnik o prvih meritvah in obratovalnem </w:t>
      </w:r>
      <w:proofErr w:type="gramStart"/>
      <w:r w:rsidRPr="00912915">
        <w:rPr>
          <w:u w:val="single"/>
        </w:rPr>
        <w:t>monitoringu</w:t>
      </w:r>
      <w:proofErr w:type="gramEnd"/>
      <w:r w:rsidRPr="00912915">
        <w:rPr>
          <w:u w:val="single"/>
        </w:rPr>
        <w:t xml:space="preserve"> </w:t>
      </w:r>
    </w:p>
    <w:p w14:paraId="780D2AD4" w14:textId="77777777" w:rsidR="00912915" w:rsidRDefault="00912915" w:rsidP="00912915"/>
    <w:p w14:paraId="2C30FF5A" w14:textId="77777777" w:rsidR="00912915" w:rsidRDefault="00912915" w:rsidP="00912915">
      <w:r>
        <w:t xml:space="preserve">Poleg sprejetih dveh uredb na seji vlade je minister za okolje, podnebje in energijo Bojan Kumer sprejel prenovljen pravilnik o prvih meritvah in obratovalnem </w:t>
      </w:r>
      <w:proofErr w:type="gramStart"/>
      <w:r>
        <w:t>monitoringu</w:t>
      </w:r>
      <w:proofErr w:type="gramEnd"/>
      <w:r>
        <w:t xml:space="preserve"> emisije snovi v zrak iz </w:t>
      </w:r>
      <w:r>
        <w:lastRenderedPageBreak/>
        <w:t xml:space="preserve">nepremičnih virov onesnaževanja ter o pogojih za njegovo izvajanje. S pravilnikom se zaostruje obveznost poročanja ter </w:t>
      </w:r>
      <w:proofErr w:type="gramStart"/>
      <w:r>
        <w:t>transparentnosti</w:t>
      </w:r>
      <w:proofErr w:type="gramEnd"/>
      <w:r>
        <w:t xml:space="preserve"> pri meritvah emisij v zrak. </w:t>
      </w:r>
    </w:p>
    <w:p w14:paraId="6EC0EEBE" w14:textId="77777777" w:rsidR="00912915" w:rsidRDefault="00912915" w:rsidP="00912915"/>
    <w:p w14:paraId="464CEB66" w14:textId="7A93E110" w:rsidR="00912915" w:rsidRDefault="00912915" w:rsidP="00912915">
      <w:r>
        <w:t xml:space="preserve">Glavna novost je, da uveljavljamo telemetrično sporočanje podatkov o trajnih meritvah v dejanskem času, ki jih mora zagotoviti upravljavec naprave. </w:t>
      </w:r>
      <w:proofErr w:type="gramStart"/>
      <w:r>
        <w:t>Uvaja</w:t>
      </w:r>
      <w:proofErr w:type="gramEnd"/>
      <w:r>
        <w:t xml:space="preserve"> se tudi napredne tehnične zahteve za opremo in izvajalce, s čimer se izboljšuje nadzor nad onesnaževanjem in varuje okolje.</w:t>
      </w:r>
    </w:p>
    <w:p w14:paraId="75E00A85" w14:textId="75F992F2" w:rsidR="00857A30" w:rsidRDefault="007E6BA8" w:rsidP="00346113">
      <w:pPr>
        <w:pStyle w:val="Vir"/>
      </w:pPr>
      <w:r>
        <w:t>Vir: Ministrstvo za okolje, podnebje in energijo</w:t>
      </w:r>
    </w:p>
    <w:p w14:paraId="401790A2" w14:textId="6D7DE78B" w:rsidR="00857A30" w:rsidRDefault="00CA52D7" w:rsidP="00CA52D7">
      <w:pPr>
        <w:pStyle w:val="Naslov2"/>
      </w:pPr>
      <w:r>
        <w:t xml:space="preserve">Vlada sprejela novelo </w:t>
      </w:r>
      <w:r w:rsidR="00857A30">
        <w:t>Uredbe o standardni klasifikaciji dejavnosti</w:t>
      </w:r>
    </w:p>
    <w:p w14:paraId="58D4A07D" w14:textId="77777777" w:rsidR="00CA52D7" w:rsidRDefault="00CA52D7" w:rsidP="00CA52D7">
      <w:r>
        <w:t xml:space="preserve">Vlada Republike Slovenije je izdala Uredbo o spremembah Uredbe o standardni klasifikaciji dejavnosti in jo objavi v Uradnem listu Republike Slovenije. </w:t>
      </w:r>
    </w:p>
    <w:p w14:paraId="701DCA4D" w14:textId="77777777" w:rsidR="00CA52D7" w:rsidRDefault="00CA52D7" w:rsidP="00CA52D7"/>
    <w:p w14:paraId="41E6E595" w14:textId="6BE1A202" w:rsidR="00CA52D7" w:rsidRDefault="00CA52D7" w:rsidP="00CA52D7">
      <w:r>
        <w:t>Standardna klasifikacija dejavnosti (SKD) je obvezni nacionalni standard za evidentiranje, zbiranje, obdelovanje, analiziranje, posredovanje in izkazovanje podatkov, pomembnih za spremljanje stanj in gibanj na ekonomskem in socialnem področju ter na področju okolja in naravnih virov. Uporablja se za določanje dejavnosti ter razvrščanje poslovnih subjektov in njihovih delov (Poslovni register Slovenije), za potrebe različnih uradnih in drugih administrativnih podatkovnih zbirk ter za potrebe statistike in analitike v državi in na mednarodni ravni.</w:t>
      </w:r>
    </w:p>
    <w:p w14:paraId="52025779" w14:textId="77777777" w:rsidR="00CA52D7" w:rsidRDefault="00CA52D7" w:rsidP="00CA52D7"/>
    <w:p w14:paraId="633C6E69" w14:textId="13A9A05F" w:rsidR="00CA52D7" w:rsidRDefault="00CA52D7" w:rsidP="00CA52D7">
      <w:r>
        <w:t>Dne 23. januarja 2025 je bil v Uradnem listu Evropske unije (</w:t>
      </w:r>
      <w:hyperlink r:id="rId13" w:history="1">
        <w:r w:rsidRPr="00764ED1">
          <w:rPr>
            <w:rStyle w:val="Hiperpovezava"/>
          </w:rPr>
          <w:t>https://eur-lex.europa.eu/legal-content/SL/TXT/HTML/?uri=OJ:L_202590055</w:t>
        </w:r>
      </w:hyperlink>
      <w:r>
        <w:t>) za</w:t>
      </w:r>
      <w:r w:rsidRPr="00CA52D7">
        <w:t xml:space="preserve"> </w:t>
      </w:r>
      <w:r>
        <w:t xml:space="preserve">slovensko jezikovno različico objavljen Popravek Delegirane uredbe Komisije (EU) 2023/137 z dne 10. oktobra 2022 o spremembi Uredbe (ES) št. 1893/2006 Evropskega parlamenta in Sveta o uvedbi statistične klasifikacije gospodarskih dejavnosti NACE Revizija 2. Natančneje, do popravka je prišlo v Prilogi v četrtem stolpcu preglednice pri skupini 16.1 in razredu </w:t>
      </w:r>
      <w:proofErr w:type="gramStart"/>
      <w:r>
        <w:t>16.11</w:t>
      </w:r>
      <w:proofErr w:type="gramEnd"/>
      <w:r>
        <w:t>.</w:t>
      </w:r>
    </w:p>
    <w:p w14:paraId="2064962D" w14:textId="77777777" w:rsidR="00CA52D7" w:rsidRDefault="00CA52D7" w:rsidP="00CA52D7"/>
    <w:p w14:paraId="4DE202A1" w14:textId="77777777" w:rsidR="00CA52D7" w:rsidRDefault="00CA52D7" w:rsidP="00CA52D7">
      <w:r>
        <w:t>Pri skupini 16.1 se slovensko besedilo »Žaganje, skobljanje in impregniranje lesa; predelava in dodelava lesa« v četrtem stolpcu po popravku glasi »Žaganje in skobljanje lesa; predelava in dodelava lesa«. Pri razredu 16.11 se slovensko besedilo »Žaganje, skobljanje in impregniranje lesa« v četrtem stolpcu po popravku glasi »Žaganje in skobljanje lesa«.</w:t>
      </w:r>
    </w:p>
    <w:p w14:paraId="728BC2DC" w14:textId="77777777" w:rsidR="00CA52D7" w:rsidRDefault="00CA52D7" w:rsidP="00CA52D7"/>
    <w:p w14:paraId="76BF7318" w14:textId="77777777" w:rsidR="00CA52D7" w:rsidRDefault="00CA52D7" w:rsidP="00CA52D7">
      <w:r>
        <w:t>Statistični urad Republike Slovenije je skladno z omenjenim Popravkom Delegirane uredbe Komisije (EU) 2023/137 pripravil novo Prilogo, ki je sestavni del Uredbe o standardni klasifikaciji dejavnosti.</w:t>
      </w:r>
    </w:p>
    <w:p w14:paraId="6F267011" w14:textId="0AAACBF1" w:rsidR="00CA52D7" w:rsidRDefault="00CA52D7" w:rsidP="00CA52D7">
      <w:pPr>
        <w:pStyle w:val="Vir"/>
      </w:pPr>
      <w:r w:rsidRPr="00CA52D7">
        <w:t xml:space="preserve">Vir: </w:t>
      </w:r>
      <w:proofErr w:type="gramStart"/>
      <w:r w:rsidRPr="00CA52D7">
        <w:t>Statistični Urad Republike Slovenije</w:t>
      </w:r>
      <w:proofErr w:type="gramEnd"/>
    </w:p>
    <w:p w14:paraId="04757786" w14:textId="70E6AB37" w:rsidR="007D34C8" w:rsidRDefault="007D34C8" w:rsidP="007D34C8">
      <w:pPr>
        <w:pStyle w:val="Naslov2"/>
      </w:pPr>
      <w:r>
        <w:t>Začasni ponovni nadzor na notranjih mejah z odlokom podaljšan do 21. decembra 2025</w:t>
      </w:r>
    </w:p>
    <w:p w14:paraId="54F1F083" w14:textId="77777777" w:rsidR="007D34C8" w:rsidRDefault="007D34C8" w:rsidP="007D34C8">
      <w:r>
        <w:t xml:space="preserve">Vlada Republike Slovenije je izdala Odlok o spremembi Odloka o uvedbi začasnega ponovnega nadzora na notranjih mejah Republike Slovenije z Republiko Hrvaško in Madžarsko in ga objavi v Uradnem listu Republike Slovenije. </w:t>
      </w:r>
    </w:p>
    <w:p w14:paraId="60A4C727" w14:textId="77777777" w:rsidR="007D34C8" w:rsidRDefault="007D34C8" w:rsidP="007D34C8"/>
    <w:p w14:paraId="2C78FCC9" w14:textId="77777777" w:rsidR="007D34C8" w:rsidRDefault="007D34C8" w:rsidP="007D34C8">
      <w:r>
        <w:t>Začasni ponovni nadzor na notranjih mejah traja do 21. decembra 2025.</w:t>
      </w:r>
    </w:p>
    <w:p w14:paraId="388667CA" w14:textId="77777777" w:rsidR="007D34C8" w:rsidRDefault="007D34C8" w:rsidP="007D34C8"/>
    <w:p w14:paraId="17486FC6" w14:textId="77777777" w:rsidR="007D34C8" w:rsidRDefault="007D34C8" w:rsidP="007D34C8">
      <w:r>
        <w:t>Na mejnih prehodih bodo policisti izvajali ciljno usmerjeno mejno kontrolo. Ob upoštevanju načela sorazmernosti bodo mejno kontrolo na mejnih prehodih izvajali tako, da ne bo negativno vplivala na življenje prebivalstva ob meji, pretok potnikov, gospodarsko sodelovanje in okolje.</w:t>
      </w:r>
    </w:p>
    <w:p w14:paraId="234517B7" w14:textId="50F4CC08" w:rsidR="00857A30" w:rsidRDefault="007D34C8" w:rsidP="007D34C8">
      <w:pPr>
        <w:pStyle w:val="Vir"/>
      </w:pPr>
      <w:r>
        <w:t>Vir: Ministrstvo za notranje zadeve</w:t>
      </w:r>
    </w:p>
    <w:p w14:paraId="5BC348B0" w14:textId="76920BF3" w:rsidR="00346113" w:rsidRDefault="00346113" w:rsidP="00346113">
      <w:pPr>
        <w:pStyle w:val="Naslov2"/>
      </w:pPr>
      <w:r>
        <w:lastRenderedPageBreak/>
        <w:t>Odlok o določitvi degradiranega okolja in programa ukrepov za izboljšanje kakovosti okolja na območju Mestne občine Celje</w:t>
      </w:r>
    </w:p>
    <w:p w14:paraId="3AD1E72C" w14:textId="77777777" w:rsidR="00346113" w:rsidRDefault="00346113" w:rsidP="00346113">
      <w:r>
        <w:t>Vlada je izdala Odlok o določitvi degradiranega okolja in programa ukrepov za izboljšanje kakovosti okolja na območju Mestne občine Celje.</w:t>
      </w:r>
    </w:p>
    <w:p w14:paraId="219E6285" w14:textId="77777777" w:rsidR="00346113" w:rsidRDefault="00346113" w:rsidP="00346113"/>
    <w:p w14:paraId="5436527F" w14:textId="77777777" w:rsidR="00346113" w:rsidRDefault="00346113" w:rsidP="00346113">
      <w:r>
        <w:t xml:space="preserve">Ministrstvo za okolje, podnebje in energijo je naredilo pomemben korak pri odpravljanju dolgo znanih, a prezrtih </w:t>
      </w:r>
      <w:proofErr w:type="gramStart"/>
      <w:r>
        <w:t>okoljskih</w:t>
      </w:r>
      <w:proofErr w:type="gramEnd"/>
      <w:r>
        <w:t xml:space="preserve"> bremen. Pripravljen je Odlok o določitvi degradiranega okolja in programa ukrepov za izboljšanje kakovosti okolja na območju Mestne občine Celje, ki predstavlja prvi sistemski pristop k sanaciji širšega območja Celja. Čeprav so </w:t>
      </w:r>
      <w:proofErr w:type="gramStart"/>
      <w:r>
        <w:t>problemi</w:t>
      </w:r>
      <w:proofErr w:type="gramEnd"/>
      <w:r>
        <w:t xml:space="preserve"> onesnaženosti tal in drugih delov okolja strokovno dokumentirani že desetletja, tokrat prvič pristopamo celovito in sistemsko.</w:t>
      </w:r>
    </w:p>
    <w:p w14:paraId="4307A53B" w14:textId="77777777" w:rsidR="00346113" w:rsidRDefault="00346113" w:rsidP="00346113"/>
    <w:p w14:paraId="175AB322" w14:textId="77777777" w:rsidR="00346113" w:rsidRDefault="00346113" w:rsidP="00346113">
      <w:r>
        <w:t xml:space="preserve">Odlok nadgrajuje lani sprejeti odlok za območje stare Cinkarne in razširja obravnavo na širše urbano in obmestno območje, kjer se gibljejo in zadržujejo otroci in kjer so bila zaznana tveganja zaradi prisotnosti težkih kovin v tleh, onesnaženja voda in vplivov na zdravje zlasti otrok. </w:t>
      </w:r>
    </w:p>
    <w:p w14:paraId="0D96EC02" w14:textId="77777777" w:rsidR="00346113" w:rsidRDefault="00346113" w:rsidP="00346113"/>
    <w:p w14:paraId="71E8B53B" w14:textId="77777777" w:rsidR="00346113" w:rsidRDefault="00346113" w:rsidP="00346113">
      <w:r>
        <w:t>Ključni ukrepi 10-letnega programa (2025–2034) so:</w:t>
      </w:r>
    </w:p>
    <w:p w14:paraId="077D9498" w14:textId="26C1B346" w:rsidR="00346113" w:rsidRDefault="00346113" w:rsidP="00346113">
      <w:pPr>
        <w:pStyle w:val="Odstavekseznama"/>
        <w:numPr>
          <w:ilvl w:val="0"/>
          <w:numId w:val="15"/>
        </w:numPr>
      </w:pPr>
      <w:r>
        <w:t>sanacija tal na nekaterih igriščih, zatravitev in omejevanje prašenja,</w:t>
      </w:r>
    </w:p>
    <w:p w14:paraId="77BA3DF1" w14:textId="2042125E" w:rsidR="00346113" w:rsidRDefault="00346113" w:rsidP="00346113">
      <w:pPr>
        <w:pStyle w:val="Odstavekseznama"/>
        <w:numPr>
          <w:ilvl w:val="0"/>
          <w:numId w:val="15"/>
        </w:numPr>
      </w:pPr>
      <w:r>
        <w:t>ureditev območij za varno vrtnarjenje,</w:t>
      </w:r>
    </w:p>
    <w:p w14:paraId="3EE745A1" w14:textId="1197B71E" w:rsidR="00346113" w:rsidRDefault="00346113" w:rsidP="00346113">
      <w:pPr>
        <w:pStyle w:val="Odstavekseznama"/>
        <w:numPr>
          <w:ilvl w:val="0"/>
          <w:numId w:val="15"/>
        </w:numPr>
      </w:pPr>
      <w:proofErr w:type="gramStart"/>
      <w:r>
        <w:t>monitoring</w:t>
      </w:r>
      <w:proofErr w:type="gramEnd"/>
      <w:r>
        <w:t xml:space="preserve"> tal, zraka in voda ter spremljanje učinkov ukrepov,</w:t>
      </w:r>
    </w:p>
    <w:p w14:paraId="49670DBA" w14:textId="4534CB1B" w:rsidR="00346113" w:rsidRDefault="00346113" w:rsidP="00346113">
      <w:pPr>
        <w:pStyle w:val="Odstavekseznama"/>
        <w:numPr>
          <w:ilvl w:val="0"/>
          <w:numId w:val="15"/>
        </w:numPr>
      </w:pPr>
      <w:r>
        <w:t xml:space="preserve">ozaveščanje občanov o načinu zmanjšanja vnosa strupenih kovin v telo ter </w:t>
      </w:r>
      <w:proofErr w:type="gramStart"/>
      <w:r>
        <w:t xml:space="preserve">o  </w:t>
      </w:r>
      <w:proofErr w:type="gramEnd"/>
      <w:r>
        <w:t>varni prehrani,</w:t>
      </w:r>
    </w:p>
    <w:p w14:paraId="1186630D" w14:textId="47A9FFDF" w:rsidR="00346113" w:rsidRDefault="00346113" w:rsidP="00346113">
      <w:pPr>
        <w:pStyle w:val="Odstavekseznama"/>
        <w:numPr>
          <w:ilvl w:val="0"/>
          <w:numId w:val="15"/>
        </w:numPr>
      </w:pPr>
      <w:r>
        <w:t>ureditev lokacije za odlaganje onesnaženih zemljin v MOC.</w:t>
      </w:r>
    </w:p>
    <w:p w14:paraId="6B92B253" w14:textId="77777777" w:rsidR="00346113" w:rsidRDefault="00346113" w:rsidP="00346113"/>
    <w:p w14:paraId="75D01ABA" w14:textId="32566B90" w:rsidR="00346113" w:rsidRDefault="00346113" w:rsidP="00346113">
      <w:r>
        <w:t>Pomembno je poudariti, da odlok temelji na sodelovanju vseh deležnikov: države, lokalne skupnosti in zasebnega sektorja, ki tudi prevzema del odgovornosti za izboljšanje stanja okolja ter z izvajanjem posameznih ukrepov izpolnjuje zahteve iz okoljevarstvenega dovoljenja posameznega upravljavca z npr. uvedbami naprednih tehnologij in sistemov čiščenja, posodobitvijo proizvodnih procesov itd. (podjetja: Cinkarna Celje d. d., Toplarna Celje d. o. o., Pocinkovalnica Celje d. o. o., Simbio d. o. o., Celjske mesnine d. o. o.)</w:t>
      </w:r>
    </w:p>
    <w:p w14:paraId="4B9E4615" w14:textId="77777777" w:rsidR="00346113" w:rsidRDefault="00346113" w:rsidP="00346113"/>
    <w:p w14:paraId="11F37EDB" w14:textId="77777777" w:rsidR="00346113" w:rsidRDefault="00346113" w:rsidP="00346113">
      <w:r>
        <w:t>Ta korak predstavlja uresničevanje dolgo pričakovanih zavez: od besed k dejanjem, z jasnimi odgovornostmi, časovnico in ciljem. Z Odloki</w:t>
      </w:r>
      <w:proofErr w:type="gramStart"/>
      <w:r>
        <w:t xml:space="preserve"> kot</w:t>
      </w:r>
      <w:proofErr w:type="gramEnd"/>
      <w:r>
        <w:t xml:space="preserve"> so: Odlok o določitvi degradiranega okolja in programa ukrepov za izboljšanje kakovosti okolja na območju Mestne občine Celje, Odlok o določitvi degradiranega okolja in programa ukrepov za izboljšanje kakovosti okolja na območju vrtcev, šol in javnih igrišč v občinah Črna na Koroškem, Mežica, Prevalje, Ravne na Koroškem in Dravograd in  Odlok o določitvi degradiranega okolja in programa ukrepov za izboljšanje kakovosti okolja na območju Stare Cinkarne v Mestni občini Celje, se postavlja vzorčni model za reševanje okoljskih bremen v Sloveniji in jasno sporoča, da je skrb za zdravje ljudi in okolje prednostna naloga.</w:t>
      </w:r>
    </w:p>
    <w:p w14:paraId="45564843" w14:textId="77777777" w:rsidR="00346113" w:rsidRDefault="00346113" w:rsidP="00346113">
      <w:pPr>
        <w:pStyle w:val="Vir"/>
      </w:pPr>
      <w:r>
        <w:t>Vir: Ministrstvo za okolje, podnebje in energijo</w:t>
      </w:r>
    </w:p>
    <w:p w14:paraId="3BFC6852" w14:textId="78E30D40" w:rsidR="00346113" w:rsidRPr="006475E0" w:rsidRDefault="00346113" w:rsidP="00346113">
      <w:pPr>
        <w:pStyle w:val="Naslov2"/>
        <w:rPr>
          <w:iCs/>
        </w:rPr>
      </w:pPr>
      <w:r w:rsidRPr="006475E0">
        <w:rPr>
          <w:lang w:eastAsia="sl-SI"/>
        </w:rPr>
        <w:t>Sklep o določitvi deležev odpadne embalaže za julij, avgust in september 2025</w:t>
      </w:r>
    </w:p>
    <w:p w14:paraId="3640AA40" w14:textId="77777777" w:rsidR="00346113" w:rsidRPr="006475E0" w:rsidRDefault="00346113" w:rsidP="00346113">
      <w:pPr>
        <w:rPr>
          <w:lang w:eastAsia="sl-SI"/>
        </w:rPr>
      </w:pPr>
      <w:bookmarkStart w:id="0" w:name="_Hlk88465377"/>
      <w:r w:rsidRPr="00C03114">
        <w:rPr>
          <w:lang w:eastAsia="sl-SI"/>
        </w:rPr>
        <w:t xml:space="preserve">Vlada je sprejela Sklep o določitvi deležev odpadne embalaže za </w:t>
      </w:r>
      <w:r>
        <w:rPr>
          <w:lang w:eastAsia="sl-SI"/>
        </w:rPr>
        <w:t xml:space="preserve">julij, avgust in september </w:t>
      </w:r>
      <w:r w:rsidRPr="00C03114">
        <w:rPr>
          <w:lang w:eastAsia="sl-SI"/>
        </w:rPr>
        <w:t xml:space="preserve">2025, </w:t>
      </w:r>
      <w:bookmarkEnd w:id="0"/>
    </w:p>
    <w:p w14:paraId="69D02C7E" w14:textId="77777777" w:rsidR="00346113" w:rsidRDefault="00346113" w:rsidP="00346113">
      <w:r w:rsidRPr="00693761">
        <w:t>Skladno s petim odstavkom 30. člena Uredbe o embalaži in odpadni embalaži Vlada štirikrat letno določi deleže odpadne embalaže za posamezna podjetja, ki imajo dovoljenje za ravnanje z odpadno embalažo. Ta deleži temeljijo na masi embalaže, ki so jo proizvajalci dali na trg v Sloveniji v predhodnem obdobju.</w:t>
      </w:r>
    </w:p>
    <w:p w14:paraId="7247D668" w14:textId="77777777" w:rsidR="00346113" w:rsidRPr="00C03114" w:rsidRDefault="00346113" w:rsidP="00346113">
      <w:pPr>
        <w:pStyle w:val="Neotevilenodstavek"/>
        <w:spacing w:line="260" w:lineRule="exact"/>
        <w:rPr>
          <w:iCs/>
          <w:sz w:val="20"/>
          <w:szCs w:val="20"/>
        </w:rPr>
      </w:pPr>
      <w:r w:rsidRPr="00C03114">
        <w:rPr>
          <w:iCs/>
          <w:sz w:val="20"/>
          <w:szCs w:val="20"/>
        </w:rPr>
        <w:t xml:space="preserve">Deleži odpadne embalaže za </w:t>
      </w:r>
      <w:r>
        <w:rPr>
          <w:iCs/>
          <w:sz w:val="20"/>
          <w:szCs w:val="20"/>
        </w:rPr>
        <w:t xml:space="preserve">julij, avgust in september </w:t>
      </w:r>
      <w:r w:rsidRPr="00C03114">
        <w:rPr>
          <w:iCs/>
          <w:sz w:val="20"/>
          <w:szCs w:val="20"/>
        </w:rPr>
        <w:t>2025 so:</w:t>
      </w:r>
    </w:p>
    <w:p w14:paraId="48F93E8E" w14:textId="77777777" w:rsidR="00346113" w:rsidRPr="00C03114" w:rsidRDefault="00346113" w:rsidP="00346113">
      <w:pPr>
        <w:pStyle w:val="Neotevilenodstavek"/>
        <w:numPr>
          <w:ilvl w:val="0"/>
          <w:numId w:val="16"/>
        </w:numPr>
        <w:spacing w:before="240" w:line="260" w:lineRule="exact"/>
        <w:ind w:left="425" w:hanging="425"/>
        <w:rPr>
          <w:iCs/>
          <w:sz w:val="20"/>
          <w:szCs w:val="20"/>
        </w:rPr>
      </w:pPr>
      <w:r w:rsidRPr="00C03114">
        <w:rPr>
          <w:iCs/>
          <w:sz w:val="20"/>
          <w:szCs w:val="20"/>
        </w:rPr>
        <w:t>za odpadno embalažo iz embalažnega materiala PAPIR:</w:t>
      </w:r>
    </w:p>
    <w:p w14:paraId="1CE1A149"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Dinos, d. o. o.</w:t>
      </w:r>
      <w:r w:rsidRPr="00C03114">
        <w:rPr>
          <w:iCs/>
          <w:sz w:val="20"/>
          <w:szCs w:val="20"/>
        </w:rPr>
        <w:tab/>
      </w:r>
      <w:r>
        <w:rPr>
          <w:iCs/>
          <w:sz w:val="20"/>
          <w:szCs w:val="20"/>
        </w:rPr>
        <w:t>17,64</w:t>
      </w:r>
      <w:r w:rsidRPr="00C03114">
        <w:rPr>
          <w:iCs/>
          <w:sz w:val="20"/>
          <w:szCs w:val="20"/>
        </w:rPr>
        <w:t> %,</w:t>
      </w:r>
    </w:p>
    <w:p w14:paraId="16F51CE1"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lastRenderedPageBreak/>
        <w:t>za družbo Embakom, d. o. o.</w:t>
      </w:r>
      <w:r w:rsidRPr="00C03114">
        <w:rPr>
          <w:iCs/>
          <w:sz w:val="20"/>
          <w:szCs w:val="20"/>
        </w:rPr>
        <w:tab/>
      </w:r>
      <w:r>
        <w:rPr>
          <w:iCs/>
          <w:sz w:val="20"/>
          <w:szCs w:val="20"/>
        </w:rPr>
        <w:t>6,13</w:t>
      </w:r>
      <w:r w:rsidRPr="00C03114">
        <w:rPr>
          <w:iCs/>
          <w:sz w:val="20"/>
          <w:szCs w:val="20"/>
        </w:rPr>
        <w:t> %,</w:t>
      </w:r>
    </w:p>
    <w:p w14:paraId="54618F6C"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Surovina, d. o. o.</w:t>
      </w:r>
      <w:r w:rsidRPr="00C03114">
        <w:rPr>
          <w:iCs/>
          <w:sz w:val="20"/>
          <w:szCs w:val="20"/>
        </w:rPr>
        <w:tab/>
      </w:r>
      <w:r>
        <w:rPr>
          <w:iCs/>
          <w:sz w:val="20"/>
          <w:szCs w:val="20"/>
        </w:rPr>
        <w:t>19,88</w:t>
      </w:r>
      <w:r w:rsidRPr="00C03114">
        <w:rPr>
          <w:sz w:val="20"/>
          <w:szCs w:val="20"/>
        </w:rPr>
        <w:t> </w:t>
      </w:r>
      <w:r w:rsidRPr="00C03114">
        <w:rPr>
          <w:iCs/>
          <w:sz w:val="20"/>
          <w:szCs w:val="20"/>
        </w:rPr>
        <w:t>%,</w:t>
      </w:r>
    </w:p>
    <w:p w14:paraId="3DC7F81A"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Interzero, d. o. o.</w:t>
      </w:r>
      <w:r w:rsidRPr="00C03114">
        <w:rPr>
          <w:iCs/>
          <w:sz w:val="20"/>
          <w:szCs w:val="20"/>
        </w:rPr>
        <w:tab/>
      </w:r>
      <w:r>
        <w:rPr>
          <w:iCs/>
          <w:sz w:val="20"/>
          <w:szCs w:val="20"/>
        </w:rPr>
        <w:t>11,95</w:t>
      </w:r>
      <w:r w:rsidRPr="00C03114">
        <w:rPr>
          <w:sz w:val="20"/>
          <w:szCs w:val="20"/>
        </w:rPr>
        <w:t> </w:t>
      </w:r>
      <w:r w:rsidRPr="00C03114">
        <w:rPr>
          <w:iCs/>
          <w:sz w:val="20"/>
          <w:szCs w:val="20"/>
        </w:rPr>
        <w:t>%,</w:t>
      </w:r>
    </w:p>
    <w:p w14:paraId="3B85DD6E"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Recikel, d. o. o.</w:t>
      </w:r>
      <w:r w:rsidRPr="00C03114">
        <w:rPr>
          <w:iCs/>
          <w:sz w:val="20"/>
          <w:szCs w:val="20"/>
        </w:rPr>
        <w:tab/>
      </w:r>
      <w:r>
        <w:rPr>
          <w:iCs/>
          <w:sz w:val="20"/>
          <w:szCs w:val="20"/>
        </w:rPr>
        <w:t>24,30</w:t>
      </w:r>
      <w:r w:rsidRPr="00C03114">
        <w:rPr>
          <w:iCs/>
          <w:sz w:val="20"/>
          <w:szCs w:val="20"/>
        </w:rPr>
        <w:t> %,</w:t>
      </w:r>
    </w:p>
    <w:p w14:paraId="198C9297"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Slopak, d. o. o.</w:t>
      </w:r>
      <w:r w:rsidRPr="00C03114">
        <w:rPr>
          <w:iCs/>
          <w:sz w:val="20"/>
          <w:szCs w:val="20"/>
        </w:rPr>
        <w:tab/>
      </w:r>
      <w:r>
        <w:rPr>
          <w:iCs/>
          <w:sz w:val="20"/>
          <w:szCs w:val="20"/>
        </w:rPr>
        <w:t>20,10</w:t>
      </w:r>
      <w:r w:rsidRPr="00C03114">
        <w:rPr>
          <w:szCs w:val="24"/>
        </w:rPr>
        <w:t> </w:t>
      </w:r>
      <w:r w:rsidRPr="00C03114">
        <w:rPr>
          <w:iCs/>
          <w:sz w:val="20"/>
          <w:szCs w:val="20"/>
        </w:rPr>
        <w:t>%,</w:t>
      </w:r>
    </w:p>
    <w:p w14:paraId="40E0653A"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Tisa, d. o. o.</w:t>
      </w:r>
      <w:r w:rsidRPr="00C03114">
        <w:rPr>
          <w:iCs/>
          <w:sz w:val="20"/>
          <w:szCs w:val="20"/>
        </w:rPr>
        <w:tab/>
        <w:t>0,00</w:t>
      </w:r>
      <w:r w:rsidRPr="00C03114">
        <w:rPr>
          <w:szCs w:val="24"/>
        </w:rPr>
        <w:t> </w:t>
      </w:r>
      <w:r w:rsidRPr="00C03114">
        <w:rPr>
          <w:iCs/>
          <w:sz w:val="20"/>
          <w:szCs w:val="20"/>
        </w:rPr>
        <w:t>%;</w:t>
      </w:r>
    </w:p>
    <w:p w14:paraId="7B9828A6" w14:textId="77777777" w:rsidR="00346113" w:rsidRPr="00C03114" w:rsidRDefault="00346113" w:rsidP="00346113">
      <w:pPr>
        <w:pStyle w:val="Neotevilenodstavek"/>
        <w:numPr>
          <w:ilvl w:val="0"/>
          <w:numId w:val="16"/>
        </w:numPr>
        <w:spacing w:before="240" w:line="260" w:lineRule="exact"/>
        <w:ind w:left="425" w:hanging="425"/>
        <w:rPr>
          <w:iCs/>
          <w:sz w:val="20"/>
          <w:szCs w:val="20"/>
        </w:rPr>
      </w:pPr>
      <w:r w:rsidRPr="00C03114">
        <w:rPr>
          <w:iCs/>
          <w:sz w:val="20"/>
          <w:szCs w:val="20"/>
        </w:rPr>
        <w:t>za odpadno embalažo iz embalažnega materiala STEKLO:</w:t>
      </w:r>
    </w:p>
    <w:p w14:paraId="175C6C8E"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Dinos, d. o. o.</w:t>
      </w:r>
      <w:r w:rsidRPr="00C03114">
        <w:rPr>
          <w:iCs/>
          <w:sz w:val="20"/>
          <w:szCs w:val="20"/>
        </w:rPr>
        <w:tab/>
      </w:r>
      <w:r>
        <w:rPr>
          <w:iCs/>
          <w:sz w:val="20"/>
          <w:szCs w:val="20"/>
        </w:rPr>
        <w:t>6,53</w:t>
      </w:r>
      <w:r w:rsidRPr="00C03114">
        <w:rPr>
          <w:sz w:val="20"/>
          <w:szCs w:val="20"/>
        </w:rPr>
        <w:t> </w:t>
      </w:r>
      <w:r w:rsidRPr="00C03114">
        <w:rPr>
          <w:iCs/>
          <w:sz w:val="20"/>
          <w:szCs w:val="20"/>
        </w:rPr>
        <w:t>%,</w:t>
      </w:r>
    </w:p>
    <w:p w14:paraId="4FBD4DFD"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Embakom, d. o. o.</w:t>
      </w:r>
      <w:r w:rsidRPr="00C03114">
        <w:rPr>
          <w:iCs/>
          <w:sz w:val="20"/>
          <w:szCs w:val="20"/>
        </w:rPr>
        <w:tab/>
      </w:r>
      <w:r>
        <w:rPr>
          <w:iCs/>
          <w:sz w:val="20"/>
          <w:szCs w:val="20"/>
        </w:rPr>
        <w:t>3,78</w:t>
      </w:r>
      <w:r w:rsidRPr="00C03114">
        <w:rPr>
          <w:sz w:val="20"/>
          <w:szCs w:val="20"/>
        </w:rPr>
        <w:t> </w:t>
      </w:r>
      <w:r w:rsidRPr="00C03114">
        <w:rPr>
          <w:iCs/>
          <w:sz w:val="20"/>
          <w:szCs w:val="20"/>
        </w:rPr>
        <w:t>%,</w:t>
      </w:r>
    </w:p>
    <w:p w14:paraId="2C65CAEA"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Surovina, d. o. o.</w:t>
      </w:r>
      <w:r w:rsidRPr="00C03114">
        <w:rPr>
          <w:iCs/>
          <w:sz w:val="20"/>
          <w:szCs w:val="20"/>
        </w:rPr>
        <w:tab/>
      </w:r>
      <w:r>
        <w:rPr>
          <w:iCs/>
          <w:sz w:val="20"/>
          <w:szCs w:val="20"/>
        </w:rPr>
        <w:t>17,16</w:t>
      </w:r>
      <w:r w:rsidRPr="00C03114">
        <w:rPr>
          <w:sz w:val="20"/>
          <w:szCs w:val="20"/>
        </w:rPr>
        <w:t> </w:t>
      </w:r>
      <w:r w:rsidRPr="00C03114">
        <w:rPr>
          <w:iCs/>
          <w:sz w:val="20"/>
          <w:szCs w:val="20"/>
        </w:rPr>
        <w:t>%,</w:t>
      </w:r>
    </w:p>
    <w:p w14:paraId="58262AFA"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Interzero, d. o. o.</w:t>
      </w:r>
      <w:r w:rsidRPr="00C03114">
        <w:rPr>
          <w:iCs/>
          <w:sz w:val="20"/>
          <w:szCs w:val="20"/>
        </w:rPr>
        <w:tab/>
      </w:r>
      <w:r>
        <w:rPr>
          <w:iCs/>
          <w:sz w:val="20"/>
          <w:szCs w:val="20"/>
        </w:rPr>
        <w:t>5,17</w:t>
      </w:r>
      <w:r w:rsidRPr="00C03114">
        <w:rPr>
          <w:sz w:val="20"/>
          <w:szCs w:val="20"/>
        </w:rPr>
        <w:t> </w:t>
      </w:r>
      <w:r w:rsidRPr="00C03114">
        <w:rPr>
          <w:iCs/>
          <w:sz w:val="20"/>
          <w:szCs w:val="20"/>
        </w:rPr>
        <w:t>%,</w:t>
      </w:r>
    </w:p>
    <w:p w14:paraId="4B4BACF5"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Recikel, d. o. o.</w:t>
      </w:r>
      <w:r w:rsidRPr="00C03114">
        <w:rPr>
          <w:iCs/>
          <w:sz w:val="20"/>
          <w:szCs w:val="20"/>
        </w:rPr>
        <w:tab/>
      </w:r>
      <w:r>
        <w:rPr>
          <w:iCs/>
          <w:sz w:val="20"/>
          <w:szCs w:val="20"/>
        </w:rPr>
        <w:t>40,23</w:t>
      </w:r>
      <w:r w:rsidRPr="00C03114">
        <w:rPr>
          <w:sz w:val="20"/>
          <w:szCs w:val="20"/>
        </w:rPr>
        <w:t> </w:t>
      </w:r>
      <w:r w:rsidRPr="00C03114">
        <w:rPr>
          <w:iCs/>
          <w:sz w:val="20"/>
          <w:szCs w:val="20"/>
        </w:rPr>
        <w:t>%,</w:t>
      </w:r>
    </w:p>
    <w:p w14:paraId="313721AD"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Slopak, d. o. o.</w:t>
      </w:r>
      <w:r w:rsidRPr="00C03114">
        <w:rPr>
          <w:iCs/>
          <w:sz w:val="20"/>
          <w:szCs w:val="20"/>
        </w:rPr>
        <w:tab/>
      </w:r>
      <w:r>
        <w:rPr>
          <w:iCs/>
          <w:sz w:val="20"/>
          <w:szCs w:val="20"/>
        </w:rPr>
        <w:t>27,13</w:t>
      </w:r>
      <w:r w:rsidRPr="00C03114">
        <w:rPr>
          <w:sz w:val="20"/>
          <w:szCs w:val="20"/>
        </w:rPr>
        <w:t> </w:t>
      </w:r>
      <w:r w:rsidRPr="00C03114">
        <w:rPr>
          <w:iCs/>
          <w:sz w:val="20"/>
          <w:szCs w:val="20"/>
        </w:rPr>
        <w:t>%,</w:t>
      </w:r>
    </w:p>
    <w:p w14:paraId="2B13A831"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Tisa, d. o. o.</w:t>
      </w:r>
      <w:r w:rsidRPr="00C03114">
        <w:rPr>
          <w:iCs/>
          <w:sz w:val="20"/>
          <w:szCs w:val="20"/>
        </w:rPr>
        <w:tab/>
        <w:t>0,00</w:t>
      </w:r>
      <w:r w:rsidRPr="00C03114">
        <w:rPr>
          <w:szCs w:val="24"/>
        </w:rPr>
        <w:t> </w:t>
      </w:r>
      <w:r w:rsidRPr="00C03114">
        <w:rPr>
          <w:iCs/>
          <w:sz w:val="20"/>
          <w:szCs w:val="20"/>
        </w:rPr>
        <w:t>%;</w:t>
      </w:r>
    </w:p>
    <w:p w14:paraId="2C281813" w14:textId="77777777" w:rsidR="00346113" w:rsidRPr="00C03114" w:rsidRDefault="00346113" w:rsidP="00346113">
      <w:pPr>
        <w:pStyle w:val="Neotevilenodstavek"/>
        <w:numPr>
          <w:ilvl w:val="0"/>
          <w:numId w:val="16"/>
        </w:numPr>
        <w:spacing w:before="240" w:line="260" w:lineRule="exact"/>
        <w:ind w:left="425" w:hanging="425"/>
        <w:jc w:val="left"/>
        <w:rPr>
          <w:iCs/>
          <w:sz w:val="20"/>
          <w:szCs w:val="20"/>
        </w:rPr>
      </w:pPr>
      <w:r w:rsidRPr="00C03114">
        <w:rPr>
          <w:iCs/>
          <w:sz w:val="20"/>
          <w:szCs w:val="20"/>
        </w:rPr>
        <w:t>za odpadno embalažo iz embalažnih materialov PLASTIKA IN KOVINE</w:t>
      </w:r>
      <w:r w:rsidRPr="00C03114">
        <w:rPr>
          <w:iCs/>
          <w:sz w:val="20"/>
          <w:szCs w:val="20"/>
        </w:rPr>
        <w:br/>
        <w:t>(mešana embalaža):</w:t>
      </w:r>
    </w:p>
    <w:p w14:paraId="19305431"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Dinos, d. o. o.</w:t>
      </w:r>
      <w:r w:rsidRPr="00C03114">
        <w:rPr>
          <w:iCs/>
          <w:sz w:val="20"/>
          <w:szCs w:val="20"/>
        </w:rPr>
        <w:tab/>
      </w:r>
      <w:r>
        <w:rPr>
          <w:iCs/>
          <w:sz w:val="20"/>
          <w:szCs w:val="20"/>
        </w:rPr>
        <w:t>14,83</w:t>
      </w:r>
      <w:r w:rsidRPr="00C03114">
        <w:rPr>
          <w:sz w:val="20"/>
          <w:szCs w:val="20"/>
        </w:rPr>
        <w:t> </w:t>
      </w:r>
      <w:r w:rsidRPr="00C03114">
        <w:rPr>
          <w:iCs/>
          <w:sz w:val="20"/>
          <w:szCs w:val="20"/>
        </w:rPr>
        <w:t>%,</w:t>
      </w:r>
    </w:p>
    <w:p w14:paraId="6E1A939F"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Embakom, d. o. o.</w:t>
      </w:r>
      <w:r w:rsidRPr="00C03114">
        <w:rPr>
          <w:iCs/>
          <w:sz w:val="20"/>
          <w:szCs w:val="20"/>
        </w:rPr>
        <w:tab/>
      </w:r>
      <w:r>
        <w:rPr>
          <w:iCs/>
          <w:sz w:val="20"/>
          <w:szCs w:val="20"/>
        </w:rPr>
        <w:t>3,76</w:t>
      </w:r>
      <w:r w:rsidRPr="00C03114">
        <w:rPr>
          <w:sz w:val="20"/>
          <w:szCs w:val="20"/>
        </w:rPr>
        <w:t> </w:t>
      </w:r>
      <w:r w:rsidRPr="00C03114">
        <w:rPr>
          <w:iCs/>
          <w:sz w:val="20"/>
          <w:szCs w:val="20"/>
        </w:rPr>
        <w:t>%,</w:t>
      </w:r>
    </w:p>
    <w:p w14:paraId="0C9E20F8"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Surovina, d. o. o.</w:t>
      </w:r>
      <w:r w:rsidRPr="00C03114">
        <w:rPr>
          <w:iCs/>
          <w:sz w:val="20"/>
          <w:szCs w:val="20"/>
        </w:rPr>
        <w:tab/>
      </w:r>
      <w:r>
        <w:rPr>
          <w:iCs/>
          <w:sz w:val="20"/>
          <w:szCs w:val="20"/>
        </w:rPr>
        <w:t>19,85</w:t>
      </w:r>
      <w:r w:rsidRPr="00C03114">
        <w:rPr>
          <w:sz w:val="20"/>
          <w:szCs w:val="20"/>
        </w:rPr>
        <w:t> </w:t>
      </w:r>
      <w:r w:rsidRPr="00C03114">
        <w:rPr>
          <w:iCs/>
          <w:sz w:val="20"/>
          <w:szCs w:val="20"/>
        </w:rPr>
        <w:t>%,</w:t>
      </w:r>
    </w:p>
    <w:p w14:paraId="29637448"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Interzero, d. o. o.</w:t>
      </w:r>
      <w:r w:rsidRPr="00C03114">
        <w:rPr>
          <w:iCs/>
          <w:sz w:val="20"/>
          <w:szCs w:val="20"/>
        </w:rPr>
        <w:tab/>
      </w:r>
      <w:r>
        <w:rPr>
          <w:iCs/>
          <w:sz w:val="20"/>
          <w:szCs w:val="20"/>
        </w:rPr>
        <w:t>10,07</w:t>
      </w:r>
      <w:r w:rsidRPr="00C03114">
        <w:rPr>
          <w:sz w:val="20"/>
          <w:szCs w:val="20"/>
        </w:rPr>
        <w:t> </w:t>
      </w:r>
      <w:r w:rsidRPr="00C03114">
        <w:rPr>
          <w:iCs/>
          <w:sz w:val="20"/>
          <w:szCs w:val="20"/>
        </w:rPr>
        <w:t>%,</w:t>
      </w:r>
    </w:p>
    <w:p w14:paraId="6770ABBF"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Recikel, d. o. o.</w:t>
      </w:r>
      <w:r w:rsidRPr="00C03114">
        <w:rPr>
          <w:iCs/>
          <w:sz w:val="20"/>
          <w:szCs w:val="20"/>
        </w:rPr>
        <w:tab/>
      </w:r>
      <w:r>
        <w:rPr>
          <w:iCs/>
          <w:sz w:val="20"/>
          <w:szCs w:val="20"/>
        </w:rPr>
        <w:t>30,83</w:t>
      </w:r>
      <w:r w:rsidRPr="00C03114">
        <w:rPr>
          <w:sz w:val="20"/>
          <w:szCs w:val="20"/>
        </w:rPr>
        <w:t> </w:t>
      </w:r>
      <w:r w:rsidRPr="00C03114">
        <w:rPr>
          <w:iCs/>
          <w:sz w:val="20"/>
          <w:szCs w:val="20"/>
        </w:rPr>
        <w:t>%,</w:t>
      </w:r>
    </w:p>
    <w:p w14:paraId="6879A410"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Slopak, d. o. o.</w:t>
      </w:r>
      <w:r w:rsidRPr="00C03114">
        <w:rPr>
          <w:iCs/>
          <w:sz w:val="20"/>
          <w:szCs w:val="20"/>
        </w:rPr>
        <w:tab/>
      </w:r>
      <w:r>
        <w:rPr>
          <w:iCs/>
          <w:sz w:val="20"/>
          <w:szCs w:val="20"/>
        </w:rPr>
        <w:t>20,66</w:t>
      </w:r>
      <w:r w:rsidRPr="00C03114">
        <w:rPr>
          <w:sz w:val="20"/>
          <w:szCs w:val="20"/>
        </w:rPr>
        <w:t> </w:t>
      </w:r>
      <w:r w:rsidRPr="00C03114">
        <w:rPr>
          <w:iCs/>
          <w:sz w:val="20"/>
          <w:szCs w:val="20"/>
        </w:rPr>
        <w:t>%,</w:t>
      </w:r>
    </w:p>
    <w:p w14:paraId="1D97E650"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Tisa, d. o. o.</w:t>
      </w:r>
      <w:r w:rsidRPr="00C03114">
        <w:rPr>
          <w:iCs/>
          <w:sz w:val="20"/>
          <w:szCs w:val="20"/>
        </w:rPr>
        <w:tab/>
        <w:t>0,00</w:t>
      </w:r>
      <w:r w:rsidRPr="00C03114">
        <w:rPr>
          <w:szCs w:val="24"/>
        </w:rPr>
        <w:t> </w:t>
      </w:r>
      <w:r w:rsidRPr="00C03114">
        <w:rPr>
          <w:iCs/>
          <w:sz w:val="20"/>
          <w:szCs w:val="20"/>
        </w:rPr>
        <w:t>%;</w:t>
      </w:r>
    </w:p>
    <w:p w14:paraId="676B3F23" w14:textId="77777777" w:rsidR="00346113" w:rsidRPr="00C03114" w:rsidRDefault="00346113" w:rsidP="00346113">
      <w:pPr>
        <w:pStyle w:val="Neotevilenodstavek"/>
        <w:numPr>
          <w:ilvl w:val="0"/>
          <w:numId w:val="16"/>
        </w:numPr>
        <w:spacing w:before="240" w:line="260" w:lineRule="exact"/>
        <w:ind w:left="425" w:hanging="425"/>
        <w:rPr>
          <w:iCs/>
          <w:sz w:val="20"/>
          <w:szCs w:val="20"/>
        </w:rPr>
      </w:pPr>
      <w:bookmarkStart w:id="1" w:name="_Hlk90534321"/>
      <w:r w:rsidRPr="00C03114">
        <w:rPr>
          <w:iCs/>
          <w:sz w:val="20"/>
          <w:szCs w:val="20"/>
        </w:rPr>
        <w:t>za odpadno embalažo iz embalažnega materiala LES:</w:t>
      </w:r>
    </w:p>
    <w:p w14:paraId="186204C6"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Dinos, d. o. o.</w:t>
      </w:r>
      <w:r w:rsidRPr="00C03114">
        <w:rPr>
          <w:iCs/>
          <w:sz w:val="20"/>
          <w:szCs w:val="20"/>
        </w:rPr>
        <w:tab/>
      </w:r>
      <w:r>
        <w:rPr>
          <w:iCs/>
          <w:sz w:val="20"/>
          <w:szCs w:val="20"/>
        </w:rPr>
        <w:t>36,21</w:t>
      </w:r>
      <w:r w:rsidRPr="00C03114">
        <w:rPr>
          <w:sz w:val="20"/>
          <w:szCs w:val="20"/>
        </w:rPr>
        <w:t> </w:t>
      </w:r>
      <w:r w:rsidRPr="00C03114">
        <w:rPr>
          <w:iCs/>
          <w:sz w:val="20"/>
          <w:szCs w:val="20"/>
        </w:rPr>
        <w:t>%,</w:t>
      </w:r>
    </w:p>
    <w:p w14:paraId="035DD85B"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Embakom, d. o. o.</w:t>
      </w:r>
      <w:r w:rsidRPr="00C03114">
        <w:rPr>
          <w:iCs/>
          <w:sz w:val="20"/>
          <w:szCs w:val="20"/>
        </w:rPr>
        <w:tab/>
      </w:r>
      <w:r>
        <w:rPr>
          <w:iCs/>
          <w:sz w:val="20"/>
          <w:szCs w:val="20"/>
        </w:rPr>
        <w:t>8,14</w:t>
      </w:r>
      <w:r w:rsidRPr="00C03114">
        <w:rPr>
          <w:sz w:val="20"/>
          <w:szCs w:val="20"/>
        </w:rPr>
        <w:t> </w:t>
      </w:r>
      <w:r w:rsidRPr="00C03114">
        <w:rPr>
          <w:iCs/>
          <w:sz w:val="20"/>
          <w:szCs w:val="20"/>
        </w:rPr>
        <w:t>%,</w:t>
      </w:r>
    </w:p>
    <w:p w14:paraId="4241C5EB"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Surovina, d. o. o.</w:t>
      </w:r>
      <w:r w:rsidRPr="00C03114">
        <w:rPr>
          <w:iCs/>
          <w:sz w:val="20"/>
          <w:szCs w:val="20"/>
        </w:rPr>
        <w:tab/>
      </w:r>
      <w:r>
        <w:rPr>
          <w:iCs/>
          <w:sz w:val="20"/>
          <w:szCs w:val="20"/>
        </w:rPr>
        <w:t>18,26</w:t>
      </w:r>
      <w:r w:rsidRPr="00C03114">
        <w:rPr>
          <w:sz w:val="20"/>
          <w:szCs w:val="20"/>
        </w:rPr>
        <w:t> </w:t>
      </w:r>
      <w:r w:rsidRPr="00C03114">
        <w:rPr>
          <w:iCs/>
          <w:sz w:val="20"/>
          <w:szCs w:val="20"/>
        </w:rPr>
        <w:t>%,</w:t>
      </w:r>
    </w:p>
    <w:p w14:paraId="70529E50"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Interzero, d. o. o.</w:t>
      </w:r>
      <w:r w:rsidRPr="00C03114">
        <w:rPr>
          <w:iCs/>
          <w:sz w:val="20"/>
          <w:szCs w:val="20"/>
        </w:rPr>
        <w:tab/>
      </w:r>
      <w:r>
        <w:rPr>
          <w:iCs/>
          <w:sz w:val="20"/>
          <w:szCs w:val="20"/>
        </w:rPr>
        <w:t>15,28</w:t>
      </w:r>
      <w:r w:rsidRPr="00C03114">
        <w:rPr>
          <w:sz w:val="20"/>
          <w:szCs w:val="20"/>
        </w:rPr>
        <w:t> </w:t>
      </w:r>
      <w:r w:rsidRPr="00C03114">
        <w:rPr>
          <w:iCs/>
          <w:sz w:val="20"/>
          <w:szCs w:val="20"/>
        </w:rPr>
        <w:t>%,</w:t>
      </w:r>
    </w:p>
    <w:p w14:paraId="2C904A04"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Recikel, d. o. o.</w:t>
      </w:r>
      <w:r w:rsidRPr="00C03114">
        <w:rPr>
          <w:iCs/>
          <w:sz w:val="20"/>
          <w:szCs w:val="20"/>
        </w:rPr>
        <w:tab/>
      </w:r>
      <w:r>
        <w:rPr>
          <w:iCs/>
          <w:sz w:val="20"/>
          <w:szCs w:val="20"/>
        </w:rPr>
        <w:t>5,60</w:t>
      </w:r>
      <w:r w:rsidRPr="00C03114">
        <w:rPr>
          <w:sz w:val="20"/>
          <w:szCs w:val="20"/>
        </w:rPr>
        <w:t> </w:t>
      </w:r>
      <w:r w:rsidRPr="00C03114">
        <w:rPr>
          <w:iCs/>
          <w:sz w:val="20"/>
          <w:szCs w:val="20"/>
        </w:rPr>
        <w:t>%,</w:t>
      </w:r>
    </w:p>
    <w:p w14:paraId="3674451C" w14:textId="77777777" w:rsidR="00346113" w:rsidRPr="00C03114" w:rsidRDefault="00346113" w:rsidP="00346113">
      <w:pPr>
        <w:pStyle w:val="Neotevilenodstavek"/>
        <w:numPr>
          <w:ilvl w:val="0"/>
          <w:numId w:val="17"/>
        </w:numPr>
        <w:tabs>
          <w:tab w:val="right" w:pos="4536"/>
          <w:tab w:val="left" w:pos="4678"/>
        </w:tabs>
        <w:spacing w:line="240" w:lineRule="auto"/>
        <w:rPr>
          <w:rFonts w:cs="Arial"/>
          <w:b/>
          <w:bCs/>
          <w:szCs w:val="20"/>
        </w:rPr>
      </w:pPr>
      <w:r w:rsidRPr="00C03114">
        <w:rPr>
          <w:iCs/>
          <w:sz w:val="20"/>
          <w:szCs w:val="20"/>
        </w:rPr>
        <w:t>za družbo Slopak, d. o. o.</w:t>
      </w:r>
      <w:r w:rsidRPr="00C03114">
        <w:rPr>
          <w:iCs/>
          <w:sz w:val="20"/>
          <w:szCs w:val="20"/>
        </w:rPr>
        <w:tab/>
      </w:r>
      <w:r>
        <w:rPr>
          <w:iCs/>
          <w:sz w:val="20"/>
          <w:szCs w:val="20"/>
        </w:rPr>
        <w:t>16,51</w:t>
      </w:r>
      <w:r w:rsidRPr="00C03114">
        <w:rPr>
          <w:sz w:val="20"/>
          <w:szCs w:val="20"/>
        </w:rPr>
        <w:t> </w:t>
      </w:r>
      <w:r w:rsidRPr="00C03114">
        <w:rPr>
          <w:iCs/>
          <w:sz w:val="20"/>
          <w:szCs w:val="20"/>
        </w:rPr>
        <w:t>%,</w:t>
      </w:r>
      <w:bookmarkEnd w:id="1"/>
    </w:p>
    <w:p w14:paraId="258C0BDB" w14:textId="77777777" w:rsidR="00346113" w:rsidRPr="00C03114" w:rsidRDefault="00346113" w:rsidP="00346113">
      <w:pPr>
        <w:pStyle w:val="Neotevilenodstavek"/>
        <w:numPr>
          <w:ilvl w:val="0"/>
          <w:numId w:val="17"/>
        </w:numPr>
        <w:tabs>
          <w:tab w:val="right" w:pos="4536"/>
          <w:tab w:val="left" w:pos="4678"/>
        </w:tabs>
        <w:spacing w:line="260" w:lineRule="exact"/>
        <w:rPr>
          <w:iCs/>
          <w:sz w:val="20"/>
          <w:szCs w:val="20"/>
        </w:rPr>
      </w:pPr>
      <w:r w:rsidRPr="00C03114">
        <w:rPr>
          <w:iCs/>
          <w:sz w:val="20"/>
          <w:szCs w:val="20"/>
        </w:rPr>
        <w:t>za družbo Tisa, d. o. o.</w:t>
      </w:r>
      <w:r w:rsidRPr="00C03114">
        <w:rPr>
          <w:iCs/>
          <w:sz w:val="20"/>
          <w:szCs w:val="20"/>
        </w:rPr>
        <w:tab/>
        <w:t>0,00</w:t>
      </w:r>
      <w:r w:rsidRPr="00C03114">
        <w:rPr>
          <w:szCs w:val="24"/>
        </w:rPr>
        <w:t> </w:t>
      </w:r>
      <w:r w:rsidRPr="00C03114">
        <w:rPr>
          <w:iCs/>
          <w:sz w:val="20"/>
          <w:szCs w:val="20"/>
        </w:rPr>
        <w:t>%.</w:t>
      </w:r>
    </w:p>
    <w:p w14:paraId="5182D244" w14:textId="77777777" w:rsidR="00346113" w:rsidRPr="00664115" w:rsidRDefault="00346113" w:rsidP="00346113">
      <w:pPr>
        <w:pStyle w:val="Vir"/>
      </w:pPr>
      <w:bookmarkStart w:id="2" w:name="_Hlk201175347"/>
      <w:r w:rsidRPr="00664115">
        <w:t>Vir: Ministrstvo za okolje, podnebje in energijo</w:t>
      </w:r>
    </w:p>
    <w:bookmarkEnd w:id="2"/>
    <w:p w14:paraId="4105125C" w14:textId="0CF3B392" w:rsidR="00857A30" w:rsidRDefault="00AA6622" w:rsidP="00AA6622">
      <w:pPr>
        <w:pStyle w:val="Naslov2"/>
      </w:pPr>
      <w:r>
        <w:t>S</w:t>
      </w:r>
      <w:r w:rsidR="00857A30">
        <w:t>klep o določitvi objektov za odstranitev</w:t>
      </w:r>
      <w:r w:rsidR="00314EA3">
        <w:t xml:space="preserve"> </w:t>
      </w:r>
      <w:r w:rsidR="00857A30">
        <w:t>na območju Občine Braslovče in Občine Polzela</w:t>
      </w:r>
    </w:p>
    <w:p w14:paraId="4C6A9C38" w14:textId="77777777" w:rsidR="00314EA3" w:rsidRDefault="00314EA3" w:rsidP="00314EA3">
      <w:pPr>
        <w:pStyle w:val="Vir"/>
      </w:pPr>
      <w:r>
        <w:t xml:space="preserve">Vlada Republike Slovenije je sprejela </w:t>
      </w:r>
      <w:r>
        <w:t>s</w:t>
      </w:r>
      <w:r>
        <w:t xml:space="preserve">klep o določitvi objektov za odstranitev, ki ležijo na območju, kjer so predvideni državni ukrepi za preprečitev naravnih nesreč, brez katerih ni mogoče zagotoviti varnosti pred </w:t>
      </w:r>
      <w:proofErr w:type="gramStart"/>
      <w:r>
        <w:t>poplavam</w:t>
      </w:r>
      <w:proofErr w:type="gramEnd"/>
      <w:r>
        <w:t>, na območju Občine Braslovče in Občine Polzela</w:t>
      </w:r>
      <w:r>
        <w:t>.</w:t>
      </w:r>
      <w:r>
        <w:t xml:space="preserve"> </w:t>
      </w:r>
    </w:p>
    <w:p w14:paraId="02ED0355" w14:textId="76FB04DF" w:rsidR="00314EA3" w:rsidRDefault="00314EA3" w:rsidP="00314EA3">
      <w:pPr>
        <w:pStyle w:val="Vir"/>
      </w:pPr>
      <w:r>
        <w:t xml:space="preserve">Republiko Slovenijo je 4. avgusta 2023 prizadela naravna nesreča večjega obsega, ki je zaradi obsežnega deževja povzročila poplave in zemeljske plazove. V skladu s 87. členom Zakona o obnovi, razvoju in zagotavljanju finančnih sredstev se s sklepom vlade </w:t>
      </w:r>
      <w:proofErr w:type="gramStart"/>
      <w:r>
        <w:t>določi</w:t>
      </w:r>
      <w:proofErr w:type="gramEnd"/>
      <w:r>
        <w:t xml:space="preserve"> objekte za nujno odstranitev in ugotovi javne koristi,  z namenom odstranitve, kjer so predvideni državni ukrepi za preprečitev </w:t>
      </w:r>
      <w:r>
        <w:lastRenderedPageBreak/>
        <w:t xml:space="preserve">naravnih nesreč, brez katerih ni mogoče zagotoviti varnosti pred poplavami. Sklep temelji na strokovnih podlagah, ki jih je pripravila Direkcija Republike Slovenije za vode in jih je predhodno potrdil Svet Vlade Republike Slovenije za obnovo. Gradivo je bilo javno razgrnjeno 15 dni na spletni strani vladne službe za obnovo in na krajevno običajen način. V okviru javne razgrnitve je imela javnost možnost dajanja pripomb in predlogov. Sklep se nanaša na 4 objekte, predvidena potrebna sredstva so ocenjena v višini 1.600.000,00 </w:t>
      </w:r>
      <w:proofErr w:type="gramStart"/>
      <w:r>
        <w:t>evrov</w:t>
      </w:r>
      <w:proofErr w:type="gramEnd"/>
      <w:r>
        <w:t>. Predloženi sklep je podlaga za cenitev nepremičnine, na podlagi česar bodo znane konkretne vrednosti nepremičnin za vsak posamezni objekt.</w:t>
      </w:r>
    </w:p>
    <w:p w14:paraId="51F28B8B" w14:textId="5CD56E15" w:rsidR="00AA6622" w:rsidRDefault="00AA6622" w:rsidP="00AA6622">
      <w:pPr>
        <w:pStyle w:val="Vir"/>
      </w:pPr>
      <w:r>
        <w:t>Vir: Služba vlade za obnovo po poplavah in plazovih</w:t>
      </w:r>
    </w:p>
    <w:p w14:paraId="4626FB08" w14:textId="45643956" w:rsidR="00F06AB5" w:rsidRDefault="00F06AB5" w:rsidP="00F06AB5">
      <w:pPr>
        <w:pStyle w:val="Naslov2"/>
      </w:pPr>
      <w:r>
        <w:t>Vlada sprejela tri sklepe o pripravi državnega prostorskega načrta</w:t>
      </w:r>
    </w:p>
    <w:p w14:paraId="71D31111" w14:textId="3D0CB0DD" w:rsidR="00F06AB5" w:rsidRDefault="00F06AB5" w:rsidP="00F06AB5">
      <w:r>
        <w:t xml:space="preserve">Vlada Republike Slovenije je na podlagi prvega odstavka 93. člena Zakona o urejanju prostora, na današnji seji vlade, sprejela tri sklepe o pripravi državnega prostorskega načrta za:  </w:t>
      </w:r>
    </w:p>
    <w:p w14:paraId="4942BBDA" w14:textId="290D8E44" w:rsidR="00F06AB5" w:rsidRDefault="00F06AB5" w:rsidP="00F06AB5">
      <w:pPr>
        <w:pStyle w:val="Odstavekseznama"/>
        <w:numPr>
          <w:ilvl w:val="0"/>
          <w:numId w:val="22"/>
        </w:numPr>
      </w:pPr>
      <w:r>
        <w:t xml:space="preserve">Rekonstrukcijo glavne ceste G2-106 Turjak – Retje. </w:t>
      </w:r>
    </w:p>
    <w:p w14:paraId="202D6BA5" w14:textId="77777777" w:rsidR="00F06AB5" w:rsidRDefault="00F06AB5" w:rsidP="00F06AB5">
      <w:r>
        <w:t>Namen prostorske ureditve je razbremenitev Velikih Lašč, ki so trenutno močno obremenjene z lokalnim in tranzitnim prometom. Hkrati se z ureditvijo razbremenjuje tudi druga naselja ob predvideni trasi, kot so Turjak, Rašica in Male Lašče. Cilj je zagotoviti ustrezno prometno dostopnost do središč regionalnega pomena ter navezavo na jedrna središča in celovito prometno omrežje.</w:t>
      </w:r>
    </w:p>
    <w:p w14:paraId="09875D6E" w14:textId="235150E3" w:rsidR="00F06AB5" w:rsidRDefault="00F06AB5" w:rsidP="00F06AB5">
      <w:pPr>
        <w:pStyle w:val="Odstavekseznama"/>
        <w:numPr>
          <w:ilvl w:val="0"/>
          <w:numId w:val="22"/>
        </w:numPr>
      </w:pPr>
      <w:r>
        <w:t xml:space="preserve">Državno cesto med AC A1 Maribor- Ljubljana in AC A2 Ljubljana- Obrežje pri </w:t>
      </w:r>
      <w:proofErr w:type="gramStart"/>
      <w:r>
        <w:t>Novem Mestu</w:t>
      </w:r>
      <w:proofErr w:type="gramEnd"/>
      <w:r>
        <w:t xml:space="preserve"> (</w:t>
      </w:r>
      <w:proofErr w:type="spellStart"/>
      <w:r>
        <w:t>3.razvojna</w:t>
      </w:r>
      <w:proofErr w:type="spellEnd"/>
      <w:r>
        <w:t xml:space="preserve"> os – sredina). </w:t>
      </w:r>
    </w:p>
    <w:p w14:paraId="2917F930" w14:textId="77777777" w:rsidR="00F06AB5" w:rsidRDefault="00F06AB5" w:rsidP="00F06AB5">
      <w:r>
        <w:t>Predmet državnega prostorskega načrtovanja je umestitev nove državne ceste med avtocesto A1 (Maribor–Ljubljana) v bližini Celja in avtocesto A2 (Ljubljana–Obrežje) pri Novem mestu.</w:t>
      </w:r>
    </w:p>
    <w:p w14:paraId="17BF7112" w14:textId="77777777" w:rsidR="00F06AB5" w:rsidRDefault="00F06AB5" w:rsidP="00F06AB5">
      <w:r>
        <w:t>Glavni cilj predvidene prometne povezave je zagotoviti učinkovito povezljivost središč mednarodnega, nacionalnega in regionalnega pomena znotraj širšega območja t. i. tretje razvojne osi, ki poteka v smeri sever–jugovzhod, od meje z Avstrijo do meje s Hrvaško.</w:t>
      </w:r>
    </w:p>
    <w:p w14:paraId="26616FB8" w14:textId="77777777" w:rsidR="00F06AB5" w:rsidRDefault="00F06AB5" w:rsidP="00F06AB5">
      <w:r>
        <w:t>Srednji del tretje razvojne osi bo poleg tega omogočil boljšo prometno dostopnost pomembnejših lokalnih središč na tem območju in prispeval k razbremenitvi obstoječih prometnic, ki zaradi svoje zmogljivosti in tehničnih lastnosti ne zagotavljajo ustreznih pogojev za varen in sodoben promet.</w:t>
      </w:r>
    </w:p>
    <w:p w14:paraId="0307B7D2" w14:textId="77777777" w:rsidR="00F06AB5" w:rsidRDefault="00F06AB5" w:rsidP="00F06AB5">
      <w:r>
        <w:t>Območje načrtovane prostorske ureditve vključuje naslednje občine: Žalec, Mestno občino Celje, Laško, Radeče, Sevnica, Mokronog-Trebelno, Mestno občino Novo mesto, Šentrupert, Mirna in Trebnje.</w:t>
      </w:r>
    </w:p>
    <w:p w14:paraId="5A239BD3" w14:textId="59CE9666" w:rsidR="00F06AB5" w:rsidRDefault="00F06AB5" w:rsidP="00F06AB5">
      <w:pPr>
        <w:pStyle w:val="Odstavekseznama"/>
        <w:numPr>
          <w:ilvl w:val="0"/>
          <w:numId w:val="22"/>
        </w:numPr>
      </w:pPr>
      <w:r>
        <w:t xml:space="preserve">Obvozno cesto Litija. Predmet pobude je umestitev obvozne ceste Litija in pripadajočih ureditev v prostor. Območje pobude </w:t>
      </w:r>
      <w:proofErr w:type="gramStart"/>
      <w:r>
        <w:t>se v večinskem delu nahaja</w:t>
      </w:r>
      <w:proofErr w:type="gramEnd"/>
      <w:r>
        <w:t xml:space="preserve"> v občini Litija, v manjšem delu pa tudi v občini Šmartno pri Litiji. </w:t>
      </w:r>
    </w:p>
    <w:p w14:paraId="17CECC69" w14:textId="77777777" w:rsidR="00F06AB5" w:rsidRDefault="00F06AB5" w:rsidP="00F06AB5">
      <w:pPr>
        <w:pStyle w:val="Vir"/>
      </w:pPr>
      <w:r>
        <w:t>Vir: Ministrstvo za naravne vire in prostor</w:t>
      </w:r>
    </w:p>
    <w:p w14:paraId="1FF67FBC" w14:textId="139A0A86" w:rsidR="001B5E62" w:rsidRDefault="001B5E62" w:rsidP="001B5E62">
      <w:pPr>
        <w:pStyle w:val="Naslov2"/>
      </w:pPr>
      <w:r>
        <w:t>Odločitev vlade s področja iger na srečo</w:t>
      </w:r>
    </w:p>
    <w:p w14:paraId="634FAAB9" w14:textId="77777777" w:rsidR="001B5E62" w:rsidRDefault="001B5E62" w:rsidP="001B5E62">
      <w:r>
        <w:t xml:space="preserve">Vlada je podaljšala koncesijo za prirejanje posebnih iger na srečo družbi Marwin storitve in turizem za igralni salon </w:t>
      </w:r>
      <w:proofErr w:type="gramStart"/>
      <w:r>
        <w:t>Casino</w:t>
      </w:r>
      <w:proofErr w:type="gramEnd"/>
      <w:r>
        <w:t xml:space="preserve"> Faraon Celje in družbi AS - MB gostinstvo in storitve za Casino igralni salon AS v Radencih. </w:t>
      </w:r>
    </w:p>
    <w:p w14:paraId="02557066" w14:textId="77777777" w:rsidR="001B5E62" w:rsidRDefault="001B5E62" w:rsidP="001B5E62"/>
    <w:p w14:paraId="22C5AFD4" w14:textId="77777777" w:rsidR="001B5E62" w:rsidRDefault="001B5E62" w:rsidP="001B5E62">
      <w:r>
        <w:t xml:space="preserve">O dodelitvi in podaljšanju koncesije odloča vlada po prostem preudarku, ob upoštevanju pogojev ter presoji </w:t>
      </w:r>
      <w:proofErr w:type="gramStart"/>
      <w:r>
        <w:t>kriterijev</w:t>
      </w:r>
      <w:proofErr w:type="gramEnd"/>
      <w:r>
        <w:t xml:space="preserve"> iz Zakona o igrah na srečo.</w:t>
      </w:r>
    </w:p>
    <w:p w14:paraId="4179DE7F" w14:textId="68FBB5D8" w:rsidR="00857A30" w:rsidRDefault="001B5E62" w:rsidP="001B5E62">
      <w:pPr>
        <w:pStyle w:val="Vir"/>
      </w:pPr>
      <w:r>
        <w:t>Vir: Ministrstvo za finance</w:t>
      </w:r>
    </w:p>
    <w:p w14:paraId="509739DC" w14:textId="6E24AA0A" w:rsidR="00F00D20" w:rsidRDefault="00F00D20" w:rsidP="00F00D20">
      <w:pPr>
        <w:pStyle w:val="Naslov2"/>
      </w:pPr>
      <w:r>
        <w:t xml:space="preserve">Vlada potrdila program sanacije škode na področju arhivov po poplavah avgusta 2023   </w:t>
      </w:r>
    </w:p>
    <w:p w14:paraId="3C7D234E" w14:textId="7F547BE6" w:rsidR="00F00D20" w:rsidRDefault="00F00D20" w:rsidP="00F00D20">
      <w:r>
        <w:t>Vlada je na današnji seji sprejela Program odprave posledic neposredne škode na področju arhivov in arhivske dejavnosti, ki so jo povzročile poplave 4. avgusta 2023.</w:t>
      </w:r>
    </w:p>
    <w:p w14:paraId="27C0290D" w14:textId="77777777" w:rsidR="00F00D20" w:rsidRDefault="00F00D20" w:rsidP="00F00D20"/>
    <w:p w14:paraId="11F396AA" w14:textId="77777777" w:rsidR="00F00D20" w:rsidRDefault="00F00D20" w:rsidP="00F00D20">
      <w:r>
        <w:t>Program, ki ga je pripravilo Ministrstvo za kulturo, se nanaša na sanacijo škode, nastale v Zgodovinskem arhivu Ljubljana, enota Škofja Loka. Ta je bil med ujmami močno prizadet, posledice pa so se poznale tako na stavbi kot na arhivskem gradivu, ki predstavlja pomemben del kulturne dediščine.</w:t>
      </w:r>
    </w:p>
    <w:p w14:paraId="48E7C169" w14:textId="77777777" w:rsidR="00F00D20" w:rsidRDefault="00F00D20" w:rsidP="00F00D20"/>
    <w:p w14:paraId="7DF3C82F" w14:textId="77777777" w:rsidR="00F00D20" w:rsidRDefault="00F00D20" w:rsidP="00F00D20">
      <w:r>
        <w:t>Dokument predvideva ukrepe za obnovo poškodovanih prostorov in za konservatorsko-restavratorske posege na poškodovanem gradivu. Priprava programa je potekala v sodelovanju s pristojnimi strokovnimi službami, konservatorsko delavnico Arhiva Republike Slovenije in Komisijo za odpravo posledic nesreč, ki je dokument tudi potrdila.</w:t>
      </w:r>
    </w:p>
    <w:p w14:paraId="0C53BA9F" w14:textId="77777777" w:rsidR="00F00D20" w:rsidRDefault="00F00D20" w:rsidP="00F00D20"/>
    <w:p w14:paraId="032B2FDF" w14:textId="77777777" w:rsidR="00F00D20" w:rsidRDefault="00F00D20" w:rsidP="00F00D20">
      <w:r>
        <w:t>Sanacija bo financirana iz sredstev Sklada za obnovo. Ministrstvo za kulturo bo kot pristojni organ poskrbelo za izvedbo vseh predvidenih ukrepov in s tem zagotovilo, da se poškodovano arhivsko gradivo ustrezno ohrani za prihodnje generacije.</w:t>
      </w:r>
    </w:p>
    <w:p w14:paraId="35A84926" w14:textId="40E151C0" w:rsidR="00857A30" w:rsidRDefault="00F00D20" w:rsidP="00F00D20">
      <w:pPr>
        <w:pStyle w:val="Vir"/>
      </w:pPr>
      <w:r>
        <w:t>Vir: Ministrstvo za kulturo</w:t>
      </w:r>
    </w:p>
    <w:p w14:paraId="40500452" w14:textId="5EF1B251" w:rsidR="00591FF5" w:rsidRDefault="00591FF5" w:rsidP="00591FF5">
      <w:pPr>
        <w:pStyle w:val="Naslov2"/>
      </w:pPr>
      <w:r>
        <w:t>Sprejet akcijski načrt za izvajanje Nacionalne strategije intelektualne lastnine do leta 2030</w:t>
      </w:r>
    </w:p>
    <w:p w14:paraId="3C5F6BBD" w14:textId="77777777" w:rsidR="00591FF5" w:rsidRDefault="00591FF5" w:rsidP="00591FF5">
      <w:r>
        <w:t>Vlada Republike Slovenije je na današnji seji sprejela Akcijski načrt za izvajanje Nacionalne strategije intelektualne lastnine do leta 2030, s katerim bo omogočeno učinkovito izvajanje strategije, sprejete junija 2024.</w:t>
      </w:r>
    </w:p>
    <w:p w14:paraId="33B50415" w14:textId="77777777" w:rsidR="00591FF5" w:rsidRDefault="00591FF5" w:rsidP="00591FF5"/>
    <w:p w14:paraId="426A6BFA" w14:textId="77777777" w:rsidR="00591FF5" w:rsidRDefault="00591FF5" w:rsidP="00591FF5">
      <w:r>
        <w:t>Nacionalna strategija intelektualne lastnine do leta 2030 postavlja tri ključne strateške cilje:</w:t>
      </w:r>
    </w:p>
    <w:p w14:paraId="07BD2134" w14:textId="4F1367AC" w:rsidR="00591FF5" w:rsidRDefault="00591FF5" w:rsidP="00591FF5">
      <w:pPr>
        <w:pStyle w:val="Odstavekseznama"/>
        <w:numPr>
          <w:ilvl w:val="0"/>
          <w:numId w:val="22"/>
        </w:numPr>
      </w:pPr>
      <w:r>
        <w:t>krepitev okolja za ustvarjanje, razvoj, varstvo in upravljanje intelektualne lastnine,</w:t>
      </w:r>
    </w:p>
    <w:p w14:paraId="7DAF7106" w14:textId="703AFE7F" w:rsidR="00591FF5" w:rsidRDefault="00591FF5" w:rsidP="00591FF5">
      <w:pPr>
        <w:pStyle w:val="Odstavekseznama"/>
        <w:numPr>
          <w:ilvl w:val="0"/>
          <w:numId w:val="22"/>
        </w:numPr>
      </w:pPr>
      <w:r>
        <w:t xml:space="preserve">povečanje ozaveščenosti in znanja o intelektualni lastnini ter </w:t>
      </w:r>
    </w:p>
    <w:p w14:paraId="4E8FE8AB" w14:textId="239D88A7" w:rsidR="00591FF5" w:rsidRDefault="00591FF5" w:rsidP="00591FF5">
      <w:pPr>
        <w:pStyle w:val="Odstavekseznama"/>
        <w:numPr>
          <w:ilvl w:val="0"/>
          <w:numId w:val="22"/>
        </w:numPr>
      </w:pPr>
      <w:r>
        <w:t>krepitev vloge intelektualne lastnine v gospodarstvu, javnem sektorju in družbi kot celoti.</w:t>
      </w:r>
    </w:p>
    <w:p w14:paraId="01DDBAC5" w14:textId="77777777" w:rsidR="00591FF5" w:rsidRDefault="00591FF5" w:rsidP="00591FF5">
      <w:r>
        <w:t>Za pripravo akcijskega načrta je vlada oktobra 2024 ustanovila medresorsko delovno skupino, ki jo je vodila direktorica Urada RS za intelektualno lastnino. V delovni skupini je sodelovalo devet ministrstev, predstavnika Urada RS za intelektualno lastnino in predstavnika Javne agencije za znanstvenoraziskovalno in inovacijsko dejavnost RS. V pripravo so bili vključeni tudi predlogi ključnih deležnikov, zbranih med javnim posvetovanjem aprila 2025.</w:t>
      </w:r>
    </w:p>
    <w:p w14:paraId="3252D875" w14:textId="77777777" w:rsidR="00591FF5" w:rsidRDefault="00591FF5" w:rsidP="00591FF5"/>
    <w:p w14:paraId="2F46BF86" w14:textId="77777777" w:rsidR="00591FF5" w:rsidRDefault="00591FF5" w:rsidP="00591FF5">
      <w:r>
        <w:t xml:space="preserve">Akcijski načrt podrobneje določa načrtovane </w:t>
      </w:r>
      <w:proofErr w:type="gramStart"/>
      <w:r>
        <w:t>aktivnosti</w:t>
      </w:r>
      <w:proofErr w:type="gramEnd"/>
      <w:r>
        <w:t>, odgovorne nosilce, ciljne skupine, potrebna sredstva za izvajanje ter sistem spremljanja učinkov.</w:t>
      </w:r>
    </w:p>
    <w:p w14:paraId="482E38F1" w14:textId="77777777" w:rsidR="00591FF5" w:rsidRDefault="00591FF5" w:rsidP="00591FF5"/>
    <w:p w14:paraId="304B5769" w14:textId="77777777" w:rsidR="00591FF5" w:rsidRDefault="00591FF5" w:rsidP="00591FF5">
      <w:r>
        <w:t>Dokument je sestavljen iz dveh delov:</w:t>
      </w:r>
    </w:p>
    <w:p w14:paraId="55651329" w14:textId="6D3D0626" w:rsidR="00591FF5" w:rsidRDefault="00591FF5" w:rsidP="00591FF5">
      <w:pPr>
        <w:pStyle w:val="Odstavekseznama"/>
        <w:numPr>
          <w:ilvl w:val="0"/>
          <w:numId w:val="23"/>
        </w:numPr>
      </w:pPr>
      <w:r>
        <w:t xml:space="preserve">prvi del vsebuje konkretne ukrepe in </w:t>
      </w:r>
      <w:proofErr w:type="gramStart"/>
      <w:r>
        <w:t>aktivnosti</w:t>
      </w:r>
      <w:proofErr w:type="gramEnd"/>
      <w:r>
        <w:t>,</w:t>
      </w:r>
    </w:p>
    <w:p w14:paraId="219CF8B1" w14:textId="78F65769" w:rsidR="00591FF5" w:rsidRDefault="00591FF5" w:rsidP="00591FF5">
      <w:pPr>
        <w:pStyle w:val="Odstavekseznama"/>
        <w:numPr>
          <w:ilvl w:val="0"/>
          <w:numId w:val="23"/>
        </w:numPr>
      </w:pPr>
      <w:r>
        <w:t>drugi del pa opredeljuje metodologijo spremljanja učinkov in določitve kazalnikov, ki jo je pripravilo zunanje strokovno telo – Inštitut za ekonomska raziskovanja (IER).</w:t>
      </w:r>
    </w:p>
    <w:p w14:paraId="1DFD6E40" w14:textId="77777777" w:rsidR="00591FF5" w:rsidRDefault="00591FF5" w:rsidP="00591FF5"/>
    <w:p w14:paraId="1E7B5FD3" w14:textId="77777777" w:rsidR="00591FF5" w:rsidRDefault="00591FF5" w:rsidP="00591FF5">
      <w:r>
        <w:t>Finančni in drugi parametri so natančneje določeni za leti 2025 in 2026, za obdobje 2027–2030 pa so podane ocene, zato je predvidena možnost sprotnih posodobitev načrta.</w:t>
      </w:r>
    </w:p>
    <w:p w14:paraId="7E17DB92" w14:textId="77777777" w:rsidR="00591FF5" w:rsidRDefault="00591FF5" w:rsidP="00591FF5"/>
    <w:p w14:paraId="744F5989" w14:textId="77777777" w:rsidR="00591FF5" w:rsidRDefault="00591FF5" w:rsidP="00591FF5">
      <w:r>
        <w:t xml:space="preserve">Za spremljanje izvajanja bo Urad RS za intelektualno lastnino vsako leto pripravil poročilo o napredku in ga posredoval Ministrstvu za gospodarstvo, turizem in šport kot pristojnemu </w:t>
      </w:r>
      <w:proofErr w:type="gramStart"/>
      <w:r>
        <w:t>resornemu</w:t>
      </w:r>
      <w:proofErr w:type="gramEnd"/>
      <w:r>
        <w:t xml:space="preserve"> organu.</w:t>
      </w:r>
    </w:p>
    <w:p w14:paraId="232AD362" w14:textId="77777777" w:rsidR="00591FF5" w:rsidRDefault="00591FF5" w:rsidP="00591FF5"/>
    <w:p w14:paraId="3CFC1EC2" w14:textId="77777777" w:rsidR="00591FF5" w:rsidRDefault="00591FF5" w:rsidP="00591FF5">
      <w:r>
        <w:t>S sprejetjem akcijskega načrta Slovenija krepi podporno okolje za ustvarjanje in uporabo intelektualne lastnine, s čimer prispeva h konkurenčnosti slovenskega gospodarstva ter razvoju inovativne in ustvarjalne družbe.</w:t>
      </w:r>
    </w:p>
    <w:p w14:paraId="04150373" w14:textId="17FF6467" w:rsidR="00857A30" w:rsidRDefault="00591FF5" w:rsidP="00591FF5">
      <w:pPr>
        <w:pStyle w:val="Vir"/>
      </w:pPr>
      <w:r>
        <w:t>Vir: Ministrstvo za gospodarstvo, turizem in šport</w:t>
      </w:r>
    </w:p>
    <w:p w14:paraId="4FEB157E" w14:textId="09572F85" w:rsidR="00AD14DA" w:rsidRDefault="00AD14DA" w:rsidP="00AD14DA">
      <w:pPr>
        <w:pStyle w:val="Naslov2"/>
      </w:pPr>
      <w:r>
        <w:lastRenderedPageBreak/>
        <w:t>Vlada je leto 2027 razglasila za leto organizacije TIGR</w:t>
      </w:r>
    </w:p>
    <w:p w14:paraId="24C3E1BC" w14:textId="77777777" w:rsidR="00AD14DA" w:rsidRDefault="00AD14DA" w:rsidP="00AD14DA">
      <w:r>
        <w:t>Vlada Republike Slovenije je na današnji seji leto 2027 razglasila za leto organizacije TIGR.</w:t>
      </w:r>
    </w:p>
    <w:p w14:paraId="09B7B0A2" w14:textId="77777777" w:rsidR="00AD14DA" w:rsidRDefault="00AD14DA" w:rsidP="00AD14DA"/>
    <w:p w14:paraId="66FFE754" w14:textId="77777777" w:rsidR="00AD14DA" w:rsidRDefault="00AD14DA" w:rsidP="00AD14DA">
      <w:r>
        <w:t>V letu 2027 zaznamujemo stoletje od ustanovitve protifašistične organizacije TIGR, ilegalne organizacije slovenskih in hrvaških domoljubov. Po sprejetju rapalske razmejitve je velik del slovenskega nacionalnega prostora pripadel Kraljevini Italiji. Organizacija TIGR je bila le ena izmed slovenskih in hrvaških protifašističnih gibanj na Primorskem in v Istri, a danes predstavlja simbol tega boja, saj je narodno-revolucionarna organizacija TIGR še posebej omenjena v Zakonu o vojnih veteranih.</w:t>
      </w:r>
    </w:p>
    <w:p w14:paraId="025A6F5D" w14:textId="77777777" w:rsidR="00AD14DA" w:rsidRDefault="00AD14DA" w:rsidP="00AD14DA"/>
    <w:p w14:paraId="626F0133" w14:textId="77777777" w:rsidR="00AD14DA" w:rsidRDefault="00AD14DA" w:rsidP="00AD14DA">
      <w:r>
        <w:t>Tajna organizacija TIGR je predstavljala prvo organizirano vseljudsko protifašistično gibanje v Evropi. Ocenjuje se, da je v tem gibanju sodelovalo med 3000 in 5000 Primorcev ter je bilo v času med obema vojnama najštevilčnejše evropsko protifašistično gibanje. Imelo je podporo celotnega zatiranega primorskega ljudstva in še danes je spomin na to gibanje prisoten v vsaki primorski družini.</w:t>
      </w:r>
    </w:p>
    <w:p w14:paraId="578DE722" w14:textId="77777777" w:rsidR="00AD14DA" w:rsidRDefault="00AD14DA" w:rsidP="00AD14DA"/>
    <w:p w14:paraId="79E8D984" w14:textId="77777777" w:rsidR="00AD14DA" w:rsidRDefault="00AD14DA" w:rsidP="00AD14DA">
      <w:r>
        <w:t xml:space="preserve">Razglasitev leta organizacije TIGR bo lahko dodatno spodbudila k oblikovanju novih programov in dejavnosti v zvezi s TIGR-ovo domoljubno dediščino ter pozitivno prispevala k širjenju zavesti o izjemnih domoljubnih vrednotah </w:t>
      </w:r>
      <w:proofErr w:type="gramStart"/>
      <w:r>
        <w:t>TIGR-ove</w:t>
      </w:r>
      <w:proofErr w:type="gramEnd"/>
      <w:r>
        <w:t xml:space="preserve"> dediščine kot organizacije in tudi slehernega pripadnika le-te. </w:t>
      </w:r>
    </w:p>
    <w:p w14:paraId="74ED98CF" w14:textId="77777777" w:rsidR="00AD14DA" w:rsidRDefault="00AD14DA" w:rsidP="00AD14DA"/>
    <w:p w14:paraId="5A0C20C7" w14:textId="77777777" w:rsidR="00AD14DA" w:rsidRDefault="00AD14DA" w:rsidP="00AD14DA">
      <w:r>
        <w:t>Razglasitev leta 2027 za leto organizacije TIGR se navezuje tudi na poseben pomen, ki ga ima odporniška dediščina te organizacije v narodni zavesti slovenske manjšine v Italiji, ki si skupaj s Slovenijo prizadeva za objektiven pogled na boleča poglavja zgodovine slovensko-italijanskih odnosov, zlasti na obmejnih območjih. V meddržavnem kontekstu pobuda upošteva dosedanja spravna prizadevanja med Slovenijo in Italijo, med katerimi ima posebno mesto skupni poklon dveh predsednikov pri spomeniku ustreljenim bazoviškim junakom in spominskemu obeležju na bazoviški fojbi leta 2020 – korak, ki je obenem tudi dejanje politične rehabilitacije obsojencev prvega tržaškega procesa v Italiji. Leto organizacije TIGR ponuja nove priložnosti za krepitev prepoznavnosti slovenskega odporniškega protifašističnega gibanja v evropskem merilu in priznanje njegovega univerzalnega pomena.</w:t>
      </w:r>
    </w:p>
    <w:p w14:paraId="5B93F85F" w14:textId="1E525B92" w:rsidR="00857A30" w:rsidRDefault="00AD14DA" w:rsidP="00AD14DA">
      <w:pPr>
        <w:pStyle w:val="Vir"/>
      </w:pPr>
      <w:r>
        <w:t>Vir: Ministrstvo za obrambo</w:t>
      </w:r>
    </w:p>
    <w:p w14:paraId="06868066" w14:textId="4929F06C" w:rsidR="00555922" w:rsidRDefault="00555922" w:rsidP="00555922">
      <w:pPr>
        <w:pStyle w:val="Naslov2"/>
      </w:pPr>
      <w:r>
        <w:t>Vlada je sprejela sklep o ohranitvi delovanje Podružnične šole Soča v šolskem letu 2025/2026.</w:t>
      </w:r>
    </w:p>
    <w:p w14:paraId="06855988" w14:textId="0A48E19D" w:rsidR="00555922" w:rsidRDefault="00555922" w:rsidP="00555922">
      <w:r>
        <w:t xml:space="preserve">Vlada je po preučitvi vloge Občine Bovec sprejela pozitivno odločitev o nadaljnjem delovanju Podružnične šole Soča. Odločitev je sprejeta na podlagi tretjega odstavka 17. člena Pravilnika o pogojih za ustanavljanje javnih osnovnih šol, javnih osnovnih šol in zavodov za vzgojo in izobraževanje otrok in mladostnikov s posebnimi potrebami ter javnih glasbenih šol, ki določa, da če gre za edino šolo v lokalni skupnosti, ki leži na obmejnem oziroma gorsko višinskem območju, in je njeno delovanje potrebno tudi zaradi ohranitve poseljenosti ozemlja in slovenskega jezika, lahko vlada na predlog ustanovitelja odloči, da se status šole ne spremeni, ne glede na določbe tega pravilnika. </w:t>
      </w:r>
    </w:p>
    <w:p w14:paraId="58CF068C" w14:textId="77777777" w:rsidR="00555922" w:rsidRDefault="00555922" w:rsidP="00555922"/>
    <w:p w14:paraId="08D3D350" w14:textId="44C87220" w:rsidR="00555922" w:rsidRDefault="00555922" w:rsidP="00555922">
      <w:r>
        <w:t>Vlada s tem sledi in uresničuje sedmo alinejo 10. člena Zakona o Triglavskem narodnem parku, ki med razvojnimi usmeritvami določa tudi podporo nadstandardnemu razvoju družbenih dejavnosti v narodnem parku in v parkovnih lokalnih skupnostih, predvsem šolstva, zdravstva in socialnega varstva.</w:t>
      </w:r>
    </w:p>
    <w:p w14:paraId="25F10A94" w14:textId="415E5FC8" w:rsidR="00857A30" w:rsidRDefault="00555922" w:rsidP="00555922">
      <w:pPr>
        <w:pStyle w:val="Vir"/>
      </w:pPr>
      <w:r>
        <w:t>Vir: Ministrstvo za vzgojo in izobraževanje</w:t>
      </w:r>
    </w:p>
    <w:p w14:paraId="6E3AF3CE" w14:textId="44BA6E37" w:rsidR="00892B8A" w:rsidRDefault="00892B8A" w:rsidP="00892B8A">
      <w:pPr>
        <w:pStyle w:val="Naslov2"/>
      </w:pPr>
      <w:r>
        <w:t>Letno poročilo Komisije za nadzor izvoza blaga z dvojno rabo za leto 2024</w:t>
      </w:r>
    </w:p>
    <w:p w14:paraId="5BB6E027" w14:textId="77777777" w:rsidR="00892B8A" w:rsidRDefault="00892B8A" w:rsidP="00892B8A">
      <w:r>
        <w:lastRenderedPageBreak/>
        <w:t xml:space="preserve">Vlada se je seznanila z Letnim poročilom Komisije za nadzor izvoza blaga z dvojno rabo za obdobje od 1. januarja 2024 do 31. decembra 2024. </w:t>
      </w:r>
    </w:p>
    <w:p w14:paraId="11C23141" w14:textId="77777777" w:rsidR="00892B8A" w:rsidRDefault="00892B8A" w:rsidP="00892B8A"/>
    <w:p w14:paraId="61E85278" w14:textId="77777777" w:rsidR="00892B8A" w:rsidRDefault="00892B8A" w:rsidP="00892B8A">
      <w:r>
        <w:t xml:space="preserve">Nadzor izvoza blaga z dvojno rabo je ključno orodje v boju proti širjenju orožja za množično uničevanje kot tudi širjenju konvencionalnega orožja na občutljiva in krizna področja ali področja pod vojaškim embargom. Blago z dvojno rabo predstavlja blago, programsko opremo in tehnologijo, ki se lahko uporablja v civilne ali v vojaške namene, ter vključuje blago iz širokega področja sektorjev, kot so jedrski, biološki in kemični sektor ter oprema za predelavo materialov, elektronika, računalniki, telekomunikacije, šifriranje, senzorji in laserji, navigacija in letalska elektronika, pomorska oprema ter oprema za zračna plovila in pogon. Blago z dvojno rabo je civilno blago in praviloma namenjeno ter uporabljeno v civilne namene, zaradi svojih lastnosti ali tehničnih karakteristik pa se lahko uporabi tudi v vojaške namene. </w:t>
      </w:r>
    </w:p>
    <w:p w14:paraId="28B0A6DA" w14:textId="77777777" w:rsidR="00892B8A" w:rsidRDefault="00892B8A" w:rsidP="00892B8A"/>
    <w:p w14:paraId="1BFDCA32" w14:textId="77777777" w:rsidR="00892B8A" w:rsidRDefault="00892B8A" w:rsidP="00892B8A">
      <w:r>
        <w:t>V letu 2024 je bila z Odlokom o ustanovitvi Komisije za nadzor izvoza blaga z dvojno rabo ustanovljena nova in razširjena Komisija za nadzor izvoza blaga z dvojno rabo. Vlada je člane in namestnike imenovala na podlagi Zakona o nadzoru izvoza blaga z dvojno rabo ter Odloka o ustanovitvi komisije za nadzor izvoza blaga z dvojno rabo.</w:t>
      </w:r>
    </w:p>
    <w:p w14:paraId="7242A133" w14:textId="77777777" w:rsidR="00892B8A" w:rsidRDefault="00892B8A" w:rsidP="00892B8A"/>
    <w:p w14:paraId="012F14D9" w14:textId="77777777" w:rsidR="00892B8A" w:rsidRDefault="00892B8A" w:rsidP="00892B8A">
      <w:r>
        <w:t xml:space="preserve">Komisija za nadzor izvoza blaga z dvojno rabo (KNIBDR) je v letu 2024 svoje delo izvajala v elektronski obliki prek sistema </w:t>
      </w:r>
      <w:proofErr w:type="spellStart"/>
      <w:r>
        <w:t>eLicensing</w:t>
      </w:r>
      <w:proofErr w:type="spellEnd"/>
      <w:r>
        <w:t xml:space="preserve"> ter na rednih, dopisnih in videokonferenčnih sejah. Na svoji 1. redni seji je sprejela poslovnik, s katerim je določila, da se vsaka obravnava posamezne vloge v sistemu </w:t>
      </w:r>
      <w:proofErr w:type="spellStart"/>
      <w:r>
        <w:t>eLicensing</w:t>
      </w:r>
      <w:proofErr w:type="spellEnd"/>
      <w:r>
        <w:t xml:space="preserve"> šteje kot samostojna elektronska seja. Poslovnik je bil potrjen na 2. dopisni seji.</w:t>
      </w:r>
    </w:p>
    <w:p w14:paraId="063F6AEE" w14:textId="77777777" w:rsidR="00892B8A" w:rsidRDefault="00892B8A" w:rsidP="00892B8A"/>
    <w:p w14:paraId="49F5D260" w14:textId="77777777" w:rsidR="00892B8A" w:rsidRDefault="00892B8A" w:rsidP="00892B8A">
      <w:r>
        <w:t>Kljub vzpostavitvi elektronskega načina dela KNIBDR še naprej uporablja tudi redne, dopisne in videokonferenčne seje, zlasti za obravnavo zahtevnejših in občutljivejših primerov izvozov ter za naloge, ki zahtevajo usklajevanje ali predhodno mnenje komisije, skladno z določbami Odloka o ustanovitvi KNIBDR.</w:t>
      </w:r>
    </w:p>
    <w:p w14:paraId="76948EC3" w14:textId="77777777" w:rsidR="00892B8A" w:rsidRDefault="00892B8A" w:rsidP="00892B8A"/>
    <w:p w14:paraId="3C35C048" w14:textId="77777777" w:rsidR="00892B8A" w:rsidRDefault="00892B8A" w:rsidP="00892B8A">
      <w:r>
        <w:t xml:space="preserve">Od imenovanja nove sestave komisije je KNIBDR izvedla 124 elektronskih sej ter šest rednih in dopisnih sej. Obravnavala je 121 vlog za izdajo individualnih izvoznih dovoljenj za blago z dvojno rabo, skupne vrednosti približno 42,1 milijona evrov. Pri vlogah za globalna izvozna dovoljenja je ocenjena vrednost znašala 1.253 milijonov evrov. Končno oceno dejanske vrednosti globalnih dovoljenj bo Ministrstvo za gospodarstvo, turizem in šport podalo na podlagi šestmesečnih poročil o </w:t>
      </w:r>
      <w:proofErr w:type="gramStart"/>
      <w:r>
        <w:t>realizaciji</w:t>
      </w:r>
      <w:proofErr w:type="gramEnd"/>
      <w:r>
        <w:t xml:space="preserve"> izvozov, saj se v praksi pogosto dogaja, da države izdajajo globalna dovoljenja brez točno določene vrednosti.</w:t>
      </w:r>
    </w:p>
    <w:p w14:paraId="751E644B" w14:textId="77777777" w:rsidR="00892B8A" w:rsidRDefault="00892B8A" w:rsidP="00892B8A"/>
    <w:p w14:paraId="29FA7ECB" w14:textId="77777777" w:rsidR="00892B8A" w:rsidRDefault="00892B8A" w:rsidP="00892B8A">
      <w:r>
        <w:t xml:space="preserve">Ob tem je treba poudariti, da dejanska količina izvoženega blaga pogosto odstopa od dovoljenih količin in posledičnih skupnih </w:t>
      </w:r>
      <w:proofErr w:type="spellStart"/>
      <w:r>
        <w:t>vrdnosti</w:t>
      </w:r>
      <w:proofErr w:type="spellEnd"/>
      <w:r>
        <w:t>, jih pa ne presega.</w:t>
      </w:r>
    </w:p>
    <w:p w14:paraId="09DEFACE" w14:textId="77777777" w:rsidR="00892B8A" w:rsidRDefault="00892B8A" w:rsidP="00892B8A"/>
    <w:p w14:paraId="4A486822" w14:textId="77777777" w:rsidR="00892B8A" w:rsidRDefault="00892B8A" w:rsidP="00892B8A">
      <w:r>
        <w:t>Poleg odločanja o izvoznih dovoljenjih je KNIBDR v letu 2024 opravljala tudi druge naloge, določene v Odloku o ustanovitvi KNIBDR, ki so podrobneje opisane v letnem poročilu komisije.</w:t>
      </w:r>
    </w:p>
    <w:p w14:paraId="56CFBC23" w14:textId="77777777" w:rsidR="00892B8A" w:rsidRDefault="00892B8A" w:rsidP="00892B8A"/>
    <w:p w14:paraId="7A71781B" w14:textId="77777777" w:rsidR="00892B8A" w:rsidRDefault="00892B8A" w:rsidP="00892B8A">
      <w:r>
        <w:t xml:space="preserve">Dobro postavljen sistem nadzora izvoza ter njegovo izvajanje je ključna podpora izvozu in pogoj za kredibilnost države v mednarodni trgovini ter pri pridobivanju visokotehnoloških tujih </w:t>
      </w:r>
      <w:proofErr w:type="gramStart"/>
      <w:r>
        <w:t>investicij</w:t>
      </w:r>
      <w:proofErr w:type="gramEnd"/>
      <w:r>
        <w:t>. Hkrati pa je izvajanje sistema z izdajo dovoljenj in potrdil varovanje slovenskih gospodarskih subjektov, ki ali proizvajajo</w:t>
      </w:r>
      <w:proofErr w:type="gramStart"/>
      <w:r>
        <w:t xml:space="preserve"> ali</w:t>
      </w:r>
      <w:proofErr w:type="gramEnd"/>
      <w:r>
        <w:t xml:space="preserve"> mednarodno trgujejo z blagom z dvojno rabo z visoko dodano vrednostjo, ter omogočanje zakonite trgovine na tem področju.</w:t>
      </w:r>
    </w:p>
    <w:p w14:paraId="6E19AB80" w14:textId="77777777" w:rsidR="00892B8A" w:rsidRDefault="00892B8A" w:rsidP="00892B8A"/>
    <w:p w14:paraId="69D54BE7" w14:textId="77777777" w:rsidR="00892B8A" w:rsidRDefault="00892B8A" w:rsidP="00892B8A">
      <w:r>
        <w:t xml:space="preserve">Sistem nadzora nad blagom in tehnologijo z dvojno rabo zajema izvoz, prenos znotraj EU, posredovanje, tranzit ter nudenje tehnične pomoči za blago z dvojno rabo. Z Uredbo (EU) 821/2021 Evropskega parlamenta in Sveta z dne 20. maja 2021 o vzpostavitvi režima Unije za nadzor izvoza, posredovanja, tehnične pomoči, tranzita in prenosa blaga z dvojno rabo (prenovitev) je omogočen </w:t>
      </w:r>
      <w:r>
        <w:lastRenderedPageBreak/>
        <w:t>dodaten avtonomni nadzor nad kibernetsko nadzorno opremo in novimi tehnologijami, ki še niso pod multilateralnim nadzorom. Osnovni nadzor temelji na okvirju in seznamih nadziranega blaga z dvojno rabo v multilateralnih izvoznih režimih za blago z dvojno rabo ter je dodatno urejen v okviru EU.</w:t>
      </w:r>
    </w:p>
    <w:p w14:paraId="36CDC73E" w14:textId="77777777" w:rsidR="00892B8A" w:rsidRDefault="00892B8A" w:rsidP="00892B8A"/>
    <w:p w14:paraId="0F6165B3" w14:textId="77777777" w:rsidR="00892B8A" w:rsidRDefault="00892B8A" w:rsidP="00892B8A">
      <w:r>
        <w:t xml:space="preserve">KNIBDR je v letu 2024 uspešno izvajala svoje naloge. Zaradi geopolitičnih sprememb in sprememb sistemov nadzora izvoza v nekaterih tretjih državah se pri delu vse pogosteje </w:t>
      </w:r>
      <w:proofErr w:type="gramStart"/>
      <w:r>
        <w:t>sooča</w:t>
      </w:r>
      <w:proofErr w:type="gramEnd"/>
      <w:r>
        <w:t xml:space="preserve"> z izzivi glede pristojnosti ter potrebo po boljši uskladitvi delovanja med ministrstvi in drugimi organi. Kljub temu komisija še naprej krepi svoja znanja in aktivno sodeluje pri oblikovanju strokovnih mnenj za učinkovit nadzor izvoza blaga z dvojno rabo.</w:t>
      </w:r>
    </w:p>
    <w:p w14:paraId="599F69A0" w14:textId="2E744A00" w:rsidR="00857A30" w:rsidRDefault="00892B8A" w:rsidP="00892B8A">
      <w:pPr>
        <w:pStyle w:val="Vir"/>
      </w:pPr>
      <w:r>
        <w:t>Vir: Ministrstvo za gospodarstvo, turizem in šport</w:t>
      </w:r>
    </w:p>
    <w:p w14:paraId="041989E0" w14:textId="3025674A" w:rsidR="007D34C8" w:rsidRDefault="007D34C8" w:rsidP="007D34C8">
      <w:pPr>
        <w:pStyle w:val="Naslov2"/>
      </w:pPr>
      <w:r>
        <w:t>Poročilo o izvajanju resolucije o nacionalnem programu preprečevanja in zatiranja kriminalitete</w:t>
      </w:r>
    </w:p>
    <w:p w14:paraId="20ECD163" w14:textId="13D6FC44" w:rsidR="007D34C8" w:rsidRDefault="007D34C8" w:rsidP="007D34C8">
      <w:r>
        <w:t>Vlada Republike Slovenije se je seznanila s poročilom delovne skupine o izvajanju Resolucije o nacionalnem programu preprečevanja in zatiranja kriminalitete za obdobje 2024–2028 za leto 2024 in ga posreduje državnemu zboru.</w:t>
      </w:r>
    </w:p>
    <w:p w14:paraId="38299829" w14:textId="77777777" w:rsidR="007D34C8" w:rsidRDefault="007D34C8" w:rsidP="007D34C8"/>
    <w:p w14:paraId="2EBF2487" w14:textId="77777777" w:rsidR="007D34C8" w:rsidRDefault="007D34C8" w:rsidP="007D34C8">
      <w:r>
        <w:t>Delovna skupina spremlja učinkovitost izvajanja programov in strategij iz resolucije, usklajuje delo nosilcev in sodelujočih ter pripravlja letna poročila o uspešnosti izvajanja resolucije. V njej sodelujejo predstavniki ministrstev in drugih organov, ki delujejo na področju preprečevanja in zatiranja kriminalitete.</w:t>
      </w:r>
    </w:p>
    <w:p w14:paraId="75E91B64" w14:textId="77777777" w:rsidR="007D34C8" w:rsidRDefault="007D34C8" w:rsidP="007D34C8"/>
    <w:p w14:paraId="0ACCCF0E" w14:textId="77777777" w:rsidR="007D34C8" w:rsidRDefault="007D34C8" w:rsidP="007D34C8">
      <w:r>
        <w:t>Poročilo vsebuje pregled izvajanja strategij in programov iz resolucije v letu 2024. V resoluciji je opredeljenih osem vsebinskih področij preprečevanja in zatiranja kriminalitete:</w:t>
      </w:r>
    </w:p>
    <w:p w14:paraId="6E300C26" w14:textId="278A6C98" w:rsidR="007D34C8" w:rsidRDefault="007D34C8" w:rsidP="007D34C8">
      <w:pPr>
        <w:pStyle w:val="Odstavekseznama"/>
        <w:numPr>
          <w:ilvl w:val="0"/>
          <w:numId w:val="11"/>
        </w:numPr>
      </w:pPr>
      <w:r>
        <w:t>varnost v lokalnih skupnostih,</w:t>
      </w:r>
    </w:p>
    <w:p w14:paraId="444EF342" w14:textId="6B08B3D2" w:rsidR="007D34C8" w:rsidRDefault="007D34C8" w:rsidP="007D34C8">
      <w:pPr>
        <w:pStyle w:val="Odstavekseznama"/>
        <w:numPr>
          <w:ilvl w:val="0"/>
          <w:numId w:val="11"/>
        </w:numPr>
      </w:pPr>
      <w:r>
        <w:t>nasilje,</w:t>
      </w:r>
    </w:p>
    <w:p w14:paraId="23D702B8" w14:textId="06EF618F" w:rsidR="007D34C8" w:rsidRDefault="007D34C8" w:rsidP="007D34C8">
      <w:pPr>
        <w:pStyle w:val="Odstavekseznama"/>
        <w:numPr>
          <w:ilvl w:val="0"/>
          <w:numId w:val="11"/>
        </w:numPr>
      </w:pPr>
      <w:r>
        <w:t>javno spodbujanje sovraštva in nestrpnosti – sovražni govor,</w:t>
      </w:r>
    </w:p>
    <w:p w14:paraId="0A901B39" w14:textId="7CA3EF26" w:rsidR="007D34C8" w:rsidRDefault="007D34C8" w:rsidP="007D34C8">
      <w:pPr>
        <w:pStyle w:val="Odstavekseznama"/>
        <w:numPr>
          <w:ilvl w:val="0"/>
          <w:numId w:val="11"/>
        </w:numPr>
      </w:pPr>
      <w:r>
        <w:t>gospodarska kriminaliteta, korupcija in varovanje finančnih interesov Slovenije in EU v povezavi z evropskimi sredstvi,</w:t>
      </w:r>
    </w:p>
    <w:p w14:paraId="55710D08" w14:textId="45773D57" w:rsidR="007D34C8" w:rsidRDefault="007D34C8" w:rsidP="007D34C8">
      <w:pPr>
        <w:pStyle w:val="Odstavekseznama"/>
        <w:numPr>
          <w:ilvl w:val="0"/>
          <w:numId w:val="11"/>
        </w:numPr>
      </w:pPr>
      <w:r>
        <w:t>ogrožanje javnega zdravja,</w:t>
      </w:r>
    </w:p>
    <w:p w14:paraId="6D0DD601" w14:textId="0E718E8D" w:rsidR="007D34C8" w:rsidRDefault="007D34C8" w:rsidP="007D34C8">
      <w:pPr>
        <w:pStyle w:val="Odstavekseznama"/>
        <w:numPr>
          <w:ilvl w:val="0"/>
          <w:numId w:val="11"/>
        </w:numPr>
      </w:pPr>
      <w:r>
        <w:t xml:space="preserve">informacijska varnost in kibernetska kriminaliteta, </w:t>
      </w:r>
    </w:p>
    <w:p w14:paraId="109F4A89" w14:textId="77777777" w:rsidR="007D34C8" w:rsidRDefault="007D34C8" w:rsidP="007D34C8">
      <w:pPr>
        <w:pStyle w:val="Odstavekseznama"/>
        <w:numPr>
          <w:ilvl w:val="0"/>
          <w:numId w:val="11"/>
        </w:numPr>
      </w:pPr>
      <w:r>
        <w:t>ogroženost Slovenije zaradi radikalizacije, ekstremnega nasilja in terorizma,</w:t>
      </w:r>
    </w:p>
    <w:p w14:paraId="5ED39530" w14:textId="49FB1C45" w:rsidR="007D34C8" w:rsidRDefault="007D34C8" w:rsidP="007D34C8">
      <w:pPr>
        <w:pStyle w:val="Odstavekseznama"/>
        <w:numPr>
          <w:ilvl w:val="0"/>
          <w:numId w:val="11"/>
        </w:numPr>
      </w:pPr>
      <w:r>
        <w:t>ogroženost Slovenije zaradi hudih in organiziranih oblik kriminalitete.</w:t>
      </w:r>
    </w:p>
    <w:p w14:paraId="412AA79F" w14:textId="3F1F9198" w:rsidR="00857A30" w:rsidRDefault="007D34C8" w:rsidP="007D34C8">
      <w:pPr>
        <w:pStyle w:val="Vir"/>
      </w:pPr>
      <w:r>
        <w:t>Vir: Ministrstvo za notranje zadeve</w:t>
      </w:r>
    </w:p>
    <w:p w14:paraId="409C1167" w14:textId="3272AD09" w:rsidR="00892B8A" w:rsidRDefault="00892B8A" w:rsidP="00892B8A">
      <w:pPr>
        <w:pStyle w:val="Naslov2"/>
      </w:pPr>
      <w:r>
        <w:t xml:space="preserve">Vlada se je seznanila s poročilom o nadzoru nad delom in poslovanjem AVK za leto 2024 </w:t>
      </w:r>
    </w:p>
    <w:p w14:paraId="47B16603" w14:textId="77777777" w:rsidR="00892B8A" w:rsidRDefault="00892B8A" w:rsidP="00892B8A">
      <w:r>
        <w:t>Vlada Republike Slovenije se je na današnji seji seznanila s poročilom Ministrstva za gospodarstvo, turizem in šport o opravljenem nadzoru nad delom in poslovanjem Javne agencije Republike Slovenije za varstvo konkurence (AVK) v letu 2024.</w:t>
      </w:r>
    </w:p>
    <w:p w14:paraId="7BA36437" w14:textId="77777777" w:rsidR="00892B8A" w:rsidRDefault="00892B8A" w:rsidP="00892B8A"/>
    <w:p w14:paraId="46489E19" w14:textId="77777777" w:rsidR="00892B8A" w:rsidRDefault="00892B8A" w:rsidP="00892B8A">
      <w:r>
        <w:t>AVK je neodvisna in samostojna institucija, ustanovljena za izvajanje nalog in pristojnosti po Zakonu o preprečevanju omejevanja konkurence.</w:t>
      </w:r>
    </w:p>
    <w:p w14:paraId="6AE5F255" w14:textId="77777777" w:rsidR="00892B8A" w:rsidRDefault="00892B8A" w:rsidP="00892B8A"/>
    <w:p w14:paraId="128E8B23" w14:textId="77777777" w:rsidR="00892B8A" w:rsidRDefault="00892B8A" w:rsidP="00892B8A">
      <w:r>
        <w:t>Na podlagi pregleda letnega poročila AVK in ob upoštevanju dejstva, da ministrstvo ne more in ne sme posegati v posamezne postopke, je ministrstvo ocenilo, da je Agencija uspešno dosegla cilje, opredeljene v programu dela za leto 2024. Prav tako je ministrstvo presodilo, da je direktor Agencije izpolnil cilje in pričakovane rezultate, določene v pogodbi o ciljih in pričakovanih rezultatih njegovega dela.</w:t>
      </w:r>
    </w:p>
    <w:p w14:paraId="017C72B1" w14:textId="77777777" w:rsidR="00892B8A" w:rsidRDefault="00892B8A" w:rsidP="00892B8A"/>
    <w:p w14:paraId="1E48B3E3" w14:textId="77777777" w:rsidR="00892B8A" w:rsidRDefault="00892B8A" w:rsidP="00892B8A">
      <w:r>
        <w:lastRenderedPageBreak/>
        <w:t>Vlada je ob tem sprejela predlog Sveta Agencije, da se presežek prihodkov nad odhodki v višini 7.677,08 evra nameni za izvajanje in razvoj dejavnosti AVK, usmerjenih v spodbujanje konkurenčne kulture ter krepitev učinkovite konkurence na trgu.</w:t>
      </w:r>
    </w:p>
    <w:p w14:paraId="45617E31" w14:textId="77777777" w:rsidR="00892B8A" w:rsidRDefault="00892B8A" w:rsidP="00892B8A">
      <w:pPr>
        <w:pStyle w:val="Vir"/>
      </w:pPr>
      <w:r>
        <w:t>Vir: Ministrstvo za gospodarstvo, turizem in šport</w:t>
      </w:r>
    </w:p>
    <w:p w14:paraId="5D0B5BBA" w14:textId="2DD948E2" w:rsidR="00FC28E1" w:rsidRDefault="00FC28E1" w:rsidP="00FC28E1">
      <w:pPr>
        <w:pStyle w:val="Naslov2"/>
      </w:pPr>
      <w:r>
        <w:t xml:space="preserve">Soglasje Ministrstvu za javno upravo za prevzemanje in plačevanje obveznosti preko načrtovanih pravic porabe v sprejetem proračunu </w:t>
      </w:r>
      <w:proofErr w:type="gramStart"/>
      <w:r>
        <w:t>za</w:t>
      </w:r>
      <w:proofErr w:type="gramEnd"/>
      <w:r>
        <w:t xml:space="preserve"> leto 2025</w:t>
      </w:r>
    </w:p>
    <w:p w14:paraId="5E3FBEB9" w14:textId="77777777" w:rsidR="00FC28E1" w:rsidRDefault="00FC28E1" w:rsidP="00FC28E1">
      <w:r>
        <w:t xml:space="preserve">Vlada Republike Slovenije je Ministrstvu za javno upravo dala soglasje, da lahko na </w:t>
      </w:r>
      <w:proofErr w:type="gramStart"/>
      <w:r>
        <w:t>nivoju</w:t>
      </w:r>
      <w:proofErr w:type="gramEnd"/>
      <w:r>
        <w:t xml:space="preserve"> predlagatelja finančnega načrta prevzema in plačuje obveznosti na namenskih proračunskih postavkah preko načrtovanih pravic porabe v sprejetem proračunu za leto 2025, vendar ne v večjem obsegu od vplačanih prihodkov v proračun, in sicer v bilanci odhodkov največ do skupne višine 32.447.619,41 evra.</w:t>
      </w:r>
    </w:p>
    <w:p w14:paraId="5B110B74" w14:textId="4E84A1BD" w:rsidR="00857A30" w:rsidRDefault="00FC28E1" w:rsidP="00FC28E1">
      <w:pPr>
        <w:pStyle w:val="Vir"/>
      </w:pPr>
      <w:r>
        <w:t>Vir: Ministrstvo za javno upravo</w:t>
      </w:r>
    </w:p>
    <w:p w14:paraId="2A1A2DF9" w14:textId="085EE0C9" w:rsidR="00986FFE" w:rsidRDefault="00986FFE" w:rsidP="00986FFE">
      <w:pPr>
        <w:pStyle w:val="Naslov2"/>
      </w:pPr>
      <w:r>
        <w:t>Vlada prerazporeja sredstva državnega proračuna</w:t>
      </w:r>
    </w:p>
    <w:p w14:paraId="5DFE69B6" w14:textId="77777777" w:rsidR="00986FFE" w:rsidRDefault="00986FFE" w:rsidP="00986FFE">
      <w:r>
        <w:t>Vlada je na današnji seji odločila o prerazporeditvah pravic porabe v letošnjem državnem proračunu.</w:t>
      </w:r>
    </w:p>
    <w:p w14:paraId="042A457C" w14:textId="77777777" w:rsidR="00986FFE" w:rsidRDefault="00986FFE" w:rsidP="00986FFE"/>
    <w:p w14:paraId="64B85BC5" w14:textId="77777777" w:rsidR="00986FFE" w:rsidRDefault="00986FFE" w:rsidP="00986FFE">
      <w:r>
        <w:t xml:space="preserve">Ministrstvo za gospodarstvo, turizem in šport med drugim prerazporeja pravice porabe v okviru svojega finančnega načrta v višini 4,6 milijona evrov z namenom zagotovitve zadostnih sredstev za sofinanciranje vseh prijavljenih projektov slovenskih občin v okviru Javnega razpisa za izbor sofinanciranja </w:t>
      </w:r>
      <w:proofErr w:type="gramStart"/>
      <w:r>
        <w:t>investicij</w:t>
      </w:r>
      <w:proofErr w:type="gramEnd"/>
      <w:r>
        <w:t xml:space="preserve"> v športno infrastrukturo v letu 2025. </w:t>
      </w:r>
    </w:p>
    <w:p w14:paraId="0FA5777A" w14:textId="77777777" w:rsidR="00986FFE" w:rsidRDefault="00986FFE" w:rsidP="00986FFE"/>
    <w:p w14:paraId="59E52DCE" w14:textId="77777777" w:rsidR="00986FFE" w:rsidRDefault="00986FFE" w:rsidP="00986FFE">
      <w:r>
        <w:t>Urad vlade Republike Slovenije za informacijsko varnost prav tako prerazporeja pravice porabe znotraj svojega finančnega načrta, in sicer v višini 460 tisoč evrov za namen dviga ravni informacijske varnosti. Navedena prerazporeditev bo omogočila prevzem in izvajanje ključnih nalog na tem področju.</w:t>
      </w:r>
    </w:p>
    <w:p w14:paraId="481B114D" w14:textId="77777777" w:rsidR="00986FFE" w:rsidRDefault="00986FFE" w:rsidP="00986FFE"/>
    <w:p w14:paraId="51738C2A" w14:textId="77777777" w:rsidR="00986FFE" w:rsidRDefault="00986FFE" w:rsidP="00986FFE">
      <w:r>
        <w:t xml:space="preserve">Ministrstvo za visoko šolstvo, znanost in inovacije prerazporeja sredstev na Ministrstvo za kulturo, in sicer 360 tisoč evrov za financiranje preureditve in izboljšanja funkcionalnosti prostorov na Turjaški 1 v Ljubljani za potrebe čitalnice v sklopu reševanja prostorske problematike Narodne in univerzitetne knjižnice Ljubljana do izgradnje nove zgradbe NUK II. </w:t>
      </w:r>
    </w:p>
    <w:p w14:paraId="405BB3B9" w14:textId="019D2AF8" w:rsidR="00857A30" w:rsidRDefault="00986FFE" w:rsidP="00986FFE">
      <w:pPr>
        <w:pStyle w:val="Vir"/>
      </w:pPr>
      <w:r>
        <w:t>Vir: Ministrstvo za finance</w:t>
      </w:r>
    </w:p>
    <w:p w14:paraId="20037E07" w14:textId="5B224407" w:rsidR="00555922" w:rsidRDefault="00555922" w:rsidP="00555922">
      <w:pPr>
        <w:pStyle w:val="Naslov2"/>
      </w:pPr>
      <w:r>
        <w:t xml:space="preserve">Vlada v veljavni Načrt razvojnih programov uvrstila projekt sanacije kuhinje </w:t>
      </w:r>
      <w:proofErr w:type="gramStart"/>
      <w:r>
        <w:t>centra</w:t>
      </w:r>
      <w:proofErr w:type="gramEnd"/>
      <w:r>
        <w:t xml:space="preserve"> šolskih in obšolskih dejavnosti v Murski Soboti</w:t>
      </w:r>
    </w:p>
    <w:p w14:paraId="3746C654" w14:textId="2903FA6F" w:rsidR="00555922" w:rsidRDefault="00555922" w:rsidP="00555922">
      <w:r>
        <w:t xml:space="preserve">Namen investicije je izboljšati pogoje </w:t>
      </w:r>
      <w:proofErr w:type="gramStart"/>
      <w:r>
        <w:t xml:space="preserve">in  </w:t>
      </w:r>
      <w:proofErr w:type="gramEnd"/>
      <w:r>
        <w:t xml:space="preserve">uporabo kuhinje ter spremljajočih prostorov zaradi dotrajanosti. Učenci iz širšega območja Slovenije so udeleženi v programih šole v naravi, zato je </w:t>
      </w:r>
      <w:proofErr w:type="gramStart"/>
      <w:r>
        <w:t>potrebno</w:t>
      </w:r>
      <w:proofErr w:type="gramEnd"/>
      <w:r>
        <w:t xml:space="preserve"> zagotoviti boljše pogoje za vse udeležence. Prenova kuhinje je torej nujna, saj bo objekt le tako lahko nemoteno nadaljeval </w:t>
      </w:r>
      <w:proofErr w:type="gramStart"/>
      <w:r>
        <w:t>z izvajanjem vsebin šole v naravi</w:t>
      </w:r>
      <w:proofErr w:type="gramEnd"/>
      <w:r>
        <w:t xml:space="preserve">. </w:t>
      </w:r>
    </w:p>
    <w:p w14:paraId="31334B79" w14:textId="77777777" w:rsidR="00555922" w:rsidRDefault="00555922" w:rsidP="00555922"/>
    <w:p w14:paraId="17E33B53" w14:textId="77777777" w:rsidR="00555922" w:rsidRDefault="00555922" w:rsidP="00555922">
      <w:r>
        <w:t xml:space="preserve">Celotna vrednost </w:t>
      </w:r>
      <w:proofErr w:type="gramStart"/>
      <w:r>
        <w:t>investicije</w:t>
      </w:r>
      <w:proofErr w:type="gramEnd"/>
      <w:r>
        <w:t xml:space="preserve"> z vključenim DDV znaša 1.121.740 evrov. Ministrstvo za vzgojo in izobraževanje bo v letu 2025 zagotovilo sofinancerska sredstva v višini 1.035.780 evrov in CŠOD v </w:t>
      </w:r>
      <w:proofErr w:type="gramStart"/>
      <w:r>
        <w:t xml:space="preserve">višini  </w:t>
      </w:r>
      <w:proofErr w:type="gramEnd"/>
      <w:r>
        <w:t>85.960 evrov.</w:t>
      </w:r>
    </w:p>
    <w:p w14:paraId="43E1D145" w14:textId="036794E1" w:rsidR="00857A30" w:rsidRDefault="00555922" w:rsidP="00555922">
      <w:pPr>
        <w:pStyle w:val="Vir"/>
      </w:pPr>
      <w:r>
        <w:t>Vir: Ministrstvo za vzgojo in izobraževanje</w:t>
      </w:r>
    </w:p>
    <w:p w14:paraId="36F40961" w14:textId="30801EC2" w:rsidR="00555922" w:rsidRDefault="00555922" w:rsidP="00555922">
      <w:pPr>
        <w:pStyle w:val="Naslov2"/>
      </w:pPr>
      <w:r>
        <w:t xml:space="preserve">Vlada spremenila vrednost </w:t>
      </w:r>
      <w:proofErr w:type="gramStart"/>
      <w:r>
        <w:t>investicijskih</w:t>
      </w:r>
      <w:proofErr w:type="gramEnd"/>
      <w:r>
        <w:t xml:space="preserve"> projektov v vzgojno-izobraževalne zavode</w:t>
      </w:r>
    </w:p>
    <w:p w14:paraId="09B03311" w14:textId="77777777" w:rsidR="00555922" w:rsidRDefault="00555922" w:rsidP="00555922">
      <w:r>
        <w:lastRenderedPageBreak/>
        <w:t>Vlada je v okviru veljavnega Načrta razvojnih programov za obdobje 2025-2028 sprejela sklep o vrednosti projektov Prizidava Srednje zdravstvene in kozmetične šole Celje, dozidave Osnovne šole Lenart in gradnji prizidka Osnovne šole Polzela.</w:t>
      </w:r>
    </w:p>
    <w:p w14:paraId="47A3BAAA" w14:textId="77777777" w:rsidR="00555922" w:rsidRDefault="00555922" w:rsidP="00555922"/>
    <w:p w14:paraId="6F3CDB08" w14:textId="77777777" w:rsidR="00555922" w:rsidRDefault="00555922" w:rsidP="00555922">
      <w:r>
        <w:t xml:space="preserve">Tekom izvajanje projekta Prizidava Srednje zdravstvene in kozmetične šole Celje je prišlo do povečanja njegove vrednosti. V skladu s potrjeno novelacijo </w:t>
      </w:r>
      <w:proofErr w:type="gramStart"/>
      <w:r>
        <w:t>Investicijskega</w:t>
      </w:r>
      <w:proofErr w:type="gramEnd"/>
      <w:r>
        <w:t xml:space="preserve"> programa je Ministrstvo za vzgojo in izobraževanje pripravilo predlog za povečanje vrednosti projekta v Načrtu razvojnih programov. Ocenjena vrednost projekta je prvotno znašala 3.994.076,29 evra. V aprilu 2025 je zavod na ministrstvo naslovil vlogo za zagotovitev dodatnih sredstev za projekt »Prizidava srednje zdravstvene in kozmetične šole Celje« v višini 621.135,64 evra v letu 2026. V vlogi je obrazložil vzroke za povišanje vrednosti </w:t>
      </w:r>
      <w:proofErr w:type="gramStart"/>
      <w:r>
        <w:t>investicije</w:t>
      </w:r>
      <w:proofErr w:type="gramEnd"/>
      <w:r>
        <w:t xml:space="preserve"> in spremembo dinamike črpanja sredstev zaradi zamika začetka gradnje. V skladu s potrjeno novelacijo Investicijskega programa je vlada potrdila povečano vrednosti projekta na 5.465.330,33 evra, to je za 1.471.254,04 evra oz. 36,48</w:t>
      </w:r>
      <w:proofErr w:type="gramStart"/>
      <w:r>
        <w:t>%</w:t>
      </w:r>
      <w:proofErr w:type="gramEnd"/>
      <w:r>
        <w:t xml:space="preserve">. Potrebna dodatna sredstva za zaprtje finančne konstrukcije projekta bo iz lastnih sredstev zagotovil zavod v višini 850.118,40 evra in Ministrstvo za vzgojo in izobraževanje v višini 621.135,64 evra. </w:t>
      </w:r>
    </w:p>
    <w:p w14:paraId="0CABA27E" w14:textId="77777777" w:rsidR="00555922" w:rsidRDefault="00555922" w:rsidP="00555922"/>
    <w:p w14:paraId="2DD2F2DF" w14:textId="115EB263" w:rsidR="00555922" w:rsidRDefault="00555922" w:rsidP="00555922">
      <w:r>
        <w:t xml:space="preserve">Izhodiščna vrednost projekta dozidave Osnovne šole Lenart je znašala 3.192.147,83 evra. Od tega je bilo predvideno, da bo projekt sofinanciralo ministrstvo v višini 1.829,473,33 evra, ostala sredstva v višini 1.362.674,70 evra pa bi zagotovila občina z lastnimi viri. Med izvedbo projekta je </w:t>
      </w:r>
      <w:proofErr w:type="gramStart"/>
      <w:r>
        <w:t>tekom priprave strokovnih podlag, načrtovanja, usklajevanja ter rasti cen in posledično upoštevanja časa inflacije z revalorizacijo</w:t>
      </w:r>
      <w:proofErr w:type="gramEnd"/>
      <w:r>
        <w:t>, prišlo do spremembe vrednosti investicije. Za dokončanje projekta bo občina zagotovila lastna sredstva v višini 4.785.318,31 evra. S strani EKO sklada, kjer je kandidirala za nepovratna sredstva</w:t>
      </w:r>
      <w:proofErr w:type="gramStart"/>
      <w:r>
        <w:t xml:space="preserve"> je</w:t>
      </w:r>
      <w:proofErr w:type="gramEnd"/>
      <w:r>
        <w:t xml:space="preserve"> za leto 2025 pridobila sredstva v višini 800.838,50 evra Sredstva sofinanciranja ministrstva, ki se je zaključilo v letu 2024 ostajajo nespremenjena in so znašala 1.829.473,11 evra. Končna vrednost </w:t>
      </w:r>
      <w:proofErr w:type="gramStart"/>
      <w:r>
        <w:t>investicije</w:t>
      </w:r>
      <w:proofErr w:type="gramEnd"/>
      <w:r>
        <w:t xml:space="preserve"> je predvidena v višini 7.415.629,92 evra. Gradnja se bo zaključila v letu 2025, ko bo objekt predan v uporabo.</w:t>
      </w:r>
    </w:p>
    <w:p w14:paraId="10BC1A79" w14:textId="77777777" w:rsidR="00555922" w:rsidRDefault="00555922" w:rsidP="00555922"/>
    <w:p w14:paraId="1B50560C" w14:textId="1CD54DBC" w:rsidR="00555922" w:rsidRDefault="00555922" w:rsidP="00555922">
      <w:r>
        <w:t xml:space="preserve">Izhodiščna vrednost projekta gradnje prizidka Osnovne šole Polzela je znašala 1.568.341,38 evra. Med izvedbo projekta je </w:t>
      </w:r>
      <w:proofErr w:type="gramStart"/>
      <w:r>
        <w:t>tekom priprave strokovnih podlag, načrtovanja, usklajevanja ter rasti cen in posledično upoštevanja časa inflacije z revalorizacijo</w:t>
      </w:r>
      <w:proofErr w:type="gramEnd"/>
      <w:r>
        <w:t xml:space="preserve">, prišlo do spremembe vrednosti investicije. Občina zaradi visoke vrednosti </w:t>
      </w:r>
      <w:proofErr w:type="gramStart"/>
      <w:r>
        <w:t>investicije</w:t>
      </w:r>
      <w:proofErr w:type="gramEnd"/>
      <w:r>
        <w:t xml:space="preserve"> ni bila zmožna pristopiti k izvedbi projekta celovito, zato se je odločila projekt izvesti po sklopih. Občina bo v letu 2025 izvedla prvo fazo investicijskega projekta - rekonstrukcijo šolskih prostorov v izmeri 198</w:t>
      </w:r>
      <w:proofErr w:type="gramStart"/>
      <w:r>
        <w:t xml:space="preserve"> m²</w:t>
      </w:r>
      <w:proofErr w:type="gramEnd"/>
      <w:r>
        <w:t xml:space="preserve">, za kar je pridobila sredstva s strani ministrstva v višini 718.295,63 evra. V začetku leta 2026 bo </w:t>
      </w:r>
      <w:proofErr w:type="gramStart"/>
      <w:r>
        <w:t>pričela z drugo fazo investicijskega projekta - dozidavo šole</w:t>
      </w:r>
      <w:proofErr w:type="gramEnd"/>
      <w:r>
        <w:t xml:space="preserve">. Občinski svet je v mesecu aprilu 2025 potrdil povečanje lastnih sredstev, ki znašajo 3.376.923,08 evra. Končna vrednost </w:t>
      </w:r>
      <w:proofErr w:type="gramStart"/>
      <w:r>
        <w:t>investicije</w:t>
      </w:r>
      <w:proofErr w:type="gramEnd"/>
      <w:r>
        <w:t xml:space="preserve"> je predvidena v višini 4.095.218,71 evra. Gradnja se bo </w:t>
      </w:r>
      <w:proofErr w:type="gramStart"/>
      <w:r>
        <w:t>pričela</w:t>
      </w:r>
      <w:proofErr w:type="gramEnd"/>
      <w:r>
        <w:t xml:space="preserve"> v letu 2025 in se bo skupaj z opremljanjem objekta in tehničnim prevzemom objekta zaključila do konca leta 2027.</w:t>
      </w:r>
    </w:p>
    <w:p w14:paraId="540319B9" w14:textId="7401C5C6" w:rsidR="00857A30" w:rsidRDefault="00555922" w:rsidP="00555922">
      <w:pPr>
        <w:pStyle w:val="Vir"/>
      </w:pPr>
      <w:r>
        <w:t>Vir: Ministrstvo za vzgojo in izobraževanje</w:t>
      </w:r>
    </w:p>
    <w:p w14:paraId="21E85ABB" w14:textId="7098B821" w:rsidR="00DC3A98" w:rsidRDefault="00DC3A98" w:rsidP="00DC3A98">
      <w:pPr>
        <w:pStyle w:val="Naslov2"/>
      </w:pPr>
      <w:r>
        <w:t>S</w:t>
      </w:r>
      <w:r>
        <w:t>premembe projekta 2611-22-0924 Gradnja objekta DSO Jezerca Bovec v veljavnem Načrtu razvojnih programov 2025–2028</w:t>
      </w:r>
    </w:p>
    <w:p w14:paraId="573DEA49" w14:textId="77777777" w:rsidR="00DC3A98" w:rsidRDefault="00DC3A98" w:rsidP="00DC3A98">
      <w:r>
        <w:t xml:space="preserve">Vlada je potrdila predlog sprememb projekta gradnje objekta Doma starejših občanov Jezerca Bovec v veljavnem Načrtu razvojnih programov 2025–2028. Ocenjena vrednost </w:t>
      </w:r>
      <w:proofErr w:type="gramStart"/>
      <w:r>
        <w:t>investicije</w:t>
      </w:r>
      <w:proofErr w:type="gramEnd"/>
      <w:r>
        <w:t xml:space="preserve"> po novelaciji investicijskega programa znaša 9.379.304,33 evra z DDV. Glavni namen investicije je izgradnja doma starejših občanov, s čimer bodo zagotovljene nove kapacitete, mreža domov pa se bo razširila tudi na bovško, kar bo omogočilo kvalitetno in strokovno ustrezno oskrbo, nego ter pomoč starejšim občanom v njihovem domačem okolju. V objektu, ki se bo gradil v letih 2025, 2026 in 2027, bo na voljo 64 postelj.</w:t>
      </w:r>
    </w:p>
    <w:p w14:paraId="2E2E657C" w14:textId="47DD02CA" w:rsidR="00DC3A98" w:rsidRPr="00DC3A98" w:rsidRDefault="00DC3A98" w:rsidP="00DC3A98">
      <w:pPr>
        <w:pStyle w:val="Vir"/>
      </w:pPr>
      <w:r>
        <w:t>Vir: Ministrstvo za solidarno prihodnost</w:t>
      </w:r>
    </w:p>
    <w:p w14:paraId="74C2D425" w14:textId="677E8F92" w:rsidR="001B7E2D" w:rsidRDefault="001B7E2D" w:rsidP="001B7E2D">
      <w:pPr>
        <w:pStyle w:val="Naslov2"/>
      </w:pPr>
      <w:r>
        <w:lastRenderedPageBreak/>
        <w:t xml:space="preserve">Sprememba vrednosti projekta »Informacijski sistem za izvajanje SKP 2023–2027 </w:t>
      </w:r>
    </w:p>
    <w:p w14:paraId="2E5FD0E5" w14:textId="097698DB" w:rsidR="001B7E2D" w:rsidRDefault="001B7E2D" w:rsidP="001B7E2D">
      <w:r>
        <w:t xml:space="preserve">Vlada je sprejela sklep, da se v veljavnem Načrtu razvojnih programov 2025–2028 spremeni vrednost projekta »Informacijski sistem za izvajanje SKP 2023–2027«. Gre za digitalizacijo procesov za izvajanje skupne kmetijske politike 2023–2027 (SKP 2023–2027), ki bo omogočala učinkovitejši in hitrejši vnos ter obravnavo vlog in zahtevkov za </w:t>
      </w:r>
      <w:proofErr w:type="gramStart"/>
      <w:r>
        <w:t>intervencije</w:t>
      </w:r>
      <w:proofErr w:type="gramEnd"/>
      <w:r>
        <w:t xml:space="preserve"> strateškega načrta SKP 2023–2027. Vzpostavitev integracije z zunanjimi podatkovnimi viri bo omogočila odpravljanje administrativnih ovir, ki jih imajo upravičenci pri vnosu vlog in zahtevkov za </w:t>
      </w:r>
      <w:proofErr w:type="gramStart"/>
      <w:r>
        <w:t>intervencije</w:t>
      </w:r>
      <w:proofErr w:type="gramEnd"/>
      <w:r>
        <w:t xml:space="preserve"> v okviru strateškega načrta. Izhodiščna vrednost se </w:t>
      </w:r>
      <w:proofErr w:type="gramStart"/>
      <w:r>
        <w:t>s</w:t>
      </w:r>
      <w:proofErr w:type="gramEnd"/>
      <w:r>
        <w:t xml:space="preserve"> 9.921.500 evrov zviša na 14.796.766,30 evra. </w:t>
      </w:r>
    </w:p>
    <w:p w14:paraId="2CDDB1D1" w14:textId="77777777" w:rsidR="001B7E2D" w:rsidRDefault="001B7E2D" w:rsidP="001B7E2D"/>
    <w:p w14:paraId="4FFB637C" w14:textId="77777777" w:rsidR="001B7E2D" w:rsidRDefault="001B7E2D" w:rsidP="001B7E2D">
      <w:r>
        <w:t xml:space="preserve">Vrednost projekta pri izgradnji informacijskega sistema se spreminja zaradi več kot podvojenega števila </w:t>
      </w:r>
      <w:proofErr w:type="gramStart"/>
      <w:r>
        <w:t>intervencij</w:t>
      </w:r>
      <w:proofErr w:type="gramEnd"/>
      <w:r>
        <w:t xml:space="preserve"> nove skupne kmetijske politike, uvedbe sistema za spremljanje površin prek satelitskih posnetkov, prenove vseh intervencij v okviru sistema razvoja podeželja, modula za geografsko označene fotografije, varnostne nadgradnje sistema v skladu z zahtevami DRO – SIPASS, izgradnje novega </w:t>
      </w:r>
      <w:proofErr w:type="spellStart"/>
      <w:r>
        <w:t>poročilnega</w:t>
      </w:r>
      <w:proofErr w:type="spellEnd"/>
      <w:r>
        <w:t xml:space="preserve"> sistema v skladu z zahtevami Evropske komisije, izgradnje </w:t>
      </w:r>
      <w:proofErr w:type="spellStart"/>
      <w:r>
        <w:t>poročilnega</w:t>
      </w:r>
      <w:proofErr w:type="spellEnd"/>
      <w:r>
        <w:t xml:space="preserve"> sistema za spremljanje izvajanja strateškega načrta, razvoja sistema za oceno kakovosti grafičnih podatkov, izgradnje sistema za spremljanje cen, podatkovne integracija vseh modulov in zagotovitve podatkov podatkovnemu skladišču MKGP. </w:t>
      </w:r>
    </w:p>
    <w:p w14:paraId="7A246D9A" w14:textId="77777777" w:rsidR="001B7E2D" w:rsidRDefault="001B7E2D" w:rsidP="001B7E2D"/>
    <w:p w14:paraId="628D99D0" w14:textId="77777777" w:rsidR="001B7E2D" w:rsidRDefault="001B7E2D" w:rsidP="001B7E2D">
      <w:r>
        <w:t xml:space="preserve">Informacijsko podprti procesi v okviru skupne evropske kmetijske politike in v kmetijstvu so ključni za učinkovito poslovanje kmetijskih gospodarstev in ostalih deležnikov z državo, prav tako prispevajo k zmanjševanju administrativnih ovir in </w:t>
      </w:r>
      <w:proofErr w:type="gramStart"/>
      <w:r>
        <w:t>nadaljnjem</w:t>
      </w:r>
      <w:proofErr w:type="gramEnd"/>
      <w:r>
        <w:t xml:space="preserve"> uvajanju elektronskega poslovanja, ki neposredno vpliva na učinkovitost izvajanja ukrepov.</w:t>
      </w:r>
    </w:p>
    <w:p w14:paraId="079E665C" w14:textId="6D52BDEA" w:rsidR="00857A30" w:rsidRDefault="001B7E2D" w:rsidP="001B7E2D">
      <w:r>
        <w:t>Vir: Ministrstvo za kmetijstvo, gozdarstvo in prehrano</w:t>
      </w:r>
    </w:p>
    <w:p w14:paraId="62C9832E" w14:textId="77777777" w:rsidR="00857A30" w:rsidRDefault="00857A30" w:rsidP="00857A30"/>
    <w:p w14:paraId="7EC4F0CE" w14:textId="194A69AE" w:rsidR="00AA6622" w:rsidRDefault="00AA6622" w:rsidP="00AA6622">
      <w:pPr>
        <w:pStyle w:val="Naslov2"/>
      </w:pPr>
      <w:r>
        <w:t xml:space="preserve">Opredelitev Republike Slovenije v sodnem postopku za sprejetje predhodne odločbe v zadevi C-164/25 Telekom Slovenije, ki na podlagi predloga Vrhovnega sodišča Republike Slovenije z dne 21. 1. 2025 teče pred Sodiščem </w:t>
      </w:r>
      <w:proofErr w:type="gramStart"/>
      <w:r>
        <w:t>Evropske Unije</w:t>
      </w:r>
      <w:proofErr w:type="gramEnd"/>
    </w:p>
    <w:p w14:paraId="77736C35" w14:textId="77777777" w:rsidR="00AA6622" w:rsidRDefault="00AA6622" w:rsidP="00AA6622">
      <w:r>
        <w:t xml:space="preserve">Vlada Republike Slovenije je na današnji seji sprejela stališče Republike Slovenije za sodelovanje v postopku predhodnega odločanja pred Sodiščem Evropske unije v zadevi C-164/25 Telekom Slovenije. Postopek se nanaša na vprašanje skladnosti določb Zakona o elektronskih komunikacijah (ZEKom-1) o reševanju medoperaterskih sporov z evropsko direktivo o znižanju stroškov za postavitev elektronskih komunikacijskih omrežij </w:t>
      </w:r>
      <w:proofErr w:type="gramStart"/>
      <w:r>
        <w:t>visokih</w:t>
      </w:r>
      <w:proofErr w:type="gramEnd"/>
      <w:r>
        <w:t xml:space="preserve"> hitrosti.</w:t>
      </w:r>
    </w:p>
    <w:p w14:paraId="36C5540A" w14:textId="77777777" w:rsidR="00AA6622" w:rsidRDefault="00AA6622" w:rsidP="00AA6622"/>
    <w:p w14:paraId="67BA588C" w14:textId="3BF1653B" w:rsidR="00857A30" w:rsidRDefault="00AA6622" w:rsidP="00AA6622">
      <w:r>
        <w:t xml:space="preserve">Vlada je sprejela stališče, da so določbe ZEKom-1 skladne z </w:t>
      </w:r>
      <w:proofErr w:type="gramStart"/>
      <w:r>
        <w:t>Direktivo</w:t>
      </w:r>
      <w:proofErr w:type="gramEnd"/>
      <w:r>
        <w:t xml:space="preserve"> 2014/61/EU, saj omogočajo reševanje sporov tako pred nacionalnim organom za reševanje sporov kot tudi pred pristojnimi sodišči, kar je v skladu z evropsko zakonodajo. Republiko Slovenijo bo v postopku zastopalo Državno odvetništvo v sodelovanju z Ministrstvom za digitalno preobrazbo.</w:t>
      </w:r>
    </w:p>
    <w:p w14:paraId="6853CC9B" w14:textId="583ABEF2" w:rsidR="00AA6622" w:rsidRDefault="00AA6622" w:rsidP="00AA6622">
      <w:pPr>
        <w:pStyle w:val="Vir"/>
      </w:pPr>
      <w:r w:rsidRPr="00AA6622">
        <w:t>Vir: Ministrstvo za digitalno preobrazbo</w:t>
      </w:r>
    </w:p>
    <w:p w14:paraId="287E5D36" w14:textId="643CBD8D" w:rsidR="00857A30" w:rsidRDefault="00857A30" w:rsidP="00AE5AE3">
      <w:pPr>
        <w:pStyle w:val="Naslov2"/>
      </w:pPr>
      <w:r>
        <w:t>Predlog odgovora Republike Slovenije v predsodnem postopku o ukrepih za visoko skupno raven kibernetske varnosti v Uniji</w:t>
      </w:r>
    </w:p>
    <w:p w14:paraId="72137C8E" w14:textId="77777777" w:rsidR="00AE5AE3" w:rsidRDefault="00AE5AE3" w:rsidP="00AE5AE3">
      <w:r>
        <w:t xml:space="preserve">Vlada Republike Slovenije je sprejela predlog odgovora Republike Slovenije na obrazloženo mnenje Evropske komisije zaradi </w:t>
      </w:r>
      <w:proofErr w:type="spellStart"/>
      <w:r>
        <w:t>nenotifikacije</w:t>
      </w:r>
      <w:proofErr w:type="spellEnd"/>
      <w:r>
        <w:t xml:space="preserve"> predpisov za prenos </w:t>
      </w:r>
      <w:proofErr w:type="gramStart"/>
      <w:r>
        <w:t>Direktive</w:t>
      </w:r>
      <w:proofErr w:type="gramEnd"/>
      <w:r>
        <w:t xml:space="preserve"> (EU) 2022/2555 Evropskega parlamenta in Sveta z dne 14. decembra 2022 o ukrepih za visoko skupno raven kibernetske varnosti v Uniji, spremembi Uredbe (EU) št. 910/2014 in Direktive (EU) 2018/1972 ter razveljavitvi Direktive (EU) 2016/1148 (direktiva NIS 2) v pravni red Republike Slovenije (kršitev št. 2024/0298).</w:t>
      </w:r>
    </w:p>
    <w:p w14:paraId="709E568F" w14:textId="77777777" w:rsidR="00AE5AE3" w:rsidRDefault="00AE5AE3" w:rsidP="00AE5AE3"/>
    <w:p w14:paraId="056B9946" w14:textId="77777777" w:rsidR="00AE5AE3" w:rsidRDefault="00AE5AE3" w:rsidP="00AE5AE3">
      <w:r>
        <w:t xml:space="preserve">Vlada podaja pojasnilo, da je direktiva NIS 2 že bila v polnosti </w:t>
      </w:r>
      <w:proofErr w:type="spellStart"/>
      <w:proofErr w:type="gramStart"/>
      <w:r>
        <w:t>prenešena</w:t>
      </w:r>
      <w:proofErr w:type="spellEnd"/>
      <w:proofErr w:type="gramEnd"/>
      <w:r>
        <w:t xml:space="preserve"> v pravni red Republike Slovenije z novim Zakonom o informacijski varnosti (</w:t>
      </w:r>
      <w:proofErr w:type="spellStart"/>
      <w:r>
        <w:t>ZInfV</w:t>
      </w:r>
      <w:proofErr w:type="spellEnd"/>
      <w:r>
        <w:t xml:space="preserve">-1), ki je stopil v veljavo 19. junija 2025. </w:t>
      </w:r>
    </w:p>
    <w:p w14:paraId="0BE3C682" w14:textId="77777777" w:rsidR="00AE5AE3" w:rsidRDefault="00AE5AE3" w:rsidP="00AE5AE3"/>
    <w:p w14:paraId="3C4325EB" w14:textId="77777777" w:rsidR="00AE5AE3" w:rsidRDefault="00AE5AE3" w:rsidP="00AE5AE3">
      <w:proofErr w:type="spellStart"/>
      <w:r>
        <w:t>ZInfV</w:t>
      </w:r>
      <w:proofErr w:type="spellEnd"/>
      <w:r>
        <w:t>-1 je bil sicer sprejet na seji Državnega zbora Republike Slovenije 23. maja 2025 in objavljen v Uradnem listu RS, št. 40/25, 4. junija 2025. Navedeni zakon je bil 4. junija 2025 že ustrezno notificiran Evropski komisiji</w:t>
      </w:r>
      <w:proofErr w:type="gramStart"/>
      <w:r>
        <w:t xml:space="preserve"> in</w:t>
      </w:r>
      <w:proofErr w:type="gramEnd"/>
      <w:r>
        <w:t xml:space="preserve"> sicer z vnosom vseh relevantnih podatkov, objavljenega besedila in korelacijske tabele v elektronsko </w:t>
      </w:r>
      <w:proofErr w:type="spellStart"/>
      <w:r>
        <w:t>notifikacijsko</w:t>
      </w:r>
      <w:proofErr w:type="spellEnd"/>
      <w:r>
        <w:t xml:space="preserve"> bazo Evropske komisije (THEMIS).</w:t>
      </w:r>
    </w:p>
    <w:p w14:paraId="01FF0993" w14:textId="77128727" w:rsidR="00AE5AE3" w:rsidRDefault="00AE5AE3" w:rsidP="00AE5AE3">
      <w:pPr>
        <w:pStyle w:val="Vir"/>
      </w:pPr>
      <w:r>
        <w:t>Vir: Urad za informacijsko varnost</w:t>
      </w:r>
    </w:p>
    <w:p w14:paraId="38543705" w14:textId="0973DD1C" w:rsidR="00044FEC" w:rsidRDefault="00044FEC" w:rsidP="00044FEC">
      <w:pPr>
        <w:pStyle w:val="Naslov2"/>
      </w:pPr>
      <w:r>
        <w:t>Slovenija podpira prizadevanja za zmanjšanje administrativnih bremen za kmete in upravne organe</w:t>
      </w:r>
    </w:p>
    <w:p w14:paraId="60D7C19C" w14:textId="77777777" w:rsidR="00044FEC" w:rsidRDefault="00044FEC" w:rsidP="00044FEC">
      <w:r>
        <w:t xml:space="preserve">Nova Evropska komisija je zmanjšanje birokracije uvrstila med prednostne naloge za leto 2025, s poudarkom na poenostavitvi skupne kmetijske politike (SKP) in zmanjšanju administrativnega bremena za kmete in upravne organe. Cilj svežnja za poenostavitev SKP je vsaj 25-odstotno zmanjšanje upravnih obveznosti, pri čemer se ukrepi navezujejo na širšo Vizijo za kmetijstvo in prehrano ter trajnostni razvoj podeželja. </w:t>
      </w:r>
    </w:p>
    <w:p w14:paraId="502B70E9" w14:textId="77777777" w:rsidR="00044FEC" w:rsidRDefault="00044FEC" w:rsidP="00044FEC"/>
    <w:p w14:paraId="2D97826C" w14:textId="77777777" w:rsidR="00044FEC" w:rsidRDefault="00044FEC" w:rsidP="00044FEC">
      <w:r>
        <w:t xml:space="preserve">Med ključnimi predlogi je možnost zvišanja pavšalnega plačila za male kmete do 2.500 evrov letno, kar naj bi okrepilo finančno stabilnost manjših kmetij in zmanjšalo upravne obremenitve. Mali kmetje bodo kljub temu lahko sodelovali tudi v </w:t>
      </w:r>
      <w:proofErr w:type="gramStart"/>
      <w:r>
        <w:t>okoljskih</w:t>
      </w:r>
      <w:proofErr w:type="gramEnd"/>
      <w:r>
        <w:t xml:space="preserve"> shemah, kar prinaša dodatne možnosti podpore. Predvideno je tudi enkratno plačilo do 50.000 evrov za razvoj in širitev malih kmetij. Zmanjšujejo se administrativna bremena ob ohranjanju </w:t>
      </w:r>
      <w:proofErr w:type="gramStart"/>
      <w:r>
        <w:t>okoljskih</w:t>
      </w:r>
      <w:proofErr w:type="gramEnd"/>
      <w:r>
        <w:t xml:space="preserve"> ciljev. Ekološki kmetje bodo izvzeti iz določenih zahtev pogojenosti. Omogočena bo večja prilagoditev </w:t>
      </w:r>
      <w:proofErr w:type="gramStart"/>
      <w:r>
        <w:t>okoljskih</w:t>
      </w:r>
      <w:proofErr w:type="gramEnd"/>
      <w:r>
        <w:t xml:space="preserve"> standardov lokalnim razmeram. Uvaja se tudi plačilo na panj ali na glavo velike živine za določene </w:t>
      </w:r>
      <w:proofErr w:type="gramStart"/>
      <w:r>
        <w:t>okoljske</w:t>
      </w:r>
      <w:proofErr w:type="gramEnd"/>
      <w:r>
        <w:t xml:space="preserve"> prakse. Poenostavlja se sistem kontrol – vsako kmetijsko gospodarstvo bo praviloma deležno le enega fizičnega nadzora na leto, z večjo uporabo satelitskega spremljanja. Digitalizacija bo temeljila na načelu »poročaš enkrat, uporabiš večkrat«, kar bo razbremenilo kmete in izboljšalo učinkovitost uprav. Uvede se možnost kriznega plačila v okviru strateških načrtov SKP (do tri odstotke nacionalne ovojnice), ki bo hitro odzivno in ne bo </w:t>
      </w:r>
      <w:proofErr w:type="gramStart"/>
      <w:r>
        <w:t>zahtevalo</w:t>
      </w:r>
      <w:proofErr w:type="gramEnd"/>
      <w:r>
        <w:t xml:space="preserve"> prispevkov kmetov. Okrepljena bo krizna rezerva na ravni EU, pri čemer bo prihodnja zakonodaja SKP bolje opredelila pogoje za njeno uporabo. Države članice bodo lahko hitreje prilagajale strateške načrte SKP brez predhodne odobritve Evropske komisije (če ne gre za strateške spremembe), kar povečuje </w:t>
      </w:r>
      <w:proofErr w:type="gramStart"/>
      <w:r>
        <w:t>fleksibilnost</w:t>
      </w:r>
      <w:proofErr w:type="gramEnd"/>
      <w:r>
        <w:t xml:space="preserve"> in pospešuje izvajanje ukrepov. Ukinja se letna potrditev smotrnosti in zahteva po uskladitvi z bodočo </w:t>
      </w:r>
      <w:proofErr w:type="gramStart"/>
      <w:r>
        <w:t>EU zakonodajo</w:t>
      </w:r>
      <w:proofErr w:type="gramEnd"/>
      <w:r>
        <w:t>.</w:t>
      </w:r>
    </w:p>
    <w:p w14:paraId="287332AA" w14:textId="77777777" w:rsidR="00044FEC" w:rsidRDefault="00044FEC" w:rsidP="00044FEC"/>
    <w:p w14:paraId="666B7DE5" w14:textId="77777777" w:rsidR="00044FEC" w:rsidRDefault="00044FEC" w:rsidP="00044FEC">
      <w:r>
        <w:t xml:space="preserve">Slovenija podpira prizadevanja za nadaljevanje poenostavitev izvajanja obveznosti in pravil skupne kmetijske politike in meni, da zmanjšanje administrativnih bremen za kmete in pristojne organe ter večja prožnost pri izvajanju pravil SKP predstavljata pomemben korak k bolj učinkoviti in uporabnikom prijazni politiki. Iz tega razloga podpira novelo Uredbe 2021/2115 glede sistema pogojevanja, vrst ukrepov v obliki neposrednih plačil, vrst ukrepov v določenih sektorjih in razvoja podeželja ter letnih poročil o izvajanju, ter novelo Uredbe 2021/2116 glede upravljanja podatkov in </w:t>
      </w:r>
      <w:proofErr w:type="gramStart"/>
      <w:r>
        <w:t>interoperabilnosti</w:t>
      </w:r>
      <w:proofErr w:type="gramEnd"/>
      <w:r>
        <w:t xml:space="preserve">, začasnih ustavitev izplačil, letnih poročil o izvajanju, pregledov in sankcij. Pri tem pa opozarja, da so potrebna dodatna pojasnila glede nekaterih tehničnih vidikov predlaganih ukrepov. </w:t>
      </w:r>
    </w:p>
    <w:p w14:paraId="01246872" w14:textId="44C9A7BD" w:rsidR="00857A30" w:rsidRDefault="00044FEC" w:rsidP="00044FEC">
      <w:pPr>
        <w:pStyle w:val="Vir"/>
      </w:pPr>
      <w:r>
        <w:t>Vir: Ministrstvo za kmetijstvo, gozdarstvo in prehrano</w:t>
      </w:r>
    </w:p>
    <w:p w14:paraId="09F38BE8" w14:textId="17F8411F" w:rsidR="000E795D" w:rsidRDefault="000E795D" w:rsidP="000E795D">
      <w:pPr>
        <w:pStyle w:val="Naslov2"/>
      </w:pPr>
      <w:r>
        <w:t>Predlog stališča o vzpostavitvi skupnega sistema za vračanje državljanov tretjih držav</w:t>
      </w:r>
    </w:p>
    <w:p w14:paraId="5A3F7E44" w14:textId="77777777" w:rsidR="000E795D" w:rsidRDefault="000E795D" w:rsidP="000E795D">
      <w:r>
        <w:t xml:space="preserve">Vlada Republike Slovenije je sprejela predlog stališča Republike Slovenije k zadevi Predlog uredbe Evropskega parlamenta in Sveta o vzpostavitvi skupnega sistema za vračanje državljanov tretjih držav, ki nezakonito prebivajo v Uniji, ter razveljavitvi </w:t>
      </w:r>
      <w:proofErr w:type="gramStart"/>
      <w:r>
        <w:t>Direktive</w:t>
      </w:r>
      <w:proofErr w:type="gramEnd"/>
      <w:r>
        <w:t xml:space="preserve"> 2008/115/ES Evropskega parlamenta in Sveta, Direktive Sveta 2001/40/ES in Odločbe Sveta 2004/191/ES - 6917/25.</w:t>
      </w:r>
    </w:p>
    <w:p w14:paraId="50DBEDEA" w14:textId="77777777" w:rsidR="000E795D" w:rsidRDefault="000E795D" w:rsidP="000E795D"/>
    <w:p w14:paraId="20430379" w14:textId="77777777" w:rsidR="000E795D" w:rsidRDefault="000E795D" w:rsidP="000E795D">
      <w:r>
        <w:lastRenderedPageBreak/>
        <w:t xml:space="preserve">Republika Slovenija se zaveda, da je vračanje eden od temeljnih vidikov celovite in verodostojne </w:t>
      </w:r>
      <w:proofErr w:type="gramStart"/>
      <w:r>
        <w:t>migracijske</w:t>
      </w:r>
      <w:proofErr w:type="gramEnd"/>
      <w:r>
        <w:t xml:space="preserve"> politike ter predstavlja pomemben element tudi za dobro delovanje schengenskega območja. Ob tem prepoznava pomen vzpostavitve skupnega sistema za vračanje kot osrednjega stebra pakta o migracijah in azilu, ki pa mora temeljiti na jasnih in izvedljivih določbah, omogočati razumno </w:t>
      </w:r>
      <w:proofErr w:type="gramStart"/>
      <w:r>
        <w:t>fleksibilnost</w:t>
      </w:r>
      <w:proofErr w:type="gramEnd"/>
      <w:r>
        <w:t xml:space="preserve"> in pravno varnost, hkrati pa ne predstavljati prevelikega upravnega bremena za pristojne organe držav članic.</w:t>
      </w:r>
    </w:p>
    <w:p w14:paraId="45E90E27" w14:textId="77777777" w:rsidR="000E795D" w:rsidRDefault="000E795D" w:rsidP="000E795D"/>
    <w:p w14:paraId="18D0B5CD" w14:textId="77777777" w:rsidR="000E795D" w:rsidRDefault="000E795D" w:rsidP="000E795D">
      <w:r>
        <w:t>Republika Slovenija načelno podpira predlog uredbe, med pogajanji pa si bo prizadevala tudi za določene izboljšave.</w:t>
      </w:r>
    </w:p>
    <w:p w14:paraId="4C136101" w14:textId="19DB45D4" w:rsidR="00857A30" w:rsidRDefault="000E795D" w:rsidP="000E795D">
      <w:pPr>
        <w:pStyle w:val="Vir"/>
      </w:pPr>
      <w:r>
        <w:t>Vir: Ministrstvo za notranje zadeve</w:t>
      </w:r>
    </w:p>
    <w:p w14:paraId="54FFA6E6" w14:textId="5686C12B" w:rsidR="00407CA0" w:rsidRDefault="00407CA0" w:rsidP="00407CA0">
      <w:pPr>
        <w:pStyle w:val="Naslov2"/>
      </w:pPr>
      <w:r>
        <w:t>Vlada podprla predlog stališča do novih pogajalskih smernic EU za sklenitev prostotrgovinskih sporazumov z državami Zaliva</w:t>
      </w:r>
    </w:p>
    <w:p w14:paraId="56DBBFE1" w14:textId="77777777" w:rsidR="00407CA0" w:rsidRDefault="00407CA0" w:rsidP="00407CA0">
      <w:r>
        <w:t xml:space="preserve">Vlada Republike Slovenije je na današnji seji obravnavala in podprla predlog stališča Republike Slovenije k Priporočilu sklepa Sveta Evropske unije o novih pogajalskih smernicah za sklenitev regionalnega prostotrgovinskega sporazuma ter dvostranskih prostotrgovinskih sporazumov z državami Sveta za sodelovanje arabskih zalivskih držav (Gulf </w:t>
      </w:r>
      <w:proofErr w:type="spellStart"/>
      <w:r>
        <w:t>Cooperation</w:t>
      </w:r>
      <w:proofErr w:type="spellEnd"/>
      <w:r>
        <w:t xml:space="preserve"> Council – GCC), ki vključujejo Kraljevino Bahrajn, Državo Katar, Državo Kuvajt, Sultanat Oman, Kraljevino </w:t>
      </w:r>
      <w:proofErr w:type="spellStart"/>
      <w:r>
        <w:t>Saudovo</w:t>
      </w:r>
      <w:proofErr w:type="spellEnd"/>
      <w:r>
        <w:t xml:space="preserve"> Arabijo in Združene arabske emirate.</w:t>
      </w:r>
    </w:p>
    <w:p w14:paraId="475D104D" w14:textId="77777777" w:rsidR="00407CA0" w:rsidRDefault="00407CA0" w:rsidP="00407CA0"/>
    <w:p w14:paraId="58473396" w14:textId="77777777" w:rsidR="00407CA0" w:rsidRDefault="00407CA0" w:rsidP="00407CA0">
      <w:r>
        <w:t>Predlog stališča je pripravilo Ministrstvo za gospodarstvo, turizem in šport v sodelovanju z Ministrstvom za zunanje in evropske zadeve in ga uskladilo z drugimi pristojnimi resorji. Končno stališče bo sprejel Državni zbor.</w:t>
      </w:r>
    </w:p>
    <w:p w14:paraId="3E92E49F" w14:textId="77777777" w:rsidR="00407CA0" w:rsidRDefault="00407CA0" w:rsidP="00407CA0"/>
    <w:p w14:paraId="24598D84" w14:textId="77777777" w:rsidR="00407CA0" w:rsidRDefault="00407CA0" w:rsidP="00407CA0">
      <w:r>
        <w:t>Evropska unija in države GCC so prva pogajanja začele že leta 1989, vendar so ta potekala z vmesnimi prekinitvami. Leta 2024 je bil dosežen dogovor o ponovni oživitvi pogajanj, Evropska komisija pa je maja 2025 predložila nove pogajalske smernice, ki bodo nadomestile dosedanje. Te nove smernice prinašajo večjo prožnost, saj omogočajo tako regionalni dogovor z GCC kot tudi dvostranske sporazume z vsako od posameznih držav.</w:t>
      </w:r>
    </w:p>
    <w:p w14:paraId="1A96CE0F" w14:textId="77777777" w:rsidR="00407CA0" w:rsidRDefault="00407CA0" w:rsidP="00407CA0"/>
    <w:p w14:paraId="266BC568" w14:textId="77777777" w:rsidR="00407CA0" w:rsidRDefault="00407CA0" w:rsidP="00407CA0">
      <w:r>
        <w:t xml:space="preserve">Predlagani prostotrgovinski sporazumi bodo omogočili širše in poglobljeno sodelovanje na področjih, kot so trgovina z blagom in storitvami, neposredne tuje naložbe, javna naročila, digitalna trgovina, trajnostni razvoj, podnebne zaveze in skrb za mala in srednja podjetja. Ključni poudarek bo tudi na spoštovanju mednarodnih </w:t>
      </w:r>
      <w:proofErr w:type="gramStart"/>
      <w:r>
        <w:t>okoljskih</w:t>
      </w:r>
      <w:proofErr w:type="gramEnd"/>
      <w:r>
        <w:t xml:space="preserve"> in delovnih standardov ter zavezah iz Pariškega podnebnega sporazuma.</w:t>
      </w:r>
    </w:p>
    <w:p w14:paraId="0F80E3DA" w14:textId="77777777" w:rsidR="00407CA0" w:rsidRDefault="00407CA0" w:rsidP="00407CA0"/>
    <w:p w14:paraId="5EB1D718" w14:textId="77777777" w:rsidR="00407CA0" w:rsidRDefault="00407CA0" w:rsidP="00407CA0">
      <w:r>
        <w:t>Čeprav je trenutna blagovna menjava Slovenije z večino držav GCC (z izjemo Savdske Arabije in ZAE) razmeroma skromna, novi sporazumi odpirajo možnosti za okrepljeno sodelovanje na področjih energetike, logistike, IKT in upravljanja z viri, kot je voda. S tem bo Republika Slovenija prispevala h krepitvi enakih konkurenčnih pogojev za vse gospodarske subjekte držav članic EU in večji gospodarski varnosti Evropske unije.</w:t>
      </w:r>
    </w:p>
    <w:p w14:paraId="4500CCCE" w14:textId="70C328D7" w:rsidR="00857A30" w:rsidRDefault="00407CA0" w:rsidP="00407CA0">
      <w:pPr>
        <w:pStyle w:val="Vir"/>
      </w:pPr>
      <w:r>
        <w:t>Vir: Ministrstvo za gospodarstvo, turizem in šport</w:t>
      </w:r>
    </w:p>
    <w:p w14:paraId="55801ED7" w14:textId="3B8D97C5" w:rsidR="003C33AA" w:rsidRDefault="003C33AA" w:rsidP="003C33AA">
      <w:pPr>
        <w:pStyle w:val="Naslov2"/>
      </w:pPr>
      <w:r>
        <w:t xml:space="preserve">Stališče o okrepljenem sporazumu in partnerstvu in sodelovanju med EU ter Republiko Uzbekistan </w:t>
      </w:r>
    </w:p>
    <w:p w14:paraId="4421989B" w14:textId="77777777" w:rsidR="003C33AA" w:rsidRDefault="003C33AA" w:rsidP="003C33AA">
      <w:r>
        <w:t xml:space="preserve">Vlada Republike Slovenije je sprejela stališče Republike Slovenije k zadevi Predlog sklepa Sveta o podpisu, v imenu Evropske unije, Okrepljenega sporazuma o partnerstvu in sodelovanju med Evropsko unijo na eni strani ter Republiko Uzbekistan na drugi strani. Slovenija podpira predlog sklepa Sveta o podpisu. </w:t>
      </w:r>
    </w:p>
    <w:p w14:paraId="57E83EA9" w14:textId="77777777" w:rsidR="003C33AA" w:rsidRDefault="003C33AA" w:rsidP="003C33AA"/>
    <w:p w14:paraId="03B8B6C2" w14:textId="77777777" w:rsidR="003C33AA" w:rsidRDefault="003C33AA" w:rsidP="003C33AA">
      <w:r>
        <w:t xml:space="preserve">Okrepljeni sporazum o partnerstvu in sodelovanju vsebuje ustaljene klavzule EU o človekovih pravicah, Mednarodnem kazenskem sodišču, orožju za množično uničevanje, osebnem in lahkem orožju ter boju proti terorizmu. Vključuje tudi sodelovanje na področjih, kot so zdravje, okolje, podnebne spremembe, energetika, davki, izobraževanje in kultura, delo, zaposlovanje in socialne zadeve, znanost in tehnologija ter promet. Sporazum poleg tega obravnava pravno sodelovanje, pravno državo, pranje denarja in financiranje terorizma, organizirani kriminal in korupcijo. Pričakuje se, da bo trgovinski del Sporazuma zagotovil boljše regulativno okolje za gospodarske subjekte in tako prinesel znatne gospodarske koristi za podjetja EU. </w:t>
      </w:r>
    </w:p>
    <w:p w14:paraId="6047F064" w14:textId="77777777" w:rsidR="003C33AA" w:rsidRDefault="003C33AA" w:rsidP="003C33AA"/>
    <w:p w14:paraId="42DE03D8" w14:textId="77777777" w:rsidR="003C33AA" w:rsidRDefault="003C33AA" w:rsidP="003C33AA">
      <w:r>
        <w:t xml:space="preserve">Sporazum vzpostavlja institucionalni okvir, ki ga </w:t>
      </w:r>
      <w:proofErr w:type="gramStart"/>
      <w:r>
        <w:t>sestavljajo</w:t>
      </w:r>
      <w:proofErr w:type="gramEnd"/>
      <w:r>
        <w:t xml:space="preserve"> Svet za sodelovanje, Odbor za sodelovanje in Parlamentarni odbor za in Pododbor za pravice intelektualne lastnine, ter omogoča ustanovitev pododborov in drugih organov v pomoč Svetu za sodelovanje. Prav tako vzpostavlja mehanizem za izpolnjevanje obveznosti, da se obravnava neizpolnjevanje obveznosti ene od pogodbenic, prevzetih na podlagi Sporazuma. Ko bo ta sporazum začel veljati, bo nadomestil Sporazum o partnerstvu in sodelovanju med Evropskimi skupnostmi in njihovimi državami članicami na eni strani in Republiko Uzbekistan na drugi strani, ki je bil podpisan 21. junija 1996.</w:t>
      </w:r>
    </w:p>
    <w:p w14:paraId="6F9A8242" w14:textId="57435106" w:rsidR="00857A30" w:rsidRDefault="003C33AA" w:rsidP="003C33AA">
      <w:pPr>
        <w:pStyle w:val="Vir"/>
      </w:pPr>
      <w:r>
        <w:t>Vir: Ministrstvo za zunanje in evropske zadeve</w:t>
      </w:r>
    </w:p>
    <w:p w14:paraId="30C342C2" w14:textId="59BFE1F0" w:rsidR="003C33AA" w:rsidRDefault="003C33AA" w:rsidP="003C33AA">
      <w:pPr>
        <w:pStyle w:val="Naslov2"/>
      </w:pPr>
      <w:r>
        <w:t>Sporazum med Slovenijo in Jordanijo o odpravi vizumske obveznosti za kratkoročno bivanje za imetnike diplomatskih in službenih potnih listov</w:t>
      </w:r>
    </w:p>
    <w:p w14:paraId="609E2C05" w14:textId="77777777" w:rsidR="003C33AA" w:rsidRDefault="003C33AA" w:rsidP="003C33AA">
      <w:r>
        <w:t>Vlada Republike Slovenije je izdala Uredbo o ratifikaciji Sporazuma med Vlado Republike Slovenije in Vlado Hašemitske kraljevine Jordanije o odpravi vizumske obveznosti za kratkoročno bivanje za imetnike diplomatskih in službenih potnih listov, podpisanega v Amanu 2. februarja 2025</w:t>
      </w:r>
      <w:proofErr w:type="gramStart"/>
      <w:r>
        <w:t xml:space="preserve"> in</w:t>
      </w:r>
      <w:proofErr w:type="gramEnd"/>
      <w:r>
        <w:t xml:space="preserve"> jo objavi v Uradnem listu Republike Slovenije.</w:t>
      </w:r>
    </w:p>
    <w:p w14:paraId="2F0BA504" w14:textId="77777777" w:rsidR="003C33AA" w:rsidRDefault="003C33AA" w:rsidP="003C33AA"/>
    <w:p w14:paraId="6CC66530" w14:textId="77777777" w:rsidR="003C33AA" w:rsidRDefault="003C33AA" w:rsidP="003C33AA">
      <w:r>
        <w:t>V skladu z Uredbo bodo državljani obeh pogodbenic, ki so imetniki diplomatskih ali službenih potnih listov</w:t>
      </w:r>
      <w:proofErr w:type="gramStart"/>
      <w:r>
        <w:t xml:space="preserve"> izvzeti</w:t>
      </w:r>
      <w:proofErr w:type="gramEnd"/>
      <w:r>
        <w:t xml:space="preserve"> iz vizumske obveznosti za potovanje na ozemlje pogodbenic, za bivanje, ki ne presega 90 dni v katerem koli 180-dnevnem obdobju.</w:t>
      </w:r>
    </w:p>
    <w:p w14:paraId="07392B77" w14:textId="2BE6A19A" w:rsidR="00857A30" w:rsidRDefault="003C33AA" w:rsidP="003C33AA">
      <w:pPr>
        <w:pStyle w:val="Vir"/>
      </w:pPr>
      <w:r>
        <w:t>Vir: Ministrstvo za zunanje in evropske zadeve</w:t>
      </w:r>
    </w:p>
    <w:p w14:paraId="5A53CD48" w14:textId="110771FC" w:rsidR="003C33AA" w:rsidRDefault="003C33AA" w:rsidP="003C33AA">
      <w:pPr>
        <w:pStyle w:val="Naslov2"/>
      </w:pPr>
      <w:r>
        <w:t>Sporazum v zvezi z organizacijo 23. rednega zasedanja pogodbenic Konvencije o varstvu morskega okolja in obalnih območij Sredozemlja in njenih protokolov</w:t>
      </w:r>
    </w:p>
    <w:p w14:paraId="33B861F2" w14:textId="77777777" w:rsidR="003C33AA" w:rsidRDefault="003C33AA" w:rsidP="003C33AA">
      <w:r>
        <w:t xml:space="preserve">Vlada Republike Slovenije je izdala Uredbo o ratifikaciji Sporazuma med Vlado Republike Slovenije in ZN (kot jo zastopa UNEP - United </w:t>
      </w:r>
      <w:proofErr w:type="spellStart"/>
      <w:r>
        <w:t>Nations</w:t>
      </w:r>
      <w:proofErr w:type="spellEnd"/>
      <w:r>
        <w:t xml:space="preserve"> </w:t>
      </w:r>
      <w:proofErr w:type="spellStart"/>
      <w:r>
        <w:t>Environment</w:t>
      </w:r>
      <w:proofErr w:type="spellEnd"/>
      <w:r>
        <w:t xml:space="preserve"> </w:t>
      </w:r>
      <w:proofErr w:type="spellStart"/>
      <w:r>
        <w:t>Programme</w:t>
      </w:r>
      <w:proofErr w:type="spellEnd"/>
      <w:r>
        <w:t>) v zvezi z organizacijo 23. rednega zasedanja pogodbenic Konvencije o varstvu morskega okolja in obalnih območij Sredozemlja (Barcelonske konvencije) in njenih protokolov.</w:t>
      </w:r>
    </w:p>
    <w:p w14:paraId="70F1D4DE" w14:textId="5F29815F" w:rsidR="00857A30" w:rsidRDefault="003C33AA" w:rsidP="003C33AA">
      <w:pPr>
        <w:pStyle w:val="Vir"/>
      </w:pPr>
      <w:r>
        <w:t>Vir: Ministrstvo za zunanje in evropske zadeve</w:t>
      </w:r>
    </w:p>
    <w:p w14:paraId="132AC448" w14:textId="721E3B77" w:rsidR="00037669" w:rsidRDefault="00037669" w:rsidP="00037669">
      <w:pPr>
        <w:pStyle w:val="Naslov2"/>
      </w:pPr>
      <w:r>
        <w:t xml:space="preserve">Podpis Dogovora med </w:t>
      </w:r>
      <w:proofErr w:type="gramStart"/>
      <w:r>
        <w:t>Centrom</w:t>
      </w:r>
      <w:proofErr w:type="gramEnd"/>
      <w:r>
        <w:t xml:space="preserve"> za razvoj financ in Ministrstvom za zunanje in evropske zadeve Republike Slovenije o prispevku za izvedbo projektov na področju mednarodnega razvojnega sodelovanja v državah Zahodnega Balkana in Evropskega sosedstva</w:t>
      </w:r>
    </w:p>
    <w:p w14:paraId="0C6D7406" w14:textId="77777777" w:rsidR="00037669" w:rsidRDefault="00037669" w:rsidP="00037669">
      <w:r>
        <w:t xml:space="preserve">Vlada Republike Slovenije se je seznanila z Informacijo </w:t>
      </w:r>
      <w:proofErr w:type="gramStart"/>
      <w:r>
        <w:t>o nameravanem podpisu Dogovora med Centrom za razvoj financ (CEF) in Ministrstvom za zunanje in evropske zadeve Republike Slovenije (MZEZ) o prispevku za izvedbo projektov</w:t>
      </w:r>
      <w:proofErr w:type="gramEnd"/>
      <w:r>
        <w:t xml:space="preserve"> na področju mednarodnega razvojnega sodelovanja v državah Zahodnega Balkana in Evropskega sosedstva za obdobje 2025-2027. </w:t>
      </w:r>
    </w:p>
    <w:p w14:paraId="5E08CE4A" w14:textId="77777777" w:rsidR="00037669" w:rsidRDefault="00037669" w:rsidP="00037669"/>
    <w:p w14:paraId="12DECAFF" w14:textId="77777777" w:rsidR="00037669" w:rsidRDefault="00037669" w:rsidP="00037669">
      <w:r>
        <w:lastRenderedPageBreak/>
        <w:t>Gre za znesek v višini 3.355.000 evrov: 790.000 evrov v letu 2025, 1.220.000 evrov v letu 2026 in 1.345.000 evrov v letu 2027 za izvedbo projektov na področju mednarodnega razvojnega sodelovanja v državah Zahodnega Balkana in Evropskega sosedstva.</w:t>
      </w:r>
    </w:p>
    <w:p w14:paraId="081E5183" w14:textId="77777777" w:rsidR="00037669" w:rsidRDefault="00037669" w:rsidP="00037669"/>
    <w:p w14:paraId="0E29BCE6" w14:textId="77777777" w:rsidR="00037669" w:rsidRDefault="00037669" w:rsidP="00037669">
      <w:r>
        <w:t xml:space="preserve">CEF deluje na področju upravljanja javnih financ in </w:t>
      </w:r>
      <w:proofErr w:type="gramStart"/>
      <w:r>
        <w:t>centralnega</w:t>
      </w:r>
      <w:proofErr w:type="gramEnd"/>
      <w:r>
        <w:t xml:space="preserve"> bančništva in podpira izgradnjo kapacitet finančnih uslužbencev jugovzhodne Evrope. Izvaja programe certificiranja za računovodje in notranje revizorje v javnem sektorju, organizira delavnice, študijske obiske in druge </w:t>
      </w:r>
      <w:proofErr w:type="gramStart"/>
      <w:r>
        <w:t>dogodke</w:t>
      </w:r>
      <w:proofErr w:type="gramEnd"/>
      <w:r>
        <w:t xml:space="preserve">. S ciljem spodbujanja regionalnega sodelovanja </w:t>
      </w:r>
      <w:proofErr w:type="gramStart"/>
      <w:r>
        <w:t>v</w:t>
      </w:r>
      <w:proofErr w:type="gramEnd"/>
      <w:r>
        <w:t xml:space="preserve"> JV Evropi razvija in sodeluje v regionalnih projektih ter podpira regionalni dialog na posameznih področjih upravljanja javnih financ. CEF ima status mednarodne organizacije s sedežem v Republiki Sloveniji od 1. januarja 2015. </w:t>
      </w:r>
    </w:p>
    <w:p w14:paraId="724080C5" w14:textId="77777777" w:rsidR="00037669" w:rsidRDefault="00037669" w:rsidP="00037669"/>
    <w:p w14:paraId="2F98EEC4" w14:textId="77777777" w:rsidR="00037669" w:rsidRDefault="00037669" w:rsidP="00037669">
      <w:r>
        <w:t xml:space="preserve">Slovenija skladno s svojimi strateškimi opredelitvami na področju mednarodnega razvojnega sodelovanja (Resolucijo o mednarodnem razvojnem sodelovanju in humanitarni pomoči Republike Slovenije in Strategijo mednarodnega razvojnega sodelovanja in humanitarne pomoči Republike Slovenije do leta 2030) redno sodeluje s CEF, ki je v preteklih letih postal eden osrednjih izvajalcev slovenske razvojne pomoči v </w:t>
      </w:r>
      <w:proofErr w:type="gramStart"/>
      <w:r>
        <w:t>regiji</w:t>
      </w:r>
      <w:proofErr w:type="gramEnd"/>
      <w:r>
        <w:t xml:space="preserve"> jugovzhodne Evrope.</w:t>
      </w:r>
    </w:p>
    <w:p w14:paraId="386433D0" w14:textId="59871233" w:rsidR="00857A30" w:rsidRDefault="00037669" w:rsidP="00037669">
      <w:pPr>
        <w:pStyle w:val="Vir"/>
      </w:pPr>
      <w:r>
        <w:t>Vir: Ministrstvo za zunanje in evropske zadeve</w:t>
      </w:r>
    </w:p>
    <w:p w14:paraId="2345D547" w14:textId="50C13CDE" w:rsidR="00AD14DA" w:rsidRDefault="00AD14DA" w:rsidP="00AD14DA">
      <w:pPr>
        <w:pStyle w:val="Naslov2"/>
      </w:pPr>
      <w:r>
        <w:t>Vlada se je seznanila z nameravanim podpisom memoranduma o soglasju</w:t>
      </w:r>
    </w:p>
    <w:p w14:paraId="153A991C" w14:textId="77777777" w:rsidR="00AD14DA" w:rsidRDefault="00AD14DA" w:rsidP="00AD14DA">
      <w:r>
        <w:t>Vlada Republike Slovenije se je na današnji seji seznanila z Informacijo o nameravanem podpisu Memoranduma o soglasju med Ministrstvom za obrambo Republike Slovenije in ministrom za narodno obrambo Republike Poljske o sodelovanju na področju geoprostorskih podatkov.</w:t>
      </w:r>
    </w:p>
    <w:p w14:paraId="0410939A" w14:textId="77777777" w:rsidR="00AD14DA" w:rsidRDefault="00AD14DA" w:rsidP="00AD14DA"/>
    <w:p w14:paraId="0AFB38EA" w14:textId="77777777" w:rsidR="00AD14DA" w:rsidRDefault="00AD14DA" w:rsidP="00AD14DA">
      <w:r>
        <w:t xml:space="preserve">S sklenitvijo Memoranduma o soglasju med Ministrstvom za obrambo Republike Slovenije in ministrom za narodno obrambo Republike Poljske o sodelovanju na področju geoprostorskih podatkov bo vzpostavljen formalni okvir sodelovanja med podpisnikoma na področju vojaške geografije, kartografije in geoprostorskih informacij. </w:t>
      </w:r>
    </w:p>
    <w:p w14:paraId="50113E41" w14:textId="62C324CC" w:rsidR="00857A30" w:rsidRDefault="00AD14DA" w:rsidP="00AD14DA">
      <w:pPr>
        <w:pStyle w:val="Vir"/>
      </w:pPr>
      <w:r>
        <w:t>Vir: Ministrstvo za obrambo</w:t>
      </w:r>
    </w:p>
    <w:p w14:paraId="0B7F2C58" w14:textId="180B286F" w:rsidR="00037669" w:rsidRDefault="00037669" w:rsidP="00037669">
      <w:pPr>
        <w:pStyle w:val="Naslov2"/>
      </w:pPr>
      <w:r>
        <w:t>Dogovor o političnih posvetovanjih med Slovenijo in Malezijo</w:t>
      </w:r>
    </w:p>
    <w:p w14:paraId="07FD5C11" w14:textId="77777777" w:rsidR="00037669" w:rsidRDefault="00037669" w:rsidP="00037669">
      <w:r>
        <w:t>Vlada Republike Slovenije se je seznanila z informacijo o nameravani sklenitvi dogovora o političnih posvetovanjih med Ministrstvom za zunanje in evropske zadeve Republike Slovenije in Ministrstvom za zunanje zadeve Malezije. S sklenitvijo dogovora se vzpostavlja mehanizem rednih političnih posvetovanj na ravni, ki ni nižja od generalnih direktorjev. Posvetovanja bodo potekala izmenično v Sloveniji in v Maleziji. Namen dogovora je nadaljnja krepitev prijateljskih odnosov in poglabljanje sodelovanja.</w:t>
      </w:r>
    </w:p>
    <w:p w14:paraId="26CD7FA9" w14:textId="296D1CA5" w:rsidR="00857A30" w:rsidRDefault="00037669" w:rsidP="00037669">
      <w:pPr>
        <w:pStyle w:val="Vir"/>
      </w:pPr>
      <w:r>
        <w:t>Vir: Ministrstvo za zunanje in evropske zadeve</w:t>
      </w:r>
    </w:p>
    <w:p w14:paraId="40AEC47A" w14:textId="4308E82E" w:rsidR="00BF11F0" w:rsidRDefault="00BF11F0" w:rsidP="00BF11F0">
      <w:pPr>
        <w:pStyle w:val="Naslov2"/>
      </w:pPr>
      <w:r>
        <w:t>Krepitev sodelovanja s Kraljevino Maroko pri ponovnem sprejemu oseb</w:t>
      </w:r>
    </w:p>
    <w:p w14:paraId="1DF8CFFC" w14:textId="77777777" w:rsidR="00BF11F0" w:rsidRDefault="00BF11F0" w:rsidP="00BF11F0">
      <w:r>
        <w:t xml:space="preserve">Vlada Republike Slovenije se je seznanila z informacijo o nameravanem podpisu Zapisnika sestanka med Ministrstvom za notranje zadeve Republike Slovenije in Ministrstvom za notranje zadeve Kraljevine Maroko o skupnih postopkih pri krepitvi sodelovanja na področju varnega ponovnega sprejema oseb, vključno s postopkom preverjanja </w:t>
      </w:r>
      <w:proofErr w:type="gramStart"/>
      <w:r>
        <w:t>istovetnosti</w:t>
      </w:r>
      <w:proofErr w:type="gramEnd"/>
      <w:r>
        <w:t xml:space="preserve"> in izdaje potnih listin za vrnitev osebam, ki na območju držav podpisnic prebivajo nezakonito.</w:t>
      </w:r>
    </w:p>
    <w:p w14:paraId="0E038A69" w14:textId="6D4FC73E" w:rsidR="00857A30" w:rsidRDefault="00BF11F0" w:rsidP="00BF11F0">
      <w:pPr>
        <w:pStyle w:val="Vir"/>
      </w:pPr>
      <w:r>
        <w:t>Vir: Ministrstvo za notranje zadeve</w:t>
      </w:r>
    </w:p>
    <w:p w14:paraId="5CC0823D" w14:textId="696E7A85" w:rsidR="00293CB5" w:rsidRDefault="00293CB5" w:rsidP="00293CB5">
      <w:pPr>
        <w:pStyle w:val="Naslov2"/>
      </w:pPr>
      <w:r>
        <w:lastRenderedPageBreak/>
        <w:t>Kandidatura Republike Slovenije za članstvo v Izvršnem svetu Organizacije za prepoved kemičnega orožja</w:t>
      </w:r>
    </w:p>
    <w:p w14:paraId="29340EC6" w14:textId="77777777" w:rsidR="00293CB5" w:rsidRDefault="00293CB5" w:rsidP="00293CB5">
      <w:r>
        <w:t xml:space="preserve">Vlada Republike Slovenije je odločila, da Republika Slovenija kandidira za članstvo v Izvršnem svetu Organizacije za prepoved kemičnega orožja (OPCW) za obdobje 2026-2028. Ministrstvu za zunanje in evropske zadeve je naložila, da izvede potrebne </w:t>
      </w:r>
      <w:proofErr w:type="gramStart"/>
      <w:r>
        <w:t>aktivnosti</w:t>
      </w:r>
      <w:proofErr w:type="gramEnd"/>
      <w:r>
        <w:t xml:space="preserve"> za najavo kandidature v ustreznih forumih in za pridobivanje podpor kandidaturi.</w:t>
      </w:r>
    </w:p>
    <w:p w14:paraId="1B1DA52E" w14:textId="4D278E22" w:rsidR="00857A30" w:rsidRDefault="00293CB5" w:rsidP="00293CB5">
      <w:pPr>
        <w:pStyle w:val="Vir"/>
      </w:pPr>
      <w:r>
        <w:t>Vir: Ministrstvo za zunanje in evropske zadeve</w:t>
      </w:r>
    </w:p>
    <w:p w14:paraId="6B6DDABE" w14:textId="0742EE47" w:rsidR="00683AAE" w:rsidRDefault="00683AAE" w:rsidP="00683AAE">
      <w:pPr>
        <w:pStyle w:val="Naslov2"/>
      </w:pPr>
      <w:r>
        <w:t xml:space="preserve">Mnenje Vlade o zahtevi Državnega sveta za oceno ustavnosti dela Zakona o skupnih temeljih sistema plač v javnem sektorju </w:t>
      </w:r>
    </w:p>
    <w:p w14:paraId="38E4721D" w14:textId="77777777" w:rsidR="00683AAE" w:rsidRDefault="00683AAE" w:rsidP="00683AAE">
      <w:r>
        <w:t>Vlada je sprejela mnenje o zahtevi Državnega sveta za oceno ustavnosti drugega odstavka 60. člena v zvezi s Prilogo 2 ter osmega odstavka 101. člena Zakona o skupnih temeljih sistema plač v javnem sektorju (ZSTSPJS), kolikor se nanašata na predsednika in sekretarja Državnega sveta Republike Slovenije in ga pošlje Državnemu zboru.</w:t>
      </w:r>
    </w:p>
    <w:p w14:paraId="2EFA9123" w14:textId="77777777" w:rsidR="00683AAE" w:rsidRDefault="00683AAE" w:rsidP="00683AAE"/>
    <w:p w14:paraId="5D9EB3F2" w14:textId="77777777" w:rsidR="00683AAE" w:rsidRDefault="00683AAE" w:rsidP="00683AAE">
      <w:r>
        <w:t xml:space="preserve">Ustavno sodišče je omenjeno zahtevo Državnega sveta za oceno ustavnosti posredovalo Državnemu zboru, ta pa je Vlado zaprosil za mnenje z vidika izvršilne oblasti. Vlada v mnenju zavrača očitke predlagatelja in za to poda podrobnejše utemeljitve. Vlada meni, da uvrstitev funkcije predsednika državnega sveta v 65. plačni razred in </w:t>
      </w:r>
      <w:proofErr w:type="gramStart"/>
      <w:r>
        <w:t>funkcije</w:t>
      </w:r>
      <w:proofErr w:type="gramEnd"/>
      <w:r>
        <w:t xml:space="preserve"> sekretarja državnega sveta v 55. plačni razred po ZSTSPJS ni v neskladju z Ustavo in da zahteva za oceno ustavnosti ni utemeljena.</w:t>
      </w:r>
    </w:p>
    <w:p w14:paraId="045A18A4" w14:textId="2C6A28A7" w:rsidR="00485D23" w:rsidRDefault="00683AAE" w:rsidP="00683AAE">
      <w:pPr>
        <w:pStyle w:val="Vir"/>
      </w:pPr>
      <w:r>
        <w:t>Vir: Ministrstvo za javno upravo</w:t>
      </w:r>
    </w:p>
    <w:p w14:paraId="5D9F7573" w14:textId="342E41B8" w:rsidR="0079385F" w:rsidRDefault="0079385F" w:rsidP="0079385F">
      <w:pPr>
        <w:pStyle w:val="Naslov2"/>
      </w:pPr>
      <w:r>
        <w:t>Vlada soglaša s predlogi amandmajev v noveli Zakona o morskem ribištvu</w:t>
      </w:r>
    </w:p>
    <w:p w14:paraId="7284BFEA" w14:textId="59CBA801" w:rsidR="0079385F" w:rsidRDefault="0079385F" w:rsidP="0079385F">
      <w:r>
        <w:t xml:space="preserve">Vlada soglaša s predlogi amandmajev k </w:t>
      </w:r>
      <w:proofErr w:type="gramStart"/>
      <w:r>
        <w:t>p</w:t>
      </w:r>
      <w:r>
        <w:t>redlogu Zakona</w:t>
      </w:r>
      <w:proofErr w:type="gramEnd"/>
      <w:r>
        <w:t xml:space="preserve"> o spremembah in dopolnitvah Zakona o morskem ribištvu, ki jih je pripravilo Ministrstvo za kmetijstvo, gozdarstvo in prehrano. Predlagani amandmaji sledijo pripombam </w:t>
      </w:r>
      <w:proofErr w:type="gramStart"/>
      <w:r>
        <w:t>Zakonodajno-pravne</w:t>
      </w:r>
      <w:proofErr w:type="gramEnd"/>
      <w:r>
        <w:t xml:space="preserve"> službe Državnega zbora Republike Slovenije. </w:t>
      </w:r>
    </w:p>
    <w:p w14:paraId="22BC78FF" w14:textId="0693B84E" w:rsidR="00A12381" w:rsidRDefault="0079385F" w:rsidP="0079385F">
      <w:pPr>
        <w:pStyle w:val="Vir"/>
      </w:pPr>
      <w:r>
        <w:t>Vir: Ministrstvo za kmetijstvo, gozdarstvo in prehrano</w:t>
      </w:r>
    </w:p>
    <w:p w14:paraId="56756A1C" w14:textId="1F84F624" w:rsidR="00A72B6F" w:rsidRDefault="00A72B6F" w:rsidP="00A72B6F">
      <w:pPr>
        <w:pStyle w:val="Naslov2"/>
      </w:pPr>
      <w:r>
        <w:t>Vlada o zakonu o preprečevanju pranja denarja in financiranju terorizma</w:t>
      </w:r>
    </w:p>
    <w:p w14:paraId="717491C1" w14:textId="77777777" w:rsidR="00A72B6F" w:rsidRDefault="00A72B6F" w:rsidP="00A72B6F">
      <w:r>
        <w:t>Vlada je na današnji seji podala soglasje k predlogom amandmajev k Predlogu zakona o spremembah in dopolnitvah Zakona o preprečevanju pranja denarja in financiranja terorizma.</w:t>
      </w:r>
    </w:p>
    <w:p w14:paraId="4A0E2013" w14:textId="77777777" w:rsidR="00A72B6F" w:rsidRDefault="00A72B6F" w:rsidP="00A72B6F"/>
    <w:p w14:paraId="2008944C" w14:textId="77777777" w:rsidR="00A72B6F" w:rsidRDefault="00A72B6F" w:rsidP="00A72B6F">
      <w:r>
        <w:t xml:space="preserve">S predlaganimi amandmaji se v največji možni meri upoštevajo pripombe </w:t>
      </w:r>
      <w:proofErr w:type="gramStart"/>
      <w:r>
        <w:t>Zakonodajno-pravne</w:t>
      </w:r>
      <w:proofErr w:type="gramEnd"/>
      <w:r>
        <w:t xml:space="preserve"> službe Državnega zbora (ZPS), ki jih je le-te podala z vidika skladnosti predlaganega zakona s pravnim sistemom in z zakonodajno-tehničnega vidika.</w:t>
      </w:r>
    </w:p>
    <w:p w14:paraId="7E76BD59" w14:textId="042DF2C4" w:rsidR="00A12381" w:rsidRDefault="00A72B6F" w:rsidP="00A72B6F">
      <w:pPr>
        <w:pStyle w:val="Vir"/>
      </w:pPr>
      <w:r>
        <w:t>Vir: Ministrstvo za finance</w:t>
      </w:r>
    </w:p>
    <w:p w14:paraId="41D618E0" w14:textId="69793583" w:rsidR="005E6A4B" w:rsidRDefault="005E6A4B" w:rsidP="005E6A4B">
      <w:pPr>
        <w:pStyle w:val="Naslov2"/>
      </w:pPr>
      <w:r>
        <w:t>Vlada soglaša s predlogi amandmajev v noveli Zakona o sladkovodnem ribištvu</w:t>
      </w:r>
    </w:p>
    <w:p w14:paraId="08907C0D" w14:textId="77777777" w:rsidR="005E6A4B" w:rsidRDefault="005E6A4B" w:rsidP="005E6A4B">
      <w:r>
        <w:t xml:space="preserve">Vlada Slovenije soglaša s predlogi amandmajev k </w:t>
      </w:r>
      <w:proofErr w:type="gramStart"/>
      <w:r>
        <w:t>Predlogu Zakona</w:t>
      </w:r>
      <w:proofErr w:type="gramEnd"/>
      <w:r>
        <w:t xml:space="preserve"> o spremembah in dopolnitvah Zakona o sladkovodnem ribištvu, ki jih je pripravilo Ministrstvo za kmetijstvo, gozdarstvo in prehrano. Predlagani amandmaji sledijo pripombam </w:t>
      </w:r>
      <w:proofErr w:type="gramStart"/>
      <w:r>
        <w:t>Zakonodajno-pravne</w:t>
      </w:r>
      <w:proofErr w:type="gramEnd"/>
      <w:r>
        <w:t xml:space="preserve"> službe Državnega zbora Republike Slovenije.</w:t>
      </w:r>
    </w:p>
    <w:p w14:paraId="39400AC3" w14:textId="29F3B918" w:rsidR="00F24A5B" w:rsidRPr="00F24A5B" w:rsidRDefault="005E6A4B" w:rsidP="005E6A4B">
      <w:pPr>
        <w:pStyle w:val="Vir"/>
      </w:pPr>
      <w:r>
        <w:t>Vir: Ministrstvo za kmetijstvo, gozdarstvo in prehrano</w:t>
      </w:r>
    </w:p>
    <w:p w14:paraId="707D3089" w14:textId="6F1A9615" w:rsidR="00FE60C3" w:rsidRDefault="00FE60C3" w:rsidP="00FE60C3">
      <w:pPr>
        <w:pStyle w:val="Naslov2"/>
      </w:pPr>
      <w:r>
        <w:lastRenderedPageBreak/>
        <w:t xml:space="preserve">Vlada sprejela </w:t>
      </w:r>
      <w:r>
        <w:t>t</w:t>
      </w:r>
      <w:r>
        <w:t xml:space="preserve">emeljna izhodišča Slovenije pred začetkom pogajanj o prihodnjem finančnem okviru Evropske unije </w:t>
      </w:r>
    </w:p>
    <w:p w14:paraId="7F333C7B" w14:textId="2D996A42" w:rsidR="00FE60C3" w:rsidRDefault="00FE60C3" w:rsidP="00FE60C3">
      <w:r>
        <w:t xml:space="preserve">Vlada je na današnji seji sprejela </w:t>
      </w:r>
      <w:r>
        <w:t>t</w:t>
      </w:r>
      <w:r>
        <w:t xml:space="preserve">emeljna izhodišča Republike Slovenije pred začetkom pogajanj o večletnem finančnem okviru EU po letu 2027. </w:t>
      </w:r>
    </w:p>
    <w:p w14:paraId="6BA425D4" w14:textId="77777777" w:rsidR="00FE60C3" w:rsidRDefault="00FE60C3" w:rsidP="00FE60C3"/>
    <w:p w14:paraId="134C2CA1" w14:textId="77777777" w:rsidR="00FE60C3" w:rsidRDefault="00FE60C3" w:rsidP="00FE60C3">
      <w:r>
        <w:t xml:space="preserve">Pogajanja o prihodnjem večletnem finančnem okviru, kot srednjeročnem načrtu financiranja Evropske unije in njenih politik, se bodo </w:t>
      </w:r>
      <w:proofErr w:type="gramStart"/>
      <w:r>
        <w:t>pričela</w:t>
      </w:r>
      <w:proofErr w:type="gramEnd"/>
      <w:r>
        <w:t xml:space="preserve"> po objavi predloga Evropske komisije, predvideni za sredino julija 2025. Osrednji namen gradiva je tako predstaviti temeljna izhodišča Slovenije pred omenjenimi pogajanji. </w:t>
      </w:r>
    </w:p>
    <w:p w14:paraId="6C58E4A4" w14:textId="77777777" w:rsidR="00FE60C3" w:rsidRDefault="00FE60C3" w:rsidP="00FE60C3"/>
    <w:p w14:paraId="294864B6" w14:textId="77777777" w:rsidR="00FE60C3" w:rsidRDefault="00FE60C3" w:rsidP="00FE60C3">
      <w:r>
        <w:t xml:space="preserve">Vlada Republike Slovenije se v tem okviru zavzema za ambiciozen večletni finančni okvir EU, ki bo na eni strani okrepil financiranje t. i. novih izzivov, kot sta konkurenčnost in varnost, na drugi strani pa na primerljivi ravni ohranil sredstva kohezijske politike in skupne kmetijske politike kot tradicionalnih politik Evropske unije. Za Slovenijo je pri tem posebej pomembno, da v naslednjem srednjeročnem obdobju ne pride do drastičnih padcev kohezijskih sredstev za države oz. </w:t>
      </w:r>
      <w:proofErr w:type="gramStart"/>
      <w:r>
        <w:t>regije</w:t>
      </w:r>
      <w:proofErr w:type="gramEnd"/>
      <w:r>
        <w:t xml:space="preserve">. </w:t>
      </w:r>
    </w:p>
    <w:p w14:paraId="594C5AC7" w14:textId="77777777" w:rsidR="00FE60C3" w:rsidRDefault="00FE60C3" w:rsidP="00FE60C3"/>
    <w:p w14:paraId="40FA0C23" w14:textId="61437B21" w:rsidR="00A12381" w:rsidRDefault="00FE60C3" w:rsidP="00FE60C3">
      <w:r>
        <w:t>Slovenija bo uradna stališča do novega večletnega finančnega okvira v skladu z Zakonom o sodelovanju med državnim zborom in vlado v zadevah Evropske unije sprejela jeseni, po objavi uradnega predloga Evropske komisije.</w:t>
      </w:r>
    </w:p>
    <w:p w14:paraId="5D4CA413" w14:textId="284DAC25" w:rsidR="00FE60C3" w:rsidRDefault="00FE60C3" w:rsidP="00FE60C3">
      <w:pPr>
        <w:pStyle w:val="Vir"/>
      </w:pPr>
      <w:r w:rsidRPr="00FE60C3">
        <w:t>Vir: Kabinet predsednika vlade</w:t>
      </w:r>
    </w:p>
    <w:p w14:paraId="6FBD22AF" w14:textId="179F77A8" w:rsidR="00C961AD" w:rsidRDefault="00C961AD" w:rsidP="00C961AD">
      <w:pPr>
        <w:pStyle w:val="Naslov2"/>
      </w:pPr>
      <w:r>
        <w:t>Vlada se je seznanila z izvajanjem Načrta za okrevanje in odpornost</w:t>
      </w:r>
    </w:p>
    <w:p w14:paraId="074621F0" w14:textId="203A8772" w:rsidR="00C961AD" w:rsidRDefault="00C961AD" w:rsidP="00C961AD">
      <w:r>
        <w:t>Vlada se je danes seznanila z Informacijo o izvajanju Načrta za okrevanje in odpornost, ki jo bo posredovala v Državni zbor Republike Slovenije. Prav tako je obravnavala Poročilo o uresničevanju Načrta za okrevanje in odpornost pred oddajo četrtega zahtevka za plačilo.</w:t>
      </w:r>
    </w:p>
    <w:p w14:paraId="28909D1A" w14:textId="77777777" w:rsidR="00C961AD" w:rsidRDefault="00C961AD" w:rsidP="00C961AD"/>
    <w:p w14:paraId="4EE7A8AA" w14:textId="77777777" w:rsidR="00C961AD" w:rsidRDefault="00C961AD" w:rsidP="00C961AD">
      <w:r>
        <w:t xml:space="preserve">Slovenija je za izvedbo Načrta za okrevanje in odpornost (NOO) do zdaj prejela 1,1 milijarde evrov iz Mehanizma za okrevanje in odpornost – finančno najobsežnejšega dela evropskega svežnja za okrevanje </w:t>
      </w:r>
      <w:proofErr w:type="spellStart"/>
      <w:r>
        <w:t>NextGenerationEU</w:t>
      </w:r>
      <w:proofErr w:type="spellEnd"/>
      <w:r>
        <w:t>. Od tega je država končnim prejemnikom od začetka izvajanja NOO leta 2021 do danes izplačala dobrih 900 milijonov evrov. V prvih petih mesecih letošnjega leta je izplačala 133 milijonov evrov.</w:t>
      </w:r>
    </w:p>
    <w:p w14:paraId="283E60C5" w14:textId="77777777" w:rsidR="00C961AD" w:rsidRDefault="00C961AD" w:rsidP="00C961AD"/>
    <w:p w14:paraId="7C132554" w14:textId="77777777" w:rsidR="00C961AD" w:rsidRDefault="00C961AD" w:rsidP="00C961AD">
      <w:r>
        <w:t>S potrditvijo predloga tretje spremembe NOO s strani Sveta Evropske unije bo NOO obsegal predvidoma 200 mejnikov in ciljev (trenutno 203). Evropska komisija (EK) je ob obravnavi dosedanjih treh zahtevkov za plačilo, ki so vključevali prve štiri obroke za nepovratna sredstva ter prva dva obroka za posojila, ocenila, da je Slovenija uradno izpolnila vseh 64 z njimi povezanih mejnikov in ciljev. Ministrstva, pristojna za izvedbo naložb in reform, ocenjujejo, da so do danes izpolnila še dodatnih 39 mejnikov in ciljev, ki bodo del prihodnjih zahtevkov za plačilo.</w:t>
      </w:r>
    </w:p>
    <w:p w14:paraId="058BF776" w14:textId="77777777" w:rsidR="00C961AD" w:rsidRDefault="00C961AD" w:rsidP="00C961AD"/>
    <w:p w14:paraId="65A12BBA" w14:textId="77777777" w:rsidR="00C961AD" w:rsidRDefault="00C961AD" w:rsidP="00C961AD">
      <w:r>
        <w:t xml:space="preserve">Vlada je naložila Uradu Republike Slovenije za okrevanje in odpornost (URSOO), da EK posreduje četrti zahtevek za plačilo v sestavi petega in šestega obroka za nepovratna sredstva ter tretjega obroka za posojila. Vlada je URSOO naložila, da zahtevek EK posreduje po sprejemu zakona o spremembah in dopolnitvah Zakona o urejanju trga dela v Državnem zboru Republike Slovenije (DZ). Zakon je eden od mejnikov šestega obroka za nepovratna sredstva. </w:t>
      </w:r>
    </w:p>
    <w:p w14:paraId="6C5729D5" w14:textId="6575F9F9" w:rsidR="00F24A5B" w:rsidRPr="00485D23" w:rsidRDefault="00C961AD" w:rsidP="00C961AD">
      <w:pPr>
        <w:pStyle w:val="Vir"/>
      </w:pPr>
      <w:r>
        <w:t>Vir: Ministrstvo za finance</w:t>
      </w:r>
    </w:p>
    <w:p w14:paraId="0E494E00" w14:textId="08A30B17" w:rsidR="00291D63" w:rsidRDefault="00291D63" w:rsidP="00291D63">
      <w:pPr>
        <w:pStyle w:val="Naslov2"/>
      </w:pPr>
      <w:r>
        <w:t xml:space="preserve">Vlada določila besedilo </w:t>
      </w:r>
      <w:proofErr w:type="gramStart"/>
      <w:r>
        <w:t>predloga Zakona</w:t>
      </w:r>
      <w:proofErr w:type="gramEnd"/>
      <w:r>
        <w:t xml:space="preserve"> o digitalizaciji zdravstva</w:t>
      </w:r>
    </w:p>
    <w:p w14:paraId="5A21B71A" w14:textId="05C57536" w:rsidR="00291D63" w:rsidRDefault="00291D63" w:rsidP="00291D63">
      <w:r>
        <w:lastRenderedPageBreak/>
        <w:t xml:space="preserve">Vlada Republike Slovenije je na današnji seji vlade določila besedilo </w:t>
      </w:r>
      <w:proofErr w:type="gramStart"/>
      <w:r>
        <w:t>predloga Zakona</w:t>
      </w:r>
      <w:proofErr w:type="gramEnd"/>
      <w:r>
        <w:t xml:space="preserve"> o digitalizaciji zdravstva (</w:t>
      </w:r>
      <w:proofErr w:type="spellStart"/>
      <w:r>
        <w:t>ZDigZ</w:t>
      </w:r>
      <w:proofErr w:type="spellEnd"/>
      <w:r>
        <w:t>) in ga poslala v Državni zbor Republike Slovenije po rednem postopku.</w:t>
      </w:r>
    </w:p>
    <w:p w14:paraId="2366382B" w14:textId="77777777" w:rsidR="00291D63" w:rsidRDefault="00291D63" w:rsidP="00291D63"/>
    <w:p w14:paraId="5A7A4AFE" w14:textId="032E5457" w:rsidR="00291D63" w:rsidRDefault="00291D63" w:rsidP="00291D63">
      <w:proofErr w:type="spellStart"/>
      <w:r>
        <w:t>ZDigZ</w:t>
      </w:r>
      <w:proofErr w:type="spellEnd"/>
      <w:r>
        <w:t xml:space="preserve"> predstavlja prenovo zdajšnjega Zakona o zbirkah podatkov s področja zdravstva (ZZPPZ). Cilj zakona je celovita ureditev obdelave osebnih podatkov v zdravstvu ter vzpostavitev učinkovitejše in varnejše izmenjave podatkov. Ob tem predlog zakona zagotavlja ustrezno varstvo osebnih podatkov, hkrati pa si prizadeva zmanjšati administrativna bremena zdravstvenih delavcev in sodelavcev.</w:t>
      </w:r>
    </w:p>
    <w:p w14:paraId="209BD75B" w14:textId="77777777" w:rsidR="00291D63" w:rsidRDefault="00291D63" w:rsidP="00291D63">
      <w:r>
        <w:t>Zakon uresničuje štiri strateške cilje:</w:t>
      </w:r>
    </w:p>
    <w:p w14:paraId="15A172D0" w14:textId="2BAA7F64" w:rsidR="00291D63" w:rsidRDefault="000D354C" w:rsidP="00291D63">
      <w:pPr>
        <w:pStyle w:val="Odstavekseznama"/>
        <w:numPr>
          <w:ilvl w:val="0"/>
          <w:numId w:val="22"/>
        </w:numPr>
      </w:pPr>
      <w:r>
        <w:t>k</w:t>
      </w:r>
      <w:r w:rsidR="00291D63">
        <w:t xml:space="preserve">repitev pravic pacientov: pacienti bodo lahko varno, pregledno in enostavno dostopali do svojih zdravstvenih podatkov preko </w:t>
      </w:r>
      <w:proofErr w:type="gramStart"/>
      <w:r w:rsidR="00291D63">
        <w:t>centralnega</w:t>
      </w:r>
      <w:proofErr w:type="gramEnd"/>
      <w:r w:rsidR="00291D63">
        <w:t xml:space="preserve"> elektronskega zdravstvenega zapisa (</w:t>
      </w:r>
      <w:proofErr w:type="spellStart"/>
      <w:r w:rsidR="00291D63">
        <w:t>CeZZ</w:t>
      </w:r>
      <w:proofErr w:type="spellEnd"/>
      <w:r w:rsidR="00291D63">
        <w:t>);</w:t>
      </w:r>
    </w:p>
    <w:p w14:paraId="6DBE443E" w14:textId="473159FE" w:rsidR="00291D63" w:rsidRDefault="000D354C" w:rsidP="00291D63">
      <w:pPr>
        <w:pStyle w:val="Odstavekseznama"/>
        <w:numPr>
          <w:ilvl w:val="0"/>
          <w:numId w:val="22"/>
        </w:numPr>
      </w:pPr>
      <w:r>
        <w:t>r</w:t>
      </w:r>
      <w:r w:rsidR="00291D63">
        <w:t>azbremenitev zdravstvenih delavcev: z uvedbo enkratnega vnosa podatkov, odpravo podvajanja poročanj, uvedbo enotnega klasifikacijskega načrta ter centralizacijo rešitev, se bodo razbremenili zdravstveni delavci</w:t>
      </w:r>
      <w:r>
        <w:t>;</w:t>
      </w:r>
      <w:r w:rsidR="00291D63">
        <w:t xml:space="preserve"> </w:t>
      </w:r>
    </w:p>
    <w:p w14:paraId="374CDE95" w14:textId="49694E8E" w:rsidR="00291D63" w:rsidRDefault="000D354C" w:rsidP="00291D63">
      <w:pPr>
        <w:pStyle w:val="Odstavekseznama"/>
        <w:numPr>
          <w:ilvl w:val="0"/>
          <w:numId w:val="22"/>
        </w:numPr>
      </w:pPr>
      <w:r>
        <w:t>k</w:t>
      </w:r>
      <w:r w:rsidR="00291D63">
        <w:t xml:space="preserve">repitev strateškega odločanja: s </w:t>
      </w:r>
      <w:proofErr w:type="gramStart"/>
      <w:r w:rsidR="00291D63">
        <w:t>transparentnim</w:t>
      </w:r>
      <w:proofErr w:type="gramEnd"/>
      <w:r w:rsidR="00291D63">
        <w:t xml:space="preserve"> in analitičnim pristopom se bo lažje spremljal sistem, učinke zdravljenja in razpoložljivosti virov;</w:t>
      </w:r>
    </w:p>
    <w:p w14:paraId="1B03CEE0" w14:textId="1EB85F39" w:rsidR="00291D63" w:rsidRDefault="000D354C" w:rsidP="00291D63">
      <w:pPr>
        <w:pStyle w:val="Odstavekseznama"/>
        <w:numPr>
          <w:ilvl w:val="0"/>
          <w:numId w:val="22"/>
        </w:numPr>
      </w:pPr>
      <w:r>
        <w:t>v</w:t>
      </w:r>
      <w:r w:rsidR="00291D63">
        <w:t xml:space="preserve">zpostavitev javnega podjetja: podjetje bo skrbelo za vzdrževanje osrednje digitalne infrastrukture v zdravstvu in opravljalo to nalogo kot javno službo. </w:t>
      </w:r>
    </w:p>
    <w:p w14:paraId="7C242B8E" w14:textId="78222711" w:rsidR="00291D63" w:rsidRDefault="00291D63" w:rsidP="00291D63">
      <w:r>
        <w:t>Zakon zasleduje širši cilj digitalizacij</w:t>
      </w:r>
      <w:r w:rsidR="00610B2E">
        <w:t>e</w:t>
      </w:r>
      <w:r>
        <w:t xml:space="preserve"> zdravstva</w:t>
      </w:r>
      <w:proofErr w:type="gramStart"/>
      <w:r>
        <w:t>,</w:t>
      </w:r>
      <w:proofErr w:type="gramEnd"/>
      <w:r>
        <w:t xml:space="preserve"> kot javne koristi. Predstavlja prehod v sistem, ki temelji na </w:t>
      </w:r>
      <w:proofErr w:type="gramStart"/>
      <w:r>
        <w:t>transparentnem</w:t>
      </w:r>
      <w:proofErr w:type="gramEnd"/>
      <w:r>
        <w:t xml:space="preserve">, varnem in centraliziranem upravljanju podatkov. Nadgrajuje obstoječe dobro delujoče rešitve, kot je </w:t>
      </w:r>
      <w:proofErr w:type="gramStart"/>
      <w:r>
        <w:t>Centralni</w:t>
      </w:r>
      <w:proofErr w:type="gramEnd"/>
      <w:r>
        <w:t xml:space="preserve"> register podatkov o pacientih (CRPP), ki se preimenuje v </w:t>
      </w:r>
      <w:proofErr w:type="spellStart"/>
      <w:r>
        <w:t>CeZZ</w:t>
      </w:r>
      <w:proofErr w:type="spellEnd"/>
      <w:r>
        <w:t xml:space="preserve">. Ta zdravnikom omogoča vpogled v vse pomembne podatke na enem mestu, kar zmanjšuje število podvojenih preiskav in povečuje varnost </w:t>
      </w:r>
      <w:proofErr w:type="gramStart"/>
      <w:r>
        <w:t>pacientov</w:t>
      </w:r>
      <w:proofErr w:type="gramEnd"/>
      <w:r>
        <w:t>.</w:t>
      </w:r>
    </w:p>
    <w:p w14:paraId="4D4861F7" w14:textId="77777777" w:rsidR="00291D63" w:rsidRDefault="00291D63" w:rsidP="00291D63"/>
    <w:p w14:paraId="12A7F208" w14:textId="3DC86E9D" w:rsidR="00291D63" w:rsidRDefault="00291D63" w:rsidP="00291D63">
      <w:r>
        <w:t xml:space="preserve">Varstvo osebnih podatkov je eno glavnih vodil zakona. Ohranja se tako imenovana matrika dostopov – to pomeni, da ima zdravstveni delavec dostop le do tistih podatkov, ki jih potrebuje za svoje delo. </w:t>
      </w:r>
      <w:proofErr w:type="gramStart"/>
      <w:r>
        <w:t>Pacient</w:t>
      </w:r>
      <w:proofErr w:type="gramEnd"/>
      <w:r>
        <w:t xml:space="preserve"> pa ima še naprej pravico odločati, komu dovoli vpogled v svoje podatke, razen v nujnih primerih (npr. pri izbranem osebnem zdravniku ali pri nujni medicinski pomoči).</w:t>
      </w:r>
    </w:p>
    <w:p w14:paraId="5D995A91" w14:textId="77777777" w:rsidR="00291D63" w:rsidRDefault="00291D63" w:rsidP="00291D63"/>
    <w:p w14:paraId="4FFCD1BB" w14:textId="6CE30DE7" w:rsidR="00291D63" w:rsidRDefault="00291D63" w:rsidP="00291D63">
      <w:r>
        <w:t xml:space="preserve">Predlog zakona se že zdaj usklajuje s prihajajočo Uredbo o evropskem zdravstvenem podatkovnem prostoru (EHDS), ki bo začela veljati marca 2027. Predvideva tudi možnost nadaljnje obdelave podatkov za javno zdravje, raziskave in planiranje – vendar izključno v </w:t>
      </w:r>
      <w:proofErr w:type="spellStart"/>
      <w:r>
        <w:t>psevdonimizirani</w:t>
      </w:r>
      <w:proofErr w:type="spellEnd"/>
      <w:r>
        <w:t xml:space="preserve"> ali anonimizirani obliki. Vsak </w:t>
      </w:r>
      <w:proofErr w:type="gramStart"/>
      <w:r>
        <w:t>pacient</w:t>
      </w:r>
      <w:proofErr w:type="gramEnd"/>
      <w:r>
        <w:t xml:space="preserve"> bo imel pravico, da takšno uporabo prepove.</w:t>
      </w:r>
    </w:p>
    <w:p w14:paraId="7456BE0D" w14:textId="77777777" w:rsidR="00291D63" w:rsidRDefault="00291D63" w:rsidP="00291D63"/>
    <w:p w14:paraId="3106CEF2" w14:textId="5F344C0F" w:rsidR="00291D63" w:rsidRDefault="00291D63" w:rsidP="00291D63">
      <w:r>
        <w:t>V predlogu zakona je jasno določeno, da upravljavci zbirk podatkov ostajajo izvajalci zdravstvene dejavnosti in Nacionalnega inštituta za javno zdravje (NIJZ). Novoustanovljeno javno podjetje pa bo nastopalo kot pogodbeni obdelovalec podatkov. To pomeni, da bo podatke obdelovalo izključno na podlagi navodil upravljavcev in jih ne bo smelo uporabljati za lastne namene.</w:t>
      </w:r>
    </w:p>
    <w:p w14:paraId="219D6AD4" w14:textId="6D3DF5D9" w:rsidR="00857A30" w:rsidRDefault="00291D63" w:rsidP="00291D63">
      <w:pPr>
        <w:pStyle w:val="Vir"/>
      </w:pPr>
      <w:r>
        <w:t>Vir: Ministrstvo za zdravje</w:t>
      </w:r>
    </w:p>
    <w:p w14:paraId="77BED539" w14:textId="6E205F8E" w:rsidR="009170E9" w:rsidRDefault="009170E9" w:rsidP="009170E9">
      <w:pPr>
        <w:pStyle w:val="Naslov2"/>
      </w:pPr>
      <w:r>
        <w:t xml:space="preserve">Vlada sprejela </w:t>
      </w:r>
      <w:proofErr w:type="gramStart"/>
      <w:r>
        <w:t>predlog Zakona</w:t>
      </w:r>
      <w:proofErr w:type="gramEnd"/>
      <w:r>
        <w:t xml:space="preserve"> o zdravju živali</w:t>
      </w:r>
    </w:p>
    <w:p w14:paraId="43937CFF" w14:textId="77777777" w:rsidR="009170E9" w:rsidRDefault="009170E9" w:rsidP="009170E9">
      <w:r>
        <w:t xml:space="preserve">Vlada je določila besedilo </w:t>
      </w:r>
      <w:proofErr w:type="gramStart"/>
      <w:r>
        <w:t>predloga Zakona</w:t>
      </w:r>
      <w:proofErr w:type="gramEnd"/>
      <w:r>
        <w:t xml:space="preserve"> o zdravju živali in ga poslala v obravnavo Državnemu zboru Republike Slovenije. Predlog ureja izvajanje Uredbe 2016/429/EU o prenosljivih boleznih živali.</w:t>
      </w:r>
    </w:p>
    <w:p w14:paraId="5A7D0BC7" w14:textId="77777777" w:rsidR="009170E9" w:rsidRDefault="009170E9" w:rsidP="009170E9"/>
    <w:p w14:paraId="0C2F2B64" w14:textId="491C960F" w:rsidR="009170E9" w:rsidRDefault="009170E9" w:rsidP="009170E9">
      <w:r>
        <w:t>Uredba 2016/429/EU se je začela uporabljati leta 2021 in ureja celotno področje zdravja živali s poudarkom na preventivi. Določa osnovno odgovornost izvajalcev dejavnosti, biovarnostne ukrepe, seznam in kategorizacijo bolezni živali, prijavo in poročanje o boleznih, programe spremljanja in izkoreninjenja bolezni, ukrepe ob sumu ali pojavu bolezni živali, registracijo obratov in izvajalcev dejavnosti, premike gojenih kopenskih in vodnih živali, netrgovske premike hišnih živali, nujne ukrepe in drugo. Do te uredbe ni bilo skupne strategije na ravni EU za obvladovanje bolezni, ukrepi pa so bili usmerjeni predvsem v zdravljenje oziroma izkoreninjenje</w:t>
      </w:r>
      <w:r w:rsidR="000D354C">
        <w:t xml:space="preserve"> bolezni</w:t>
      </w:r>
      <w:r>
        <w:t xml:space="preserve">. </w:t>
      </w:r>
    </w:p>
    <w:p w14:paraId="607593E3" w14:textId="77777777" w:rsidR="009170E9" w:rsidRDefault="009170E9" w:rsidP="009170E9"/>
    <w:p w14:paraId="08A04C43" w14:textId="0A39A4D7" w:rsidR="009170E9" w:rsidRDefault="009170E9" w:rsidP="009170E9">
      <w:r>
        <w:t>Zakon o zdravju živali bo na nacionalni ravni podrobneje uredil tiste vidike, ki jih uredba prepušča v urejanje državam članicam. Med drugim tako določa pristojni organ za izvajanje uredbe, pristojnosti generalnega direktorja Uprave za varno hrano, veterinarstvo in varstvo rastlin, nacionalni seznam bolezni ter podrobnejše ukrepe za biološko zaščito, ki jih morajo izvajati rejci. Zakon o zdravju živali ne posega v trenutni sistem organizacije službe in izvajanja ukrepov ter ga ne spreminja.</w:t>
      </w:r>
    </w:p>
    <w:p w14:paraId="26FBD23C" w14:textId="77777777" w:rsidR="009170E9" w:rsidRDefault="009170E9" w:rsidP="009170E9"/>
    <w:p w14:paraId="089A4AE9" w14:textId="0B951D0D" w:rsidR="009170E9" w:rsidRDefault="009170E9" w:rsidP="009170E9">
      <w:r>
        <w:t xml:space="preserve">V Zakon o zdravju živali so prenesene tudi določbe nacionalnih predpisov, ki se vsebinsko nanašajo na Uredbo 2016/429/EU in so bile </w:t>
      </w:r>
      <w:proofErr w:type="gramStart"/>
      <w:r>
        <w:t>do sedaj</w:t>
      </w:r>
      <w:proofErr w:type="gramEnd"/>
      <w:r>
        <w:t xml:space="preserve"> urejene v več zakonih in pravilnikih. </w:t>
      </w:r>
    </w:p>
    <w:p w14:paraId="22387256" w14:textId="77777777" w:rsidR="009170E9" w:rsidRDefault="009170E9" w:rsidP="009170E9">
      <w:pPr>
        <w:pStyle w:val="Vir"/>
      </w:pPr>
      <w:r>
        <w:t>Vir: Ministrstvo za kmetijstvo, gozdarstvo in prehrano</w:t>
      </w:r>
    </w:p>
    <w:p w14:paraId="20D1013B" w14:textId="037542D3" w:rsidR="00431BE4" w:rsidRDefault="00431BE4" w:rsidP="00431BE4">
      <w:pPr>
        <w:pStyle w:val="Naslov2"/>
      </w:pPr>
      <w:r>
        <w:t>Novela Zakona o zunanjih zadevah za boljše delovanje Ministrstva za zunanje in evropske zadeve s slovensko diplomatsko mrežo</w:t>
      </w:r>
    </w:p>
    <w:p w14:paraId="76E81535" w14:textId="77777777" w:rsidR="00431BE4" w:rsidRDefault="00431BE4" w:rsidP="00431BE4">
      <w:r>
        <w:t xml:space="preserve">Vlada Republike Slovenije je določila besedilo </w:t>
      </w:r>
      <w:proofErr w:type="gramStart"/>
      <w:r>
        <w:t>predloga Zakona</w:t>
      </w:r>
      <w:proofErr w:type="gramEnd"/>
      <w:r>
        <w:t xml:space="preserve"> o spremembah in dopolnitvah Zakona o zunanjih zadevah in ga poslala Državnemu zboru v obravnavo.</w:t>
      </w:r>
    </w:p>
    <w:p w14:paraId="7F4C54F9" w14:textId="77777777" w:rsidR="00431BE4" w:rsidRDefault="00431BE4" w:rsidP="00431BE4"/>
    <w:p w14:paraId="40829082" w14:textId="1313F28A" w:rsidR="00431BE4" w:rsidRDefault="00431BE4" w:rsidP="00431BE4">
      <w:r>
        <w:t xml:space="preserve">Ministrstvo za zunanje in evropske zadeve pri izvajanju določb zakona v praksi ocenjuje, da se na nekaterih področjih delovanja MZEZ v zakonskih določbah pojavljajo pomanjkljivosti, ki jih je treba odpraviti in spremeniti za boljše delovanje MZEZ; prav tako določene spremembe, dopolnitve in uskladitve narekujejo predpisi s področja varstva osebnih podatkov ter že vzpostavljena večletna diplomatska praksa. </w:t>
      </w:r>
    </w:p>
    <w:p w14:paraId="0DE486CC" w14:textId="77777777" w:rsidR="00431BE4" w:rsidRDefault="00431BE4" w:rsidP="00431BE4"/>
    <w:p w14:paraId="6BEEA79C" w14:textId="43BB9233" w:rsidR="00431BE4" w:rsidRDefault="00431BE4" w:rsidP="00431BE4">
      <w:r>
        <w:t>S predlagano spremembo v 2. členu bo MZEZ izrecno določen kot izvajalec znanstvenega sodelovanja v mednarodnih odnosih, s čimer bo priznan pomen znanstvene diplomacije.</w:t>
      </w:r>
    </w:p>
    <w:p w14:paraId="3DA10A73" w14:textId="77777777" w:rsidR="00431BE4" w:rsidRDefault="00431BE4" w:rsidP="00431BE4"/>
    <w:p w14:paraId="661AC481" w14:textId="77777777" w:rsidR="00431BE4" w:rsidRDefault="00431BE4" w:rsidP="00431BE4">
      <w:r>
        <w:t>S predlaganimi spremembami in dopolnitvami 16. in 55. člena se bo lažje organiziralo delo med uslužbenci na diplomatskih predstavništvih in konzulatih v tujini. S tem se širi področje opravljanja strokovnega dela, ki ga na diplomatskih predstavništvih in konzulatih v tujini lahko opravlja tudi lokalno osebje.</w:t>
      </w:r>
    </w:p>
    <w:p w14:paraId="2BF163D4" w14:textId="77777777" w:rsidR="00431BE4" w:rsidRDefault="00431BE4" w:rsidP="00431BE4"/>
    <w:p w14:paraId="668F831F" w14:textId="77777777" w:rsidR="00431BE4" w:rsidRDefault="00431BE4" w:rsidP="00431BE4">
      <w:r>
        <w:t xml:space="preserve">Predlog dopolnitve in spremembe </w:t>
      </w:r>
      <w:proofErr w:type="spellStart"/>
      <w:r>
        <w:t>16.a</w:t>
      </w:r>
      <w:proofErr w:type="spellEnd"/>
      <w:r>
        <w:t xml:space="preserve"> člena in novi </w:t>
      </w:r>
      <w:proofErr w:type="spellStart"/>
      <w:r>
        <w:t>29.b</w:t>
      </w:r>
      <w:proofErr w:type="spellEnd"/>
      <w:r>
        <w:t xml:space="preserve"> člen bosta omogočila zakonito zbiranje, obdelovanje in hranjenje osebnih podatkov v postopkih varnostnega preverjanja in za nudenje podpore kandidaturam. Pravna podlaga za zakonito zbiranje osebnih podatkov in vodenje postopkov v MZEZ s področja akreditacije tujih predstavnikov in njihovih privilegijev ter imunitet bo zagotovljena s spremembami in dopolnitvami 59., 60., 61., 62., </w:t>
      </w:r>
      <w:proofErr w:type="spellStart"/>
      <w:r>
        <w:t>62.</w:t>
      </w:r>
      <w:proofErr w:type="gramStart"/>
      <w:r>
        <w:t>a</w:t>
      </w:r>
      <w:proofErr w:type="spellEnd"/>
      <w:proofErr w:type="gramEnd"/>
      <w:r>
        <w:t>, 65. in 66. člena.</w:t>
      </w:r>
    </w:p>
    <w:p w14:paraId="2AA62490" w14:textId="77777777" w:rsidR="00431BE4" w:rsidRDefault="00431BE4" w:rsidP="00431BE4"/>
    <w:p w14:paraId="42D57C28" w14:textId="77777777" w:rsidR="00431BE4" w:rsidRDefault="00431BE4" w:rsidP="00431BE4">
      <w:r>
        <w:t xml:space="preserve">S spremembo </w:t>
      </w:r>
      <w:proofErr w:type="spellStart"/>
      <w:r>
        <w:t>38.a</w:t>
      </w:r>
      <w:proofErr w:type="spellEnd"/>
      <w:r>
        <w:t xml:space="preserve"> člena se </w:t>
      </w:r>
      <w:proofErr w:type="gramStart"/>
      <w:r>
        <w:t>bo</w:t>
      </w:r>
      <w:proofErr w:type="gramEnd"/>
      <w:r>
        <w:t xml:space="preserve"> na primernejši način uredilo mirovanje pravic in obveznosti za uslužbence, ki se zaposlijo pri mednarodnih organizacijah, ter možnost nadomestnih zaposlitev za čas odsotnosti uslužbencev s statusom mirovanja. </w:t>
      </w:r>
    </w:p>
    <w:p w14:paraId="1308EE30" w14:textId="77777777" w:rsidR="00431BE4" w:rsidRDefault="00431BE4" w:rsidP="00431BE4"/>
    <w:p w14:paraId="58A6713E" w14:textId="77777777" w:rsidR="00431BE4" w:rsidRDefault="00431BE4" w:rsidP="00431BE4">
      <w:r>
        <w:t xml:space="preserve">S spremembo 51. člena bo vzpostavljena zakonska podlaga za vštevanje obdobja prostovoljne vključitve v obvezno zavarovanje, ko so bili prispevki dejansko plačani, v pokojninsko dobo brez dokupa. Novo </w:t>
      </w:r>
      <w:proofErr w:type="spellStart"/>
      <w:r>
        <w:t>VI.</w:t>
      </w:r>
      <w:proofErr w:type="gramStart"/>
      <w:r>
        <w:t>a</w:t>
      </w:r>
      <w:proofErr w:type="spellEnd"/>
      <w:proofErr w:type="gramEnd"/>
      <w:r>
        <w:t xml:space="preserve"> poglavje (nov </w:t>
      </w:r>
      <w:proofErr w:type="spellStart"/>
      <w:r>
        <w:t>89.a</w:t>
      </w:r>
      <w:proofErr w:type="spellEnd"/>
      <w:r>
        <w:t xml:space="preserve"> člen) v zakonu bo MZEZ zagotovilo zakonsko podlago za plačilo prostovoljnih prispevkov mednarodnim organizacijam oziroma mednarodnim telesom, katerih članica je Republika Slovenija. </w:t>
      </w:r>
    </w:p>
    <w:p w14:paraId="4758D548" w14:textId="061DF406" w:rsidR="00857A30" w:rsidRDefault="00431BE4" w:rsidP="00431BE4">
      <w:pPr>
        <w:pStyle w:val="Vir"/>
      </w:pPr>
      <w:r>
        <w:t>Vir: Ministrstvo za zunanje in evropske zadeve</w:t>
      </w:r>
    </w:p>
    <w:p w14:paraId="0ACC3FD4" w14:textId="2BE7439C" w:rsidR="00D572F3" w:rsidRDefault="00D572F3" w:rsidP="00D572F3">
      <w:pPr>
        <w:pStyle w:val="Naslov2"/>
      </w:pPr>
      <w:r>
        <w:t>Vlada določila besedilo novele Zakona o varstvu pred utopitvami</w:t>
      </w:r>
    </w:p>
    <w:p w14:paraId="57965DDC" w14:textId="77777777" w:rsidR="00D572F3" w:rsidRDefault="00D572F3" w:rsidP="00D572F3">
      <w:r>
        <w:lastRenderedPageBreak/>
        <w:t xml:space="preserve">Vlada Republike Slovenije je na današnji seji določila besedilo </w:t>
      </w:r>
      <w:proofErr w:type="gramStart"/>
      <w:r>
        <w:t>predloga Zakona</w:t>
      </w:r>
      <w:proofErr w:type="gramEnd"/>
      <w:r>
        <w:t xml:space="preserve"> o spremembah in dopolnitvah Zakona o varstvu pred utopitvami. Poslala ga bo v obravnavo Državnemu zboru po rednem postopku. </w:t>
      </w:r>
    </w:p>
    <w:p w14:paraId="3E9BB7FC" w14:textId="77777777" w:rsidR="00D572F3" w:rsidRDefault="00D572F3" w:rsidP="00D572F3"/>
    <w:p w14:paraId="76EE0A12" w14:textId="77777777" w:rsidR="00D572F3" w:rsidRDefault="00D572F3" w:rsidP="00D572F3">
      <w:r>
        <w:t>Glavni razlogi za noveliranje Zakona o varstvu pred utopitvami so ureditev dejavnosti na tekočih in divjih vodah ter nekatere manjše redakcijske spremembe in izboljšave. V zadnjem desetletju so se storitvene dejavnosti na tekočih in divjih vodah, kot so raftanje, kajakaštvo, soteskanje, supanje, rečni bob in podobno, močno razširile, področje pa v zakonu ni bilo posebej urejeno. Največ nesreč z utopitvijo se namreč zgodi prav na rekah.</w:t>
      </w:r>
    </w:p>
    <w:p w14:paraId="25055857" w14:textId="77777777" w:rsidR="00D572F3" w:rsidRDefault="00D572F3" w:rsidP="00D572F3"/>
    <w:p w14:paraId="591AC890" w14:textId="58D08899" w:rsidR="00D572F3" w:rsidRDefault="00D572F3" w:rsidP="00D572F3">
      <w:r>
        <w:t xml:space="preserve">Cilj novele je zagotoviti čim večjo varnost v različnih okoljih, kjer se lahko zgodi nesreča z utopitvijo, in posledično zmanjšati število utopitev. Cilja sprememb Zakona o varstvu pred utopitvami sta zmanjšanje števila nesreč in utopitev pri izvajanju dejavnosti na tekočih in divjih vodah z ustreznimi ukrepi ter omogočanje učinkovitega varstva pred utopitvami s sorazmernimi in izvršljivimi ukrepi. Tako se želi zagotoviti čim večja varnost pri kopanju in izvajanju drugih dejavnosti na, v in ob vodi. </w:t>
      </w:r>
    </w:p>
    <w:p w14:paraId="738D16AC" w14:textId="77777777" w:rsidR="00D572F3" w:rsidRDefault="00D572F3" w:rsidP="00D572F3"/>
    <w:p w14:paraId="06ABC6F0" w14:textId="77777777" w:rsidR="00D572F3" w:rsidRDefault="00D572F3" w:rsidP="00D572F3">
      <w:r>
        <w:t>Zaradi porasta različnih dejavnosti na tekočih in divjih vodah ter posledično povečanega tveganja za utopitve in nesreče, ki se zgodijo na rekah med izvajanjem športno-turističnih dejavnosti s pridobitnim namenom, je bilo treba to področje urediti oziroma določiti jasne pogoje. Natančneje so opredeljeni tudi pogoji, ki jih morajo izpolnjevati reševalci iz vode.</w:t>
      </w:r>
    </w:p>
    <w:p w14:paraId="06FBA1CF" w14:textId="77777777" w:rsidR="00D572F3" w:rsidRDefault="00D572F3" w:rsidP="00D572F3"/>
    <w:p w14:paraId="7E7B33A6" w14:textId="77777777" w:rsidR="00D572F3" w:rsidRDefault="00D572F3" w:rsidP="00D572F3">
      <w:proofErr w:type="gramStart"/>
      <w:r>
        <w:t>Povsem</w:t>
      </w:r>
      <w:proofErr w:type="gramEnd"/>
      <w:r>
        <w:t xml:space="preserve"> na novo so za namen tega zakona opredeljeni pojmi, kot so divje vode, kajaki, zahtevnejši in manj zahteven rečni odsek, organizirane športno-turistične dejavnosti na tekočih in divjih vodah ter podobno. </w:t>
      </w:r>
    </w:p>
    <w:p w14:paraId="57796303" w14:textId="77777777" w:rsidR="00D572F3" w:rsidRDefault="00D572F3" w:rsidP="00D572F3"/>
    <w:p w14:paraId="66D83FBB" w14:textId="77777777" w:rsidR="00D572F3" w:rsidRDefault="00D572F3" w:rsidP="00D572F3">
      <w:r>
        <w:t xml:space="preserve">Organizatorji javnih prireditev na, v in ob vodi morajo ukrepe varstva pred utopitvami opredeliti v elaboratu, katerega vsebina je predpisana. V elaboratu mora organizator opredeliti vrsto prireditve, ciljno skupino udeležencev, datum in kraj, načine reševanja iz vode ter pooblastila. Prav tako mora vključiti seznam reševalcev iz vode ali oseb, usposobljenih za reševanje iz vode, mesta za reševanje, varnostne ukrepe in seznam opreme. Zaradi posebnih nevarnosti je jasno določeno, da lahko prireditve na divjih vodah varujejo le reševalci iz vode, ki so usposobljeni za reševanje po programu C. Obveznosti pravnih oseb in samostojnih podjetnikov posameznikov, ki ponujajo storitve na tekočih in divjih vodah s pridobitnim namenom, so obravnavane v novem poglavju. </w:t>
      </w:r>
    </w:p>
    <w:p w14:paraId="1111DA61" w14:textId="77777777" w:rsidR="00D572F3" w:rsidRDefault="00D572F3" w:rsidP="00D572F3"/>
    <w:p w14:paraId="74F36EDC" w14:textId="77777777" w:rsidR="00D572F3" w:rsidRDefault="00D572F3" w:rsidP="00D572F3">
      <w:r>
        <w:t xml:space="preserve">Pri izposoji opreme za športne in prostočasne dejavnosti so opredeljeni ukrepi, ki jih morajo upoštevati izposojevalci. bilo zabeleženih utopitev ali nesreč in ker so izposojevalnice lahko tudi oddaljene od vodne površine, je stalna prisotnost osebe, usposobljene za reševanje iz vode, nesorazmeren oziroma nepotreben ukrep. </w:t>
      </w:r>
    </w:p>
    <w:p w14:paraId="39F0F3E5" w14:textId="77777777" w:rsidR="00D572F3" w:rsidRDefault="00D572F3" w:rsidP="00D572F3"/>
    <w:p w14:paraId="6BC96956" w14:textId="77777777" w:rsidR="00D572F3" w:rsidRDefault="00D572F3" w:rsidP="00D572F3">
      <w:r>
        <w:t xml:space="preserve">V novem poglavju so urejene športno-turistične dejavnosti na tekočih in divjih vodah. Opredeljeni so pogoji, ki jih morajo izpolnjevati domače in tuje pravne osebe ter samostojni podjetniki posamezniki, ki izvajajo športno-turistične dejavnosti s pridobitnim namenom. Na novo so določena merila za skupino udeležencev pri posameznih dejavnostih, ki naj bi še omogočili relativno varno izvedbo storitve in učinkovito ukrepanje ob nesreči, ter merila, po katerih se ocenjuje in razvršča težavnost divjih voda. </w:t>
      </w:r>
    </w:p>
    <w:p w14:paraId="28DAFD95" w14:textId="77777777" w:rsidR="00D572F3" w:rsidRDefault="00D572F3" w:rsidP="00D572F3"/>
    <w:p w14:paraId="743F01FC" w14:textId="77777777" w:rsidR="00D572F3" w:rsidRDefault="00D572F3" w:rsidP="00D572F3">
      <w:r>
        <w:t xml:space="preserve">V poglavju o kopališčih so podrobneje opredeljeni pogoji, ki jih mora izpolnjevati reševalec iz vode. Dodana je tudi pristojnost oseb, usposobljenih za reševanje iz vode, med katere prištevamo tudi člane in pripadnike služb, namenjenih zaščiti in reševanju ob poplavah ter drugih nesrečah na vodi. </w:t>
      </w:r>
    </w:p>
    <w:p w14:paraId="7774B967" w14:textId="303C1DFA" w:rsidR="00857A30" w:rsidRDefault="00D572F3" w:rsidP="00D572F3">
      <w:pPr>
        <w:pStyle w:val="Vir"/>
      </w:pPr>
      <w:r>
        <w:t>Vir: Ministrstvo za obrambo</w:t>
      </w:r>
    </w:p>
    <w:p w14:paraId="768CE482" w14:textId="66CCEE4A" w:rsidR="00C42DF6" w:rsidRDefault="00C42DF6" w:rsidP="00C42DF6">
      <w:pPr>
        <w:pStyle w:val="Naslov2"/>
      </w:pPr>
      <w:r>
        <w:t xml:space="preserve">Vlada o zakonu o trgu finančnih instrumentov </w:t>
      </w:r>
    </w:p>
    <w:p w14:paraId="1627349C" w14:textId="77777777" w:rsidR="00C42DF6" w:rsidRDefault="00C42DF6" w:rsidP="00C42DF6">
      <w:r>
        <w:lastRenderedPageBreak/>
        <w:t xml:space="preserve">Vlada je določila besedilo predloga zakona o spremembah in dopolnitvah zakona o trgu finančnih instrumentov (ZTFI-1) ter ga pošlje v obravnavo državnemu zboru. </w:t>
      </w:r>
    </w:p>
    <w:p w14:paraId="7919EF01" w14:textId="77777777" w:rsidR="00C42DF6" w:rsidRDefault="00C42DF6" w:rsidP="00C42DF6"/>
    <w:p w14:paraId="72F2EB40" w14:textId="77777777" w:rsidR="00C42DF6" w:rsidRDefault="00C42DF6" w:rsidP="00C42DF6">
      <w:r>
        <w:t xml:space="preserve">S predlaganimi spremembami zakona o trgu finančnih instrumentov se v pravni red Republike Slovenije prenašajo določbe evropske </w:t>
      </w:r>
      <w:proofErr w:type="gramStart"/>
      <w:r>
        <w:t>direktive</w:t>
      </w:r>
      <w:proofErr w:type="gramEnd"/>
      <w:r>
        <w:t>. Poleg tega se odpravlja neskladnosti treh členov ZTFI-1 in dodaja opredelitev pojma »</w:t>
      </w:r>
      <w:proofErr w:type="gramStart"/>
      <w:r>
        <w:t>kreditna</w:t>
      </w:r>
      <w:proofErr w:type="gramEnd"/>
      <w:r>
        <w:t xml:space="preserve"> institucija«.</w:t>
      </w:r>
    </w:p>
    <w:p w14:paraId="53F9AAB0" w14:textId="6C37FA0C" w:rsidR="00857A30" w:rsidRDefault="00C42DF6" w:rsidP="00C42DF6">
      <w:pPr>
        <w:pStyle w:val="Vir"/>
      </w:pPr>
      <w:r>
        <w:t>Vir: Ministrstvo za finance</w:t>
      </w:r>
    </w:p>
    <w:p w14:paraId="23E0A0B8" w14:textId="507BE74C" w:rsidR="0026496E" w:rsidRDefault="0026496E" w:rsidP="0026496E">
      <w:pPr>
        <w:pStyle w:val="Naslov2"/>
      </w:pPr>
      <w:r>
        <w:t>Vlada sprejela predlog zakona za izvajanje evropske uredbe o tujih subvencijah in ga v obravnavo posreduje Državnemu zboru</w:t>
      </w:r>
    </w:p>
    <w:p w14:paraId="7B8284AA" w14:textId="77777777" w:rsidR="0026496E" w:rsidRDefault="0026496E" w:rsidP="0026496E">
      <w:r>
        <w:t>Vlada Republike Slovenije je na današnji seji sprejela predlog zakona o izvajanju Uredbe (EU) 2022/2560 Evropskega parlamenta in Sveta o tujih subvencijah, ki izkrivljajo notranji trg. Namen predloga zakona je zapolnitev zakonodajne vrzeli na področju konkurence, trgovine in javnih naročil, saj omogoča ukrepanje v primerih, ko tuje subvencije povzročajo izkrivljanje konkurence na notranjem trgu Evropske unije, vključno pri financiranju združitev in prevzemov podjetij.</w:t>
      </w:r>
    </w:p>
    <w:p w14:paraId="59285515" w14:textId="77777777" w:rsidR="0026496E" w:rsidRDefault="0026496E" w:rsidP="0026496E"/>
    <w:p w14:paraId="7B54F30C" w14:textId="77777777" w:rsidR="0026496E" w:rsidRDefault="0026496E" w:rsidP="0026496E">
      <w:r>
        <w:t>Predlog zakona prenaša pravila iz evropske uredbe v slovenski pravni red in pri tem uresničuje temeljna načela konkurenčnega prava in javnih naročil, kot so načelo sorazmernosti, enakega obravnavanja, preglednosti in zagotavljanja enakih konkurenčnih pogojev za vsa podjetja, ki poslujejo na trgu EU.</w:t>
      </w:r>
    </w:p>
    <w:p w14:paraId="04FD0D32" w14:textId="77777777" w:rsidR="0026496E" w:rsidRDefault="0026496E" w:rsidP="0026496E">
      <w:r>
        <w:t xml:space="preserve">Države članice so z evropsko uredbo zavezane k zagotavljanju informacij in pomoči Evropski komisiji pri preiskavah ter k ukrepanju ob zaznanih morebitnih tujih subvencijah, ki bi lahko izkrivljale notranji trg. </w:t>
      </w:r>
    </w:p>
    <w:p w14:paraId="7AEFF820" w14:textId="77777777" w:rsidR="0026496E" w:rsidRDefault="0026496E" w:rsidP="0026496E"/>
    <w:p w14:paraId="630ECFF8" w14:textId="77777777" w:rsidR="0026496E" w:rsidRDefault="0026496E" w:rsidP="0026496E">
      <w:r>
        <w:t>Vlada s predlogom zakona določa pristojne organe za izvajanje evropske uredbe:</w:t>
      </w:r>
    </w:p>
    <w:p w14:paraId="4A4D501C" w14:textId="52B20933" w:rsidR="0026496E" w:rsidRDefault="0026496E" w:rsidP="0026496E">
      <w:pPr>
        <w:pStyle w:val="Odstavekseznama"/>
        <w:numPr>
          <w:ilvl w:val="0"/>
          <w:numId w:val="24"/>
        </w:numPr>
      </w:pPr>
      <w:r>
        <w:t>Ministrstvo za gospodarstvo, turizem in šport kot pristojni organ za izvajanje uredbe na splošno,</w:t>
      </w:r>
    </w:p>
    <w:p w14:paraId="1307150C" w14:textId="422A990D" w:rsidR="0026496E" w:rsidRDefault="0026496E" w:rsidP="0026496E">
      <w:pPr>
        <w:pStyle w:val="Odstavekseznama"/>
        <w:numPr>
          <w:ilvl w:val="0"/>
          <w:numId w:val="24"/>
        </w:numPr>
      </w:pPr>
      <w:r>
        <w:t xml:space="preserve">Javno agencijo Republike Slovenije za varstvo konkurence za področje koncentracij podjetij in </w:t>
      </w:r>
    </w:p>
    <w:p w14:paraId="11BF1CCB" w14:textId="0B3D5108" w:rsidR="0026496E" w:rsidRDefault="0026496E" w:rsidP="0026496E">
      <w:pPr>
        <w:pStyle w:val="Odstavekseznama"/>
        <w:numPr>
          <w:ilvl w:val="0"/>
          <w:numId w:val="24"/>
        </w:numPr>
      </w:pPr>
      <w:r>
        <w:t>Ministrstvo za javno upravo za področje javnih naročil.</w:t>
      </w:r>
    </w:p>
    <w:p w14:paraId="6BC04A65" w14:textId="77777777" w:rsidR="0026496E" w:rsidRDefault="0026496E" w:rsidP="0026496E"/>
    <w:p w14:paraId="4AF2FCCD" w14:textId="77777777" w:rsidR="0026496E" w:rsidRDefault="0026496E" w:rsidP="0026496E">
      <w:r>
        <w:t>Predlog zakona vsebuje tudi določbe, ki omogočajo zakonito izvedbo preiskav v skladu z Ustavo Republike Slovenije. Določeni so pogoji za izdajo sodne odredbe ter pristojnost sodišč, pri čemer se pri podrobnostih smiselno uporabljajo določbe Zakona o preprečevanju omejevanja konkurence, zlasti glede zakonitosti preiskav in uporabe zbranih dokazov.</w:t>
      </w:r>
    </w:p>
    <w:p w14:paraId="66D924E7" w14:textId="77777777" w:rsidR="0026496E" w:rsidRDefault="0026496E" w:rsidP="0026496E"/>
    <w:p w14:paraId="3369A95B" w14:textId="77777777" w:rsidR="0026496E" w:rsidRDefault="0026496E" w:rsidP="0026496E">
      <w:r>
        <w:t>S predlagano ureditvijo Slovenija izpolnjuje obveznosti do Evropske unije in prispeva k zagotavljanju poštenih konkurenčnih pogojev na notranjem trgu EU.</w:t>
      </w:r>
    </w:p>
    <w:p w14:paraId="2C160EF6" w14:textId="5644E501" w:rsidR="00857A30" w:rsidRDefault="0026496E" w:rsidP="0026496E">
      <w:pPr>
        <w:pStyle w:val="Vir"/>
      </w:pPr>
      <w:r>
        <w:t>Vir: Ministrstvo za gospodarstvo, turizem in šport</w:t>
      </w:r>
    </w:p>
    <w:p w14:paraId="63A98154" w14:textId="472A15C1" w:rsidR="004E4419" w:rsidRDefault="004E4419" w:rsidP="004E4419">
      <w:pPr>
        <w:pStyle w:val="Naslov2"/>
      </w:pPr>
      <w:r>
        <w:t>Sprejet prenovljen krovni zakon – Vlada sprejela predlog sprememb Zakona o uresničevanju javnega interesa za kulturo</w:t>
      </w:r>
    </w:p>
    <w:p w14:paraId="78D34FAD" w14:textId="3C48C27F" w:rsidR="004E4419" w:rsidRDefault="004E4419" w:rsidP="004E4419">
      <w:r>
        <w:t>Vlada je sprejela predlog sprememb Zakona o uresničevanju javnega interesa za kulturo, kar pomeni prvo večjo prenovo tega zakona po skoraj dveh desetletjih. Novela prinaša temeljne spremembe za dostopnost kulture, boljše pogoje dela v javnih zavodih in za samozaposlene v kulturi</w:t>
      </w:r>
      <w:proofErr w:type="gramStart"/>
      <w:r>
        <w:t>,</w:t>
      </w:r>
      <w:proofErr w:type="gramEnd"/>
      <w:r>
        <w:t xml:space="preserve"> ter vzpostavlja trajnejši, decentraliziran in predvidljiv sistem delovanja javnega interesa za kulturo.</w:t>
      </w:r>
    </w:p>
    <w:p w14:paraId="12E1B5B7" w14:textId="77777777" w:rsidR="004E4419" w:rsidRDefault="004E4419" w:rsidP="004E4419"/>
    <w:p w14:paraId="5DA489B8" w14:textId="4AFACEF0" w:rsidR="004E4419" w:rsidRDefault="004E4419" w:rsidP="004E4419">
      <w:r>
        <w:t xml:space="preserve">Na Ministrstvu za kulturo uvajamo ukrepe, ki izboljšujejo delovne in prostorske pogoje, preprečujejo prekarizacijo mladih, omogočajo lažjo prekvalifikacijo baletnih plesalcev in urejajo plačana uvajanja ob </w:t>
      </w:r>
      <w:proofErr w:type="gramStart"/>
      <w:r>
        <w:lastRenderedPageBreak/>
        <w:t>menjavah</w:t>
      </w:r>
      <w:proofErr w:type="gramEnd"/>
      <w:r>
        <w:t xml:space="preserve"> generacij. Javnim zavodom omogočamo stabilnejše delovanje, tudi v mednarodnem prostoru.</w:t>
      </w:r>
    </w:p>
    <w:p w14:paraId="7072EEF0" w14:textId="77777777" w:rsidR="004E4419" w:rsidRDefault="004E4419" w:rsidP="004E4419"/>
    <w:p w14:paraId="0C444B03" w14:textId="7804EFDD" w:rsidR="004E4419" w:rsidRDefault="004E4419" w:rsidP="004E4419">
      <w:r>
        <w:t xml:space="preserve">Novela prinaša pomembne izboljšave za samozaposlene: višji in bolj prilagodljiv cenzus za socialne prispevke, večja zaščita ob </w:t>
      </w:r>
      <w:proofErr w:type="gramStart"/>
      <w:r>
        <w:t>bolniški</w:t>
      </w:r>
      <w:proofErr w:type="gramEnd"/>
      <w:r>
        <w:t xml:space="preserve"> in starševskem dopustu ter boljši pogoji za delo v tujini. Nevladne organizacije bodo lažje dostopale do prostorov in dosegale večjo pravno varnost pri razpisih.</w:t>
      </w:r>
    </w:p>
    <w:p w14:paraId="32FE6C89" w14:textId="117CC27B" w:rsidR="004E4419" w:rsidRDefault="004E4419" w:rsidP="004E4419">
      <w:r>
        <w:t xml:space="preserve">Umetniški delež v javnih </w:t>
      </w:r>
      <w:proofErr w:type="gramStart"/>
      <w:r>
        <w:t>investicijah</w:t>
      </w:r>
      <w:proofErr w:type="gramEnd"/>
      <w:r>
        <w:t xml:space="preserve"> se krepi, zakon pa spodbuja tudi kulturno-umetnostno vzgojo, mednarodno prisotnost slovenske umetnosti in dolgoročni najem prostorov v tujini. Urejajo se evidence, registri, komisije in strateški dokumenti. Zakon temelji na širokem dialogu s kulturnim sektorjem in </w:t>
      </w:r>
      <w:r w:rsidR="000D354C">
        <w:t>bo</w:t>
      </w:r>
      <w:r>
        <w:t xml:space="preserve"> v obravnavi po skrajšanem postopku.</w:t>
      </w:r>
    </w:p>
    <w:p w14:paraId="1AB8219E" w14:textId="5C51D08D" w:rsidR="00485D23" w:rsidRDefault="004E4419" w:rsidP="004E4419">
      <w:pPr>
        <w:pStyle w:val="Vir"/>
      </w:pPr>
      <w:r>
        <w:t>Vir: Ministrstvo za kulturo</w:t>
      </w:r>
    </w:p>
    <w:p w14:paraId="2E18B057" w14:textId="76EC3EDC" w:rsidR="00371B02" w:rsidRDefault="00371B02" w:rsidP="00371B02">
      <w:pPr>
        <w:pStyle w:val="Naslov2"/>
      </w:pPr>
      <w:r>
        <w:t>Vlada izdala uredbo o določitvi lestvic katastrskega dohodka in pavšalne ocene dohodka na čebelji panj</w:t>
      </w:r>
    </w:p>
    <w:p w14:paraId="03EEAC18" w14:textId="77777777" w:rsidR="00371B02" w:rsidRDefault="00371B02" w:rsidP="00371B02">
      <w:r>
        <w:t>Vlada je izdala Uredbo o določitvi lestvic katastrskega dohodka, pavšalne ocene dohodka na čebelji panj in območij posebnih režimov za kmetovanje in gospodarjenje z gozdovi za obdobje 2026–2028. Uredba določa nove zneske katastrskega dohodka in pavšalne ocene dohodka na čebelji panj, ki bodo veljali v prihodnjih treh letih.</w:t>
      </w:r>
    </w:p>
    <w:p w14:paraId="764CC4BF" w14:textId="77777777" w:rsidR="00371B02" w:rsidRDefault="00371B02" w:rsidP="00371B02"/>
    <w:p w14:paraId="7A24BDC8" w14:textId="4F5BEC04" w:rsidR="00371B02" w:rsidRDefault="00371B02" w:rsidP="00371B02">
      <w:r>
        <w:t xml:space="preserve">Uredba o določitvi lestvic katastrskega dohodka, pavšalne ocene dohodka na čebelji panj in območij posebnih režimov za kmetovanje in gospodarjenje z gozdovi je operativni izvedbeni akt Zakona o ugotavljanju katastrskega dohodka, s katerim se na podlagi pravil, ki jih ureja omenjeni zakon, vsaka tri leta določi zneske katastrskega dohodka za kmetijska in gozdna zemljišča ter pavšalno oceno dohodka na čebelji panj. </w:t>
      </w:r>
      <w:r>
        <w:t>P</w:t>
      </w:r>
      <w:r>
        <w:t xml:space="preserve">redlog uredbe določa zneske za obdobje 2026–2028. Za isto obdobje se z uredbo </w:t>
      </w:r>
      <w:proofErr w:type="gramStart"/>
      <w:r>
        <w:t>določa</w:t>
      </w:r>
      <w:proofErr w:type="gramEnd"/>
      <w:r>
        <w:t xml:space="preserve"> tudi odstotke korekcije katastrskega dohodka za zemljišča po vrstah dejanske rabe v območjih posebnih režimov.</w:t>
      </w:r>
    </w:p>
    <w:p w14:paraId="6E919F29" w14:textId="77777777" w:rsidR="00371B02" w:rsidRDefault="00371B02" w:rsidP="00371B02"/>
    <w:p w14:paraId="6393CB53" w14:textId="77777777" w:rsidR="00371B02" w:rsidRDefault="00371B02" w:rsidP="00371B02">
      <w:r>
        <w:t xml:space="preserve">Izračuni kažejo, da prihaja v obdobju 2026–2028 v primerjavi z obdobjem 2023–2025 do raznolikih </w:t>
      </w:r>
      <w:proofErr w:type="gramStart"/>
      <w:r>
        <w:t>sprememb</w:t>
      </w:r>
      <w:proofErr w:type="gramEnd"/>
      <w:r>
        <w:t xml:space="preserve"> pavšalno ocenjenega dohodka iz naslova uporabe kmetijskih in gozdnih zemljišč. Zaradi bistvenega povečanja prihodkov se zvišuje katastrski dohodek na hektar pri kmetijskih zemljiščih brez evidentirane podrobnejše dejanske rabe (kamor spadajo njive, travinje ipd. – zvišanje za 18</w:t>
      </w:r>
      <w:proofErr w:type="gramStart"/>
      <w:r>
        <w:t xml:space="preserve"> %</w:t>
      </w:r>
      <w:proofErr w:type="gramEnd"/>
      <w:r>
        <w:t>) ter pri vinogradih (zvišanje za 19 %). Po drugi strani se katastrski dohodek na hektar znižuje pri oljčnikih (za 23</w:t>
      </w:r>
      <w:proofErr w:type="gramStart"/>
      <w:r>
        <w:t xml:space="preserve"> %</w:t>
      </w:r>
      <w:proofErr w:type="gramEnd"/>
      <w:r>
        <w:t>) ter pri intenzivnih in drugih trajnih nasadih (za 11 %), medtem ko pri hmeljiščih ostaja nespremenjen. Katastrski dohodek za gozd se v povprečju povečuje za približno 14</w:t>
      </w:r>
      <w:proofErr w:type="gramStart"/>
      <w:r>
        <w:t xml:space="preserve"> %</w:t>
      </w:r>
      <w:proofErr w:type="gramEnd"/>
      <w:r>
        <w:t>, na hektar se zvišuje za 13 %. Pavšalna ocena dohodka na čebelji panj pa se zaradi zmanjšanja obsega prihodkov v analiziranem obdobju ter hkratnega povečanja števila registriranih panjev na presečni datum znižuje za več kot 10</w:t>
      </w:r>
      <w:proofErr w:type="gramStart"/>
      <w:r>
        <w:t xml:space="preserve"> %</w:t>
      </w:r>
      <w:proofErr w:type="gramEnd"/>
      <w:r>
        <w:t>. Navedeni trendi izhajajo iz ekonomskih računov za kmetijstvo in gozdarstvo pri Statističnem uradu Republike Slovenije v letih 2019 do 2023 in upoštevajo z ZUKD-2 določene normirane odhodke.</w:t>
      </w:r>
    </w:p>
    <w:p w14:paraId="1750509C" w14:textId="37EC0A7E" w:rsidR="00B301B3" w:rsidRDefault="00371B02" w:rsidP="00371B02">
      <w:pPr>
        <w:pStyle w:val="Vir"/>
      </w:pPr>
      <w:r>
        <w:t>Vir: Ministrstvo za finance</w:t>
      </w:r>
    </w:p>
    <w:p w14:paraId="189607CD" w14:textId="3E88CC69" w:rsidR="00106798" w:rsidRDefault="00106798" w:rsidP="00106798">
      <w:pPr>
        <w:pStyle w:val="Naslov2"/>
      </w:pPr>
      <w:r>
        <w:t>Vlada o novem avtocestnem izvozu Log - Dragomer</w:t>
      </w:r>
    </w:p>
    <w:p w14:paraId="3A338762" w14:textId="77777777" w:rsidR="00106798" w:rsidRDefault="00106798" w:rsidP="00106798">
      <w:r>
        <w:t xml:space="preserve">Gradnja novega </w:t>
      </w:r>
      <w:proofErr w:type="spellStart"/>
      <w:r>
        <w:t>avotcestnega</w:t>
      </w:r>
      <w:proofErr w:type="spellEnd"/>
      <w:r>
        <w:t xml:space="preserve"> izvoza Log – Dragomer je tik pred zaključkom, temu ustrezno pa je treba spremeniti spremljajoče predpise. Z novim avtocestnim priključkom Dragomer se bo obstoječi cestninski odsek Brezovica – Vrhnika razdelil na dva nova cestninska odseka, </w:t>
      </w:r>
      <w:proofErr w:type="gramStart"/>
      <w:r>
        <w:t>t. j.</w:t>
      </w:r>
      <w:proofErr w:type="gramEnd"/>
      <w:r>
        <w:t xml:space="preserve"> cestninski odsek Brezovica – Dragomer in cestninski odsek Dragomer – Vrhnika. </w:t>
      </w:r>
    </w:p>
    <w:p w14:paraId="65DD93EA" w14:textId="77777777" w:rsidR="00106798" w:rsidRDefault="00106798" w:rsidP="00106798"/>
    <w:p w14:paraId="008065A2" w14:textId="77777777" w:rsidR="00106798" w:rsidRDefault="00106798" w:rsidP="00106798">
      <w:r>
        <w:t xml:space="preserve">Dopolniti je </w:t>
      </w:r>
      <w:proofErr w:type="gramStart"/>
      <w:r>
        <w:t>potrebno</w:t>
      </w:r>
      <w:proofErr w:type="gramEnd"/>
      <w:r>
        <w:t xml:space="preserve"> tudi Uredbo o cestninskih cestah in cestnini. V novi Uredbi o cestninskih cestah in cestnini se dodaja </w:t>
      </w:r>
      <w:proofErr w:type="gramStart"/>
      <w:r>
        <w:t>nov</w:t>
      </w:r>
      <w:proofErr w:type="gramEnd"/>
      <w:r>
        <w:t xml:space="preserve"> avtocestni priključek Dragomer, in sicer v Prilogi uredbe »Obvezne </w:t>
      </w:r>
      <w:r>
        <w:lastRenderedPageBreak/>
        <w:t>cestninske ceste in njihovi odseki ter prevozne razdalje in Izbirne cestninske ceste in njihovi odseki ter prevozne razdalje«, hkrati pa se zaradi terminološkega usklajevanja z zakonom o cestninjenju izraz »največja dovoljena masa« v celotnem besedilu uredbe nadomesti z izrazom »največja tehnično dovoljena masa«.</w:t>
      </w:r>
    </w:p>
    <w:p w14:paraId="6788AC90" w14:textId="58C7A15C" w:rsidR="00B301B3" w:rsidRDefault="00B301B3" w:rsidP="00106798">
      <w:pPr>
        <w:pStyle w:val="Vir"/>
      </w:pPr>
      <w:r>
        <w:t>Vir: Ministrstvo za infrastrukturo</w:t>
      </w:r>
    </w:p>
    <w:p w14:paraId="23C29AD4" w14:textId="55547BDD" w:rsidR="00BF11F0" w:rsidRDefault="00BF11F0" w:rsidP="00BF11F0">
      <w:pPr>
        <w:pStyle w:val="Naslov2"/>
      </w:pPr>
      <w:r>
        <w:t>Nacionalna strategija o upravljanju migracij in azila</w:t>
      </w:r>
    </w:p>
    <w:p w14:paraId="3F0EF656" w14:textId="77777777" w:rsidR="00BF11F0" w:rsidRDefault="00BF11F0" w:rsidP="00BF11F0">
      <w:r>
        <w:t>Vlada Republike Slovenije je sprejela Nacionalno strategijo o upravljanju migracij in azila.</w:t>
      </w:r>
    </w:p>
    <w:p w14:paraId="3C0D0A99" w14:textId="77777777" w:rsidR="00BF11F0" w:rsidRDefault="00BF11F0" w:rsidP="00BF11F0"/>
    <w:p w14:paraId="5B5C62C0" w14:textId="77777777" w:rsidR="00BF11F0" w:rsidRDefault="00BF11F0" w:rsidP="00BF11F0">
      <w:r>
        <w:t>Uredba 2024/1351/EU o upravljanju azila in migracij državam članicam nalaga oblikovanje strategije za vzpostavitev strateškega pristopa, ki bo zagotovila, da imajo zmogljivosti za učinkovito izvajanje sistema upravljanja azila in migracij v skladu z obveznostmi, ki izhajajo iz prava EU in mednarodnega prava ob upoštevanju nacionalnih posebnosti.</w:t>
      </w:r>
    </w:p>
    <w:p w14:paraId="0245516C" w14:textId="77777777" w:rsidR="00BF11F0" w:rsidRDefault="00BF11F0" w:rsidP="00BF11F0"/>
    <w:p w14:paraId="38513E67" w14:textId="77777777" w:rsidR="00BF11F0" w:rsidRDefault="00BF11F0" w:rsidP="00BF11F0">
      <w:r>
        <w:t xml:space="preserve">Nacionalna strategija Republike Slovenije o upravljanju migracij in azila temelji na posebnostih azilnega in </w:t>
      </w:r>
      <w:proofErr w:type="gramStart"/>
      <w:r>
        <w:t>migracijskega</w:t>
      </w:r>
      <w:proofErr w:type="gramEnd"/>
      <w:r>
        <w:t xml:space="preserve"> sistema, ki izhajajo iz geografske lege države in pretežne centraliziranosti sistema azila, omejitev, ki so posledica relativne majhnosti države ter že prepoznanih in obravnavanih potreb ter vrzeli nacionalnega sistema. Ključna prioriteta Slovenije bo implementacija Pakta o migracijah in azilu ter njegova izvedba, s tem pa tudi izvedba vseh ukrepov, ki so usmerjeni v zagotavljanje učinkovitega upravljanja z azilom in migracijami, vključno s </w:t>
      </w:r>
      <w:proofErr w:type="gramStart"/>
      <w:r>
        <w:t>preventivnimi</w:t>
      </w:r>
      <w:proofErr w:type="gramEnd"/>
      <w:r>
        <w:t xml:space="preserve"> ukrepi.</w:t>
      </w:r>
    </w:p>
    <w:p w14:paraId="1FD3C8AB" w14:textId="77777777" w:rsidR="00BF11F0" w:rsidRDefault="00BF11F0" w:rsidP="00BF11F0"/>
    <w:p w14:paraId="1AC60B09" w14:textId="77777777" w:rsidR="00BF11F0" w:rsidRDefault="00BF11F0" w:rsidP="00BF11F0">
      <w:r>
        <w:t xml:space="preserve">Nacionalna strategija določa naslednje strateške cilje in ključne ukrepe na področju upravljanja azila in migracij: </w:t>
      </w:r>
    </w:p>
    <w:p w14:paraId="3AA2139D" w14:textId="19BC398B" w:rsidR="00BF11F0" w:rsidRDefault="00BF11F0" w:rsidP="00BF11F0">
      <w:pPr>
        <w:pStyle w:val="Odstavekseznama"/>
        <w:numPr>
          <w:ilvl w:val="0"/>
          <w:numId w:val="12"/>
        </w:numPr>
      </w:pPr>
      <w:r>
        <w:t xml:space="preserve">učinkovito upravljanje azilnega in </w:t>
      </w:r>
      <w:proofErr w:type="gramStart"/>
      <w:r>
        <w:t>migracijskega</w:t>
      </w:r>
      <w:proofErr w:type="gramEnd"/>
      <w:r>
        <w:t xml:space="preserve"> sistema z namenom zmanjšanja migracijskega pritiska na podlagi celovitega pristopa,</w:t>
      </w:r>
    </w:p>
    <w:p w14:paraId="76D7427A" w14:textId="3FDE5C02" w:rsidR="00BF11F0" w:rsidRDefault="00BF11F0" w:rsidP="00BF11F0">
      <w:pPr>
        <w:pStyle w:val="Odstavekseznama"/>
        <w:numPr>
          <w:ilvl w:val="0"/>
          <w:numId w:val="12"/>
        </w:numPr>
      </w:pPr>
      <w:r>
        <w:t>učinkovito upravljanje zunanjih meja EU,</w:t>
      </w:r>
    </w:p>
    <w:p w14:paraId="3B1E375C" w14:textId="0528D824" w:rsidR="00BF11F0" w:rsidRDefault="00BF11F0" w:rsidP="00BF11F0">
      <w:pPr>
        <w:pStyle w:val="Odstavekseznama"/>
        <w:numPr>
          <w:ilvl w:val="0"/>
          <w:numId w:val="12"/>
        </w:numPr>
      </w:pPr>
      <w:r>
        <w:t>pravičen azilni sistem in sistem za vključevanje,</w:t>
      </w:r>
    </w:p>
    <w:p w14:paraId="113E93C6" w14:textId="2BC276E6" w:rsidR="00BF11F0" w:rsidRDefault="00BF11F0" w:rsidP="00BF11F0">
      <w:pPr>
        <w:pStyle w:val="Odstavekseznama"/>
        <w:numPr>
          <w:ilvl w:val="0"/>
          <w:numId w:val="12"/>
        </w:numPr>
      </w:pPr>
      <w:r>
        <w:t>pripravljenost in kontingenčno načrtovanje,</w:t>
      </w:r>
    </w:p>
    <w:p w14:paraId="28B7D41E" w14:textId="55D2A1AF" w:rsidR="00BF11F0" w:rsidRDefault="00BF11F0" w:rsidP="00BF11F0">
      <w:pPr>
        <w:pStyle w:val="Odstavekseznama"/>
        <w:numPr>
          <w:ilvl w:val="0"/>
          <w:numId w:val="12"/>
        </w:numPr>
      </w:pPr>
      <w:r>
        <w:t>uresničevanje celostnega pristopa – ukrepi za izvajanje načela integriranega oblikovanja politik,</w:t>
      </w:r>
    </w:p>
    <w:p w14:paraId="2F515DCA" w14:textId="07D603B5" w:rsidR="00BF11F0" w:rsidRDefault="00BF11F0" w:rsidP="00BF11F0">
      <w:pPr>
        <w:pStyle w:val="Odstavekseznama"/>
        <w:numPr>
          <w:ilvl w:val="0"/>
          <w:numId w:val="12"/>
        </w:numPr>
      </w:pPr>
      <w:r>
        <w:t>zagotavljanje zadostnih zmogljivosti in zmožnosti za učinkovito izvajanje nacionalne strategije.</w:t>
      </w:r>
    </w:p>
    <w:p w14:paraId="5F87CE85" w14:textId="77777777" w:rsidR="00BF11F0" w:rsidRDefault="00BF11F0" w:rsidP="00BF11F0"/>
    <w:p w14:paraId="780AB0BC" w14:textId="77777777" w:rsidR="00BF11F0" w:rsidRDefault="00BF11F0" w:rsidP="00BF11F0">
      <w:r>
        <w:t>Nacionalna strategija temelji na nekaterih že sprejetih dokumentih in jih tudi upošteva. To so: Strategija vlade na področju priseljevanja (2024), Strategija vključevanja tujcev, ki niso državljani Evropske unije, v kulturno, gospodarsko in družbeno življenje Republike Slovenije (2023), Strategija skladnega upravljanja državne meje (2024), Nacionalni izvedbeni načrt za Pakt o migracijah in azilu (2024) ter Kontingentni načrt zagotovitev nastanitve in oskrbe povečanega števila prosilcev za mednarodno zaščito in za izvajanje postopkov mednarodne zaščite (2025).</w:t>
      </w:r>
    </w:p>
    <w:p w14:paraId="30DC0B22" w14:textId="4D2B1621" w:rsidR="00857A30" w:rsidRDefault="00BF11F0" w:rsidP="00BF11F0">
      <w:pPr>
        <w:pStyle w:val="Vir"/>
      </w:pPr>
      <w:r>
        <w:t>Vir: Ministrstvo za notranje zadeve</w:t>
      </w:r>
    </w:p>
    <w:p w14:paraId="4B46DD3D" w14:textId="4570411D" w:rsidR="00E6446C" w:rsidRDefault="00E6446C" w:rsidP="00E6446C">
      <w:pPr>
        <w:pStyle w:val="Naslov2"/>
      </w:pPr>
      <w:r>
        <w:t>Vlada o uvedbi evra v Bolgariji</w:t>
      </w:r>
    </w:p>
    <w:p w14:paraId="78A24E44" w14:textId="77777777" w:rsidR="00E6446C" w:rsidRDefault="00E6446C" w:rsidP="00E6446C">
      <w:r>
        <w:t xml:space="preserve">Vlada je na današnji seji sprejela stališče glede uvedbe evra v Bolgariji in posledični spremembi Uredbe zaradi uvedbe evra v Bolgariji. </w:t>
      </w:r>
    </w:p>
    <w:p w14:paraId="0DFD9006" w14:textId="77777777" w:rsidR="00E6446C" w:rsidRDefault="00E6446C" w:rsidP="00E6446C"/>
    <w:p w14:paraId="05A17022" w14:textId="28C7A479" w:rsidR="00E6446C" w:rsidRDefault="00E6446C" w:rsidP="00E6446C">
      <w:r>
        <w:t xml:space="preserve">Slovenija se je seznanila z ugotovitvami Evropske centralne banke in Evropske komisije, da Bolgarija izpolnjuje pogoje za prevzem evra in se posledično strinja s predlogom sklepa Sveta o uvedbi evra v Bolgariji 1. januarja 2026 in podpira predlog Uredbe Sveta o spremembi Uredbe zaradi uvedbe evra v Bolgariji. </w:t>
      </w:r>
    </w:p>
    <w:p w14:paraId="1D576B58" w14:textId="77777777" w:rsidR="00E6446C" w:rsidRDefault="00E6446C" w:rsidP="00E6446C"/>
    <w:p w14:paraId="3DBDE224" w14:textId="77777777" w:rsidR="00E6446C" w:rsidRDefault="00E6446C" w:rsidP="00E6446C">
      <w:r>
        <w:t xml:space="preserve">Slovenija obenem pozdravlja nadaljnja prizadevanja Bolgarije k oblikovanju in izvajanju trajnostnih reform in gospodarskih in strukturnih politik, ki krepijo odpornost bolgarskega gospodarstva, vključno z učinkovitim bojem proti pranju denarja in financiranju terorizma, </w:t>
      </w:r>
      <w:proofErr w:type="gramStart"/>
      <w:r>
        <w:t>transparentnostjo</w:t>
      </w:r>
      <w:proofErr w:type="gramEnd"/>
      <w:r>
        <w:t xml:space="preserve"> in zagotavljanjem poslovnega okolja, ki bo dolgoročno spodbujalo stabilnost in konkurenčnost.</w:t>
      </w:r>
    </w:p>
    <w:p w14:paraId="41706332" w14:textId="38994A62" w:rsidR="00485D23" w:rsidRDefault="00E6446C" w:rsidP="00E6446C">
      <w:pPr>
        <w:pStyle w:val="Vir"/>
      </w:pPr>
      <w:r>
        <w:t>Vir: Ministrstvo za finance</w:t>
      </w:r>
    </w:p>
    <w:p w14:paraId="54FCE20B" w14:textId="55467079" w:rsidR="00650F3F" w:rsidRDefault="00650F3F" w:rsidP="00650F3F">
      <w:pPr>
        <w:pStyle w:val="Naslov2"/>
      </w:pPr>
      <w:r>
        <w:t>Zakon o ratifikaciji Sporazuma med Republiko Slovenijo in Novo Zelandijo o odpravi dvojnega obdavčevanja v zvezi z davki od dohodka ter o preprečevanju davčnih utaj in izogibanja davkom, s protokolom</w:t>
      </w:r>
    </w:p>
    <w:p w14:paraId="23CEE01A" w14:textId="77777777" w:rsidR="00650F3F" w:rsidRDefault="00650F3F" w:rsidP="00650F3F">
      <w:r>
        <w:t>Vlada Republike Slovenije je določila besedilo Predloga zakona o ratifikaciji Sporazuma med Republiko Slovenijo in Novo Zelandijo o odpravi dvojnega obdavčevanja v zvezi z davki od dohodka ter o preprečevanju davčnih utaj in izogibanja davkom, s protokolom, podpisanega v Wellingtonu 3. decembra 2024, in ga pošlje v obravnavo Državnemu zboru Republike Slovenije.</w:t>
      </w:r>
    </w:p>
    <w:p w14:paraId="52781757" w14:textId="77777777" w:rsidR="00650F3F" w:rsidRDefault="00650F3F" w:rsidP="00650F3F"/>
    <w:p w14:paraId="642452E6" w14:textId="77777777" w:rsidR="00650F3F" w:rsidRDefault="00650F3F" w:rsidP="00650F3F">
      <w:r>
        <w:t>Sporazum prek različnih mehanizmov omogoča odpravo dvojnega obdavčevanja, povečuje varnost davčnih zavezancev, preprečuje davčne utaje in izogibanje ter davčno diskriminacijo in omogoča izmenjavo informacij za davčne namene, pomoč pri pobiranju davkov in reševanje davčnih sporov.</w:t>
      </w:r>
    </w:p>
    <w:p w14:paraId="3011554A" w14:textId="2288AA89" w:rsidR="00485D23" w:rsidRDefault="00650F3F" w:rsidP="00650F3F">
      <w:pPr>
        <w:pStyle w:val="Vir"/>
      </w:pPr>
      <w:r>
        <w:t>Vir: Ministrstvo za zunanje in evropske zadeve</w:t>
      </w:r>
    </w:p>
    <w:p w14:paraId="27FA7E0F" w14:textId="1905750A" w:rsidR="00203A7B" w:rsidRDefault="00203A7B" w:rsidP="00203A7B">
      <w:pPr>
        <w:pStyle w:val="Naslov2"/>
      </w:pPr>
      <w:r>
        <w:t>Vlada soglaša s predlaganimi amandmaji k predlogu Zakona o gostinstvu</w:t>
      </w:r>
    </w:p>
    <w:p w14:paraId="7DD55B67" w14:textId="552384F0" w:rsidR="00203A7B" w:rsidRDefault="00203A7B" w:rsidP="00203A7B">
      <w:r>
        <w:t xml:space="preserve"> Amandmaji k Predlogu zakona o gostinstvu so pripravljeni kot odziv na mnenje </w:t>
      </w:r>
      <w:proofErr w:type="gramStart"/>
      <w:r>
        <w:t>Zakonodajno-pravne</w:t>
      </w:r>
      <w:proofErr w:type="gramEnd"/>
      <w:r>
        <w:t xml:space="preserve"> službe državnega zbora (ZPS). Zamejuje se krog občin, na katere se bo nanašala zakonska časovna omejitev oddajanja stanovanj v kratkotrajni najem, okrepljena je zakonska možnost občinskega normiranja, prav tako se ukinja drugačna obravnava različnih vrst stanovanjskih stavb v okviru časovnega omejevanja in možnih oblik ponudnikov kratkotrajnega najema. </w:t>
      </w:r>
    </w:p>
    <w:p w14:paraId="4BEC43C3" w14:textId="77777777" w:rsidR="00203A7B" w:rsidRDefault="00203A7B" w:rsidP="00203A7B"/>
    <w:p w14:paraId="7D20746D" w14:textId="4EAFDE34" w:rsidR="00203A7B" w:rsidRDefault="00203A7B" w:rsidP="00203A7B">
      <w:r>
        <w:t xml:space="preserve">Splošni predlogi ZPS so se nanašali predvsem na sorazmernost ureditve oddajanja stanovanja v kratkotrajni najem in na potrebi po tem, da se v skladu z načelom </w:t>
      </w:r>
      <w:proofErr w:type="spellStart"/>
      <w:r>
        <w:t>legalitete</w:t>
      </w:r>
      <w:proofErr w:type="spellEnd"/>
      <w:r>
        <w:t xml:space="preserve"> zakon na določenih mestih dopolni ali se določbe zapišejo bolj jasno in določno.</w:t>
      </w:r>
    </w:p>
    <w:p w14:paraId="611F7D18" w14:textId="77777777" w:rsidR="00203A7B" w:rsidRDefault="00203A7B" w:rsidP="00203A7B"/>
    <w:p w14:paraId="100EF988" w14:textId="77777777" w:rsidR="00203A7B" w:rsidRDefault="00203A7B" w:rsidP="00203A7B">
      <w:r>
        <w:t xml:space="preserve">Večina sprememb je zato redakcijske in usklajevalne narave. Predvidene vsebinske spremembe pa se nanašajo na časovno omejevanje dejavnosti oddajanja stanovanja v kratkotrajni najem, v okviru tega se tudi umika različna obravnava eno-, </w:t>
      </w:r>
      <w:proofErr w:type="spellStart"/>
      <w:r>
        <w:t>dvo</w:t>
      </w:r>
      <w:proofErr w:type="spellEnd"/>
      <w:r>
        <w:t xml:space="preserve"> ter tri- in večstanovanjskih stavb.</w:t>
      </w:r>
    </w:p>
    <w:p w14:paraId="29879AE4" w14:textId="77777777" w:rsidR="00203A7B" w:rsidRDefault="00203A7B" w:rsidP="00203A7B"/>
    <w:p w14:paraId="524DF76A" w14:textId="41F065A2" w:rsidR="00203A7B" w:rsidRDefault="00203A7B" w:rsidP="00203A7B">
      <w:r>
        <w:t>Predlagana rešitev bo zamejila krog občin, na katere se bo zakonska časovna omejitev nanašala (torej ne več na vse občine</w:t>
      </w:r>
      <w:r>
        <w:t>,</w:t>
      </w:r>
      <w:r>
        <w:t xml:space="preserve"> </w:t>
      </w:r>
      <w:proofErr w:type="gramStart"/>
      <w:r>
        <w:t>v kolikor</w:t>
      </w:r>
      <w:proofErr w:type="gramEnd"/>
      <w:r>
        <w:t xml:space="preserve"> ne sprejmejo splošnega akta z drugačno časovno omejitvijo), še vedno pa bodo občine lahko sprejele tudi drugačno časovno omejitev glede na njihove specifične potrebe in zmožnosti. </w:t>
      </w:r>
    </w:p>
    <w:p w14:paraId="14198E81" w14:textId="77777777" w:rsidR="00203A7B" w:rsidRDefault="00203A7B" w:rsidP="00203A7B">
      <w:r>
        <w:t xml:space="preserve"> </w:t>
      </w:r>
    </w:p>
    <w:p w14:paraId="337C9B0B" w14:textId="77777777" w:rsidR="00203A7B" w:rsidRDefault="00203A7B" w:rsidP="00203A7B">
      <w:r>
        <w:t xml:space="preserve">Še vedno bo torej občinam omogočeno, da bodo v okviru določenih razponov avtonomno urejale področje kratkotrajnega oddajanja stanovanj glede na dejansko stopnjo razvitosti turizma v občini in druge potrebe. </w:t>
      </w:r>
    </w:p>
    <w:p w14:paraId="2561E6FF" w14:textId="77777777" w:rsidR="00203A7B" w:rsidRDefault="00203A7B" w:rsidP="00203A7B">
      <w:pPr>
        <w:pStyle w:val="Vir"/>
      </w:pPr>
      <w:r>
        <w:t>Vir: Ministrstvo za gospodarstvo, turizem in šport</w:t>
      </w:r>
    </w:p>
    <w:p w14:paraId="6F47F3A5" w14:textId="03D750F5" w:rsidR="00203A7B" w:rsidRDefault="00203A7B" w:rsidP="00203A7B">
      <w:pPr>
        <w:pStyle w:val="Naslov2"/>
      </w:pPr>
      <w:r>
        <w:t xml:space="preserve">Soglasje amandmajem k predlogu resolucije o nacionalnem programu športa </w:t>
      </w:r>
    </w:p>
    <w:p w14:paraId="5CF4326D" w14:textId="77777777" w:rsidR="00203A7B" w:rsidRDefault="00203A7B" w:rsidP="00203A7B">
      <w:r>
        <w:lastRenderedPageBreak/>
        <w:t>Vlada soglaša s predlogi amandmajev k predlogu Resolucije o nacionalnem programu športa v Republiki Sloveniji za obdobje 2026–2035.</w:t>
      </w:r>
    </w:p>
    <w:p w14:paraId="1F3F753D" w14:textId="77777777" w:rsidR="00203A7B" w:rsidRDefault="00203A7B" w:rsidP="00203A7B"/>
    <w:p w14:paraId="60815F61" w14:textId="77777777" w:rsidR="00203A7B" w:rsidRDefault="00203A7B" w:rsidP="00203A7B">
      <w:r>
        <w:t xml:space="preserve">Predlagani amandmaji ministrstva so večinoma redakcijske narave in sledijo mnenju </w:t>
      </w:r>
      <w:proofErr w:type="gramStart"/>
      <w:r>
        <w:t>Zakonodajno-pravne</w:t>
      </w:r>
      <w:proofErr w:type="gramEnd"/>
      <w:r>
        <w:t xml:space="preserve"> službe državnega zbora. Pripombe se nanašajo predvsem na nekatere terminološke in oblikovne lastnosti predloga, boljšo preglednost ter v nekaterih primerih na potrebo po večji jasnosti posameznih delov vsebine. </w:t>
      </w:r>
    </w:p>
    <w:p w14:paraId="5E34EB3F" w14:textId="77777777" w:rsidR="00203A7B" w:rsidRDefault="00203A7B" w:rsidP="00203A7B"/>
    <w:p w14:paraId="2F31B604" w14:textId="77777777" w:rsidR="00203A7B" w:rsidRDefault="00203A7B" w:rsidP="00203A7B">
      <w:r>
        <w:t xml:space="preserve">V skladu s Poslovnikom Vlade Republike Slovenije morajo ministrstva ob vložitvi amandmajev k besedilu predloga akta, ki ga je določila vlada in ga sprejema državni zbor, pridobiti soglasje vlade. </w:t>
      </w:r>
    </w:p>
    <w:p w14:paraId="2B770E27" w14:textId="7702F7FB" w:rsidR="00F24A5B" w:rsidRDefault="00203A7B" w:rsidP="00203A7B">
      <w:pPr>
        <w:pStyle w:val="Vir"/>
      </w:pPr>
      <w:r>
        <w:t>Vir: Ministrstvo za gospodarstvo, turizem in šport</w:t>
      </w:r>
    </w:p>
    <w:p w14:paraId="1E3B8FF7" w14:textId="5062E036" w:rsidR="001F5F76" w:rsidRDefault="001F5F76" w:rsidP="001F5F76">
      <w:pPr>
        <w:pStyle w:val="Naslov2"/>
      </w:pPr>
      <w:r>
        <w:t>Vlada imenovala generalno direktorico Direktorata za sistem davčnih, carinskih in drugih javnih prihodkov</w:t>
      </w:r>
    </w:p>
    <w:p w14:paraId="6E0EA93B" w14:textId="77777777" w:rsidR="001F5F76" w:rsidRDefault="001F5F76" w:rsidP="001F5F76">
      <w:r>
        <w:t>Vlada je izdala odločbo o imenovanju mag. Tine Humar za generalno direktorico Direktorata za sistem davčnih, carinskih in drugih javnih prihodkov na Ministrstvu za finance.</w:t>
      </w:r>
    </w:p>
    <w:p w14:paraId="6C908C6A" w14:textId="77777777" w:rsidR="001F5F76" w:rsidRDefault="001F5F76" w:rsidP="001F5F76"/>
    <w:p w14:paraId="437F269B" w14:textId="4A8507FF" w:rsidR="001F5F76" w:rsidRDefault="001F5F76" w:rsidP="001F5F76">
      <w:r>
        <w:t>Na današnji seji je vlada, skladno s predlogom ministra za finance, ponovno imenovala mag. Tino Humar za generalno direktorico Direktorata za sistem davčnih, carinskih in drugih javnih prihodkov za mandatno dobo petih let z možnostjo ponovnega imenovanja.</w:t>
      </w:r>
    </w:p>
    <w:p w14:paraId="1BCB4BA1" w14:textId="0C41C3E0" w:rsidR="00857A30" w:rsidRDefault="001F5F76" w:rsidP="001F5F76">
      <w:pPr>
        <w:pStyle w:val="Vir"/>
      </w:pPr>
      <w:r>
        <w:t>Vir: Ministrstvo za finance</w:t>
      </w:r>
    </w:p>
    <w:p w14:paraId="17D48CB6" w14:textId="7A809D47" w:rsidR="00413F2F" w:rsidRDefault="00413F2F" w:rsidP="00413F2F">
      <w:pPr>
        <w:pStyle w:val="Naslov2"/>
      </w:pPr>
      <w:r>
        <w:t>Odpoklici veleposlanikov in veleposlanic zaradi izteka mandata</w:t>
      </w:r>
    </w:p>
    <w:p w14:paraId="7D0AF7D1" w14:textId="77777777" w:rsidR="00413F2F" w:rsidRDefault="00413F2F" w:rsidP="00413F2F">
      <w:r>
        <w:t xml:space="preserve">Vlada Republike Slovenije je sprejela sklepe za odpoklic veleposlanikov in veleposlanic Republike Slovenije v Avstriji, Indiji, Kanadi, na Kosovu, pri EU in v OECD zaradi poteka mandata. </w:t>
      </w:r>
    </w:p>
    <w:p w14:paraId="28D21778" w14:textId="77777777" w:rsidR="00413F2F" w:rsidRDefault="00413F2F" w:rsidP="00413F2F"/>
    <w:p w14:paraId="1EDB2AE4" w14:textId="77777777" w:rsidR="00413F2F" w:rsidRDefault="00413F2F" w:rsidP="00413F2F">
      <w:r>
        <w:t xml:space="preserve">Vlada Republike Slovenije je določila predlog, da se zaradi poteka časa razporeditve v tujini: </w:t>
      </w:r>
    </w:p>
    <w:p w14:paraId="59092D91" w14:textId="7A70E2FB" w:rsidR="00413F2F" w:rsidRDefault="00413F2F" w:rsidP="00413F2F">
      <w:pPr>
        <w:pStyle w:val="Odstavekseznama"/>
        <w:numPr>
          <w:ilvl w:val="0"/>
          <w:numId w:val="20"/>
        </w:numPr>
      </w:pPr>
      <w:r>
        <w:t>z 31. julijem 2025 z dolžnosti izrednega in pooblaščenega veleposlanika Republike Slovenije v Avstriji odpokliče Aleksandra Geržino,</w:t>
      </w:r>
    </w:p>
    <w:p w14:paraId="5025EB1E" w14:textId="0BD9D9F9" w:rsidR="00413F2F" w:rsidRDefault="00413F2F" w:rsidP="00413F2F">
      <w:pPr>
        <w:pStyle w:val="Odstavekseznama"/>
        <w:numPr>
          <w:ilvl w:val="0"/>
          <w:numId w:val="20"/>
        </w:numPr>
      </w:pPr>
      <w:r>
        <w:t xml:space="preserve">s 6. avgustom 2025 se odpokliče </w:t>
      </w:r>
      <w:proofErr w:type="gramStart"/>
      <w:r>
        <w:t>veleposlanico Slovenije Matejo Vodeb Ghosh</w:t>
      </w:r>
      <w:proofErr w:type="gramEnd"/>
      <w:r>
        <w:t xml:space="preserve"> s sedežem v Indiji (New Delhi) in akreditirano tudi za Ljudsko republiko Bangladeš, Kraljevino Butan, Republiko Maldivi, Nepal, Demokratično socialistično republiko Šrilanko,</w:t>
      </w:r>
    </w:p>
    <w:p w14:paraId="59B9B6C3" w14:textId="6CB99EBD" w:rsidR="00413F2F" w:rsidRDefault="00413F2F" w:rsidP="00413F2F">
      <w:pPr>
        <w:pStyle w:val="Odstavekseznama"/>
        <w:numPr>
          <w:ilvl w:val="0"/>
          <w:numId w:val="20"/>
        </w:numPr>
      </w:pPr>
      <w:r>
        <w:t xml:space="preserve">z 10. oktobrom 2025 se odpokliče </w:t>
      </w:r>
      <w:proofErr w:type="gramStart"/>
      <w:r>
        <w:t>veleposlanika Andreja Gregorja Rodeta</w:t>
      </w:r>
      <w:proofErr w:type="gramEnd"/>
      <w:r>
        <w:t xml:space="preserve"> v Kanadi, s sedežem v Ottawi in akreditiranega tudi v Dominikanski republiki, Jamajki, Kubi in pri Mednarodni organizaciji civilnega letalstva (ICAO),</w:t>
      </w:r>
    </w:p>
    <w:p w14:paraId="44A54103" w14:textId="3A2D1A79" w:rsidR="00413F2F" w:rsidRDefault="00413F2F" w:rsidP="00413F2F">
      <w:pPr>
        <w:pStyle w:val="Odstavekseznama"/>
        <w:numPr>
          <w:ilvl w:val="0"/>
          <w:numId w:val="20"/>
        </w:numPr>
      </w:pPr>
      <w:r>
        <w:t xml:space="preserve">s 26. julijem 2025 se razreši </w:t>
      </w:r>
      <w:proofErr w:type="gramStart"/>
      <w:r>
        <w:t>veleposlanico v Republiki Kosovo Minco Benedejčič</w:t>
      </w:r>
      <w:proofErr w:type="gramEnd"/>
      <w:r>
        <w:t>,</w:t>
      </w:r>
    </w:p>
    <w:p w14:paraId="12BBF8B1" w14:textId="28EF4B81" w:rsidR="00413F2F" w:rsidRDefault="00413F2F" w:rsidP="00413F2F">
      <w:pPr>
        <w:pStyle w:val="Odstavekseznama"/>
        <w:numPr>
          <w:ilvl w:val="0"/>
          <w:numId w:val="20"/>
        </w:numPr>
      </w:pPr>
      <w:r>
        <w:t xml:space="preserve">z 31. julijem 2025 se razreši </w:t>
      </w:r>
      <w:proofErr w:type="gramStart"/>
      <w:r>
        <w:t>veleposlanika</w:t>
      </w:r>
      <w:proofErr w:type="gramEnd"/>
      <w:r>
        <w:t xml:space="preserve"> pri OECD Petra Ješovnik. </w:t>
      </w:r>
    </w:p>
    <w:p w14:paraId="2C22C6B3" w14:textId="51D56B33" w:rsidR="00857A30" w:rsidRDefault="00413F2F" w:rsidP="00413F2F">
      <w:pPr>
        <w:pStyle w:val="Vir"/>
      </w:pPr>
      <w:r>
        <w:t>Vir: Ministrstvo za zunanje in evropske zadeve</w:t>
      </w:r>
    </w:p>
    <w:p w14:paraId="4D9921F8" w14:textId="292FD49E" w:rsidR="00291D63" w:rsidRDefault="00291D63" w:rsidP="00291D63">
      <w:pPr>
        <w:pStyle w:val="Naslov2"/>
      </w:pPr>
      <w:r>
        <w:t xml:space="preserve">Vlada imenovala Marjeto Vesel Valentinčič za zastopnico </w:t>
      </w:r>
      <w:proofErr w:type="gramStart"/>
      <w:r>
        <w:t>pacientovih</w:t>
      </w:r>
      <w:proofErr w:type="gramEnd"/>
      <w:r>
        <w:t xml:space="preserve"> pravic</w:t>
      </w:r>
    </w:p>
    <w:p w14:paraId="049EC8E5" w14:textId="77777777" w:rsidR="00291D63" w:rsidRDefault="00291D63" w:rsidP="00291D63">
      <w:r>
        <w:t xml:space="preserve">Vlada Republike Slovenije je izdala odločbo o imenovanju Marjete Vesel Valentinčič za zastopnico pacientovih pravic za območje območne enote Nacionalnega inštituta za javno zdravje Novo mesto za mandatno dobo petih let, in sicer od </w:t>
      </w:r>
      <w:proofErr w:type="gramStart"/>
      <w:r>
        <w:t>1. 7. 2025</w:t>
      </w:r>
      <w:proofErr w:type="gramEnd"/>
      <w:r>
        <w:t xml:space="preserve"> do 30. 6. 2030, z možnostjo ponovnega imenovanja.</w:t>
      </w:r>
    </w:p>
    <w:p w14:paraId="5A8DA1E0" w14:textId="77777777" w:rsidR="00291D63" w:rsidRDefault="00291D63" w:rsidP="00291D63"/>
    <w:p w14:paraId="0688006B" w14:textId="77777777" w:rsidR="00291D63" w:rsidRDefault="00291D63" w:rsidP="00291D63">
      <w:r>
        <w:t xml:space="preserve">Marjeta Vesel Valentinčič je po izobrazbi univerzitetna diplomirana pravnica. Večino časa je službovala v javnem sektorju – v državni upravi in javnih zavodih, predvsem na vodilnih delovnih mestih, od tega skorajda 13 let na področju zdravstva. Štiri leta in pol je opravljala </w:t>
      </w:r>
      <w:proofErr w:type="gramStart"/>
      <w:r>
        <w:t>funkcijo</w:t>
      </w:r>
      <w:proofErr w:type="gramEnd"/>
      <w:r>
        <w:t xml:space="preserve"> generalne </w:t>
      </w:r>
      <w:r>
        <w:lastRenderedPageBreak/>
        <w:t xml:space="preserve">sekretarke na Ministrstvu za zdravje, dobrih osem let pa je v Univerzitetnem kliničnem centru Ljubljana opravljala delo pomočnice generalnega direktorja za upravno pravne zadeve. Kot mestna svetnica Mestne občine Ljubljana je bila v štirih mandatih aktivna članica Odbora za zdravstvo in socialo. Bila je tudi predsednica sveta zavoda Ortopedske bolnišnice Valdoltra ter opravljala naloge članice v svetih zavodov Porodnišnice Postojna, Bolnišnice Brežice ter Univerzitetne klinike za psihiatrijo Ljubljana. Več let je aktivno sodelovala tudi v Združenju Europa Donna. Vesel Valentinčič ima opravljeno izobraževanje iz mediacije v zdravstvu, aktivno pa sodeluje pri delu Komisije Republike Slovenije za varstvo </w:t>
      </w:r>
      <w:proofErr w:type="gramStart"/>
      <w:r>
        <w:t>pacientovih</w:t>
      </w:r>
      <w:proofErr w:type="gramEnd"/>
      <w:r>
        <w:t xml:space="preserve"> pravic.</w:t>
      </w:r>
    </w:p>
    <w:p w14:paraId="4D2D9625" w14:textId="2A84CDE2" w:rsidR="00857A30" w:rsidRDefault="00291D63" w:rsidP="00291D63">
      <w:pPr>
        <w:pStyle w:val="Vir"/>
      </w:pPr>
      <w:r>
        <w:t>Vir: Ministrstvo za zdravje</w:t>
      </w:r>
    </w:p>
    <w:p w14:paraId="0A99A04D" w14:textId="64079D5B" w:rsidR="002F37E1" w:rsidRDefault="002F37E1" w:rsidP="002F37E1">
      <w:pPr>
        <w:pStyle w:val="Naslov2"/>
      </w:pPr>
      <w:r>
        <w:t>Imenovanje članic in članov v upravni odbor Javne agencije za znanstvenoraziskovalno in inovacijsko dejavnost Republike Slovenije</w:t>
      </w:r>
    </w:p>
    <w:p w14:paraId="2BC3FEEA" w14:textId="77777777" w:rsidR="002F37E1" w:rsidRDefault="002F37E1" w:rsidP="002F37E1">
      <w:r>
        <w:t>Zaradi poteka mandata dosedanjemu upravnemu odboru Javne agencije za znanstvenoraziskovalno in inovacijsko dejavnost Republike Slovenije (v nadaljnjem besedilu: agencija) je Ministrstvo za visoko šolstvo, znanost in inovacije vladi podalo predlog za imenovanje novih članic in članov v upravni odbor agencije.</w:t>
      </w:r>
    </w:p>
    <w:p w14:paraId="19171B45" w14:textId="77777777" w:rsidR="002F37E1" w:rsidRDefault="002F37E1" w:rsidP="002F37E1"/>
    <w:p w14:paraId="267DEBC0" w14:textId="77777777" w:rsidR="002F37E1" w:rsidRDefault="002F37E1" w:rsidP="002F37E1">
      <w:r>
        <w:t>Vlada je sklenila, da se v upravni odbor Javne agencije za znanstvenoraziskovalno in inovacijsko dejavnost Republike Slovenije za mandatno obdobje dveh let, od ustanovitvene seje upravnega odbora agencije, imenujejo naslednje članice in člani:</w:t>
      </w:r>
    </w:p>
    <w:p w14:paraId="47C9FBBE" w14:textId="77777777" w:rsidR="002F37E1" w:rsidRDefault="002F37E1" w:rsidP="002F37E1"/>
    <w:p w14:paraId="2ACB7D71" w14:textId="77777777" w:rsidR="002F37E1" w:rsidRDefault="002F37E1" w:rsidP="002F37E1">
      <w:proofErr w:type="gramStart"/>
      <w:r>
        <w:t>štirje</w:t>
      </w:r>
      <w:proofErr w:type="gramEnd"/>
      <w:r>
        <w:t xml:space="preserve"> predstavniki ustanovitelja: </w:t>
      </w:r>
    </w:p>
    <w:p w14:paraId="5B983496" w14:textId="66C1FC3F" w:rsidR="002F37E1" w:rsidRDefault="002F37E1" w:rsidP="002F37E1">
      <w:pPr>
        <w:pStyle w:val="Odstavekseznama"/>
        <w:numPr>
          <w:ilvl w:val="0"/>
          <w:numId w:val="18"/>
        </w:numPr>
      </w:pPr>
      <w:r>
        <w:t>dr. Zoran Ren</w:t>
      </w:r>
      <w:proofErr w:type="gramStart"/>
      <w:r>
        <w:t xml:space="preserve">,  </w:t>
      </w:r>
      <w:proofErr w:type="gramEnd"/>
      <w:r>
        <w:t>na predlog ministrstva, pristojnega za znanost in inovacije,</w:t>
      </w:r>
    </w:p>
    <w:p w14:paraId="792644D7" w14:textId="4C2C38FE" w:rsidR="002F37E1" w:rsidRDefault="002F37E1" w:rsidP="002F37E1">
      <w:pPr>
        <w:pStyle w:val="Odstavekseznama"/>
        <w:numPr>
          <w:ilvl w:val="0"/>
          <w:numId w:val="18"/>
        </w:numPr>
      </w:pPr>
      <w:r>
        <w:t>dr. Tomaž Boh, na predlog ministrstva, pristojnega za znanost in inovacije,</w:t>
      </w:r>
    </w:p>
    <w:p w14:paraId="4C2BF0F4" w14:textId="6308500C" w:rsidR="002F37E1" w:rsidRDefault="002F37E1" w:rsidP="002F37E1">
      <w:pPr>
        <w:pStyle w:val="Odstavekseznama"/>
        <w:numPr>
          <w:ilvl w:val="0"/>
          <w:numId w:val="18"/>
        </w:numPr>
      </w:pPr>
      <w:r>
        <w:t>dr. Jernej Štromajer, na predlog ministrstva, pristojnega za gospodarstvo,</w:t>
      </w:r>
    </w:p>
    <w:p w14:paraId="4CC79C6D" w14:textId="2580D850" w:rsidR="002F37E1" w:rsidRDefault="002F37E1" w:rsidP="002F37E1">
      <w:pPr>
        <w:pStyle w:val="Odstavekseznama"/>
        <w:numPr>
          <w:ilvl w:val="0"/>
          <w:numId w:val="18"/>
        </w:numPr>
      </w:pPr>
      <w:r>
        <w:t>dr. Barbara Hubad, na predlog ministrstva, pristojnega za finance,</w:t>
      </w:r>
    </w:p>
    <w:p w14:paraId="5FE66A17" w14:textId="77777777" w:rsidR="002F37E1" w:rsidRDefault="002F37E1" w:rsidP="002F37E1"/>
    <w:p w14:paraId="20C8EEFF" w14:textId="77777777" w:rsidR="002F37E1" w:rsidRDefault="002F37E1" w:rsidP="002F37E1">
      <w:proofErr w:type="gramStart"/>
      <w:r>
        <w:t>dva</w:t>
      </w:r>
      <w:proofErr w:type="gramEnd"/>
      <w:r>
        <w:t xml:space="preserve"> predstavnika na predlog Gospodarske zbornice Slovenije: </w:t>
      </w:r>
    </w:p>
    <w:p w14:paraId="5785679B" w14:textId="7A841C58" w:rsidR="002F37E1" w:rsidRDefault="002F37E1" w:rsidP="002F37E1">
      <w:pPr>
        <w:pStyle w:val="Odstavekseznama"/>
        <w:numPr>
          <w:ilvl w:val="0"/>
          <w:numId w:val="19"/>
        </w:numPr>
      </w:pPr>
      <w:r>
        <w:t>Andreja Hlišč,</w:t>
      </w:r>
    </w:p>
    <w:p w14:paraId="33E47D47" w14:textId="02DA685F" w:rsidR="002F37E1" w:rsidRDefault="002F37E1" w:rsidP="002F37E1">
      <w:pPr>
        <w:pStyle w:val="Odstavekseznama"/>
        <w:numPr>
          <w:ilvl w:val="0"/>
          <w:numId w:val="19"/>
        </w:numPr>
      </w:pPr>
      <w:r>
        <w:t>Žiga Lampe,</w:t>
      </w:r>
    </w:p>
    <w:p w14:paraId="5FA6C9B5" w14:textId="77777777" w:rsidR="002F37E1" w:rsidRDefault="002F37E1" w:rsidP="002F37E1">
      <w:r>
        <w:t>en predstavnik na predlog Rektorske konference Republike Slovenije, dr. Iztok Podbregar,</w:t>
      </w:r>
    </w:p>
    <w:p w14:paraId="1C951872" w14:textId="77777777" w:rsidR="002F37E1" w:rsidRDefault="002F37E1" w:rsidP="002F37E1">
      <w:r>
        <w:t xml:space="preserve">ena predstavnica na predlog Koordinacije samostojnih raziskovalnih inštitutov Slovenije, </w:t>
      </w:r>
    </w:p>
    <w:p w14:paraId="1ED79247" w14:textId="77777777" w:rsidR="002F37E1" w:rsidRDefault="002F37E1" w:rsidP="002F37E1">
      <w:r>
        <w:t>dr. Marinka Lukšič Hacin,</w:t>
      </w:r>
    </w:p>
    <w:p w14:paraId="4F135E7F" w14:textId="77777777" w:rsidR="002F37E1" w:rsidRDefault="002F37E1" w:rsidP="002F37E1">
      <w:proofErr w:type="gramStart"/>
      <w:r>
        <w:t>ena</w:t>
      </w:r>
      <w:proofErr w:type="gramEnd"/>
      <w:r>
        <w:t xml:space="preserve"> predstavnica na predlog reprezentativnih sindikatov za področje znanstvenoraziskovalne dejavnosti, dr. Ana Rotter. </w:t>
      </w:r>
    </w:p>
    <w:p w14:paraId="5846FC11" w14:textId="36298F19" w:rsidR="00857A30" w:rsidRDefault="002F37E1" w:rsidP="002F37E1">
      <w:pPr>
        <w:pStyle w:val="Vir"/>
      </w:pPr>
      <w:r>
        <w:t>Vir: Ministrstvo za visoko šolstvo, znanost in inovacije</w:t>
      </w:r>
    </w:p>
    <w:p w14:paraId="0B32F632" w14:textId="4EE50FAA" w:rsidR="00FC28E1" w:rsidRDefault="00FC28E1" w:rsidP="00FC28E1">
      <w:pPr>
        <w:pStyle w:val="Naslov2"/>
      </w:pPr>
      <w:r>
        <w:t>Vlada imenovala člane medresorske komisije iz 12. člena Zakona o javnem naročanju na področju obrambe in varnosti</w:t>
      </w:r>
    </w:p>
    <w:p w14:paraId="64822256" w14:textId="71FC155E" w:rsidR="00FC28E1" w:rsidRDefault="00FC28E1" w:rsidP="00FC28E1">
      <w:r>
        <w:t xml:space="preserve">Vlada Republike Slovenije je sprejela sklep o imenovanju članov Medresorske komisije za naročila, ki se izvajajo na podlagi 346. člena Pogodbe o delovanju Evropske unije (PDEU), ter naročila za izvajanje obveščevalne in protiobveščevalne dejavnosti. Vlada novo medresorsko komisijo imenuje, ker trenutni sestavi sredi julija 2025 preteče štiriletni mandat. </w:t>
      </w:r>
    </w:p>
    <w:p w14:paraId="6F6C252A" w14:textId="77777777" w:rsidR="00FC28E1" w:rsidRDefault="00FC28E1" w:rsidP="00FC28E1"/>
    <w:p w14:paraId="22DAB9FD" w14:textId="77777777" w:rsidR="00FC28E1" w:rsidRDefault="00FC28E1" w:rsidP="00FC28E1">
      <w:r>
        <w:t>V komisijo se, kot to določa zakon, imenujejo predstavniki Ministrstva za javno upravo, Ministrstva za notranje zadeve, Ministrstva za obrambo, Slovenske obveščevalno-varnostne agencije in Obveščevalno varnostne službe Ministrstva za obrambo. In sicer: Sašo Matas kot predsednik in mag. Urška Skok Klima kot namestnica</w:t>
      </w:r>
      <w:proofErr w:type="gramStart"/>
      <w:r>
        <w:t>,</w:t>
      </w:r>
      <w:proofErr w:type="gramEnd"/>
      <w:r>
        <w:t xml:space="preserve"> ter članice in člani mag. Marko Grubar (namestnica Petra Dolinar), </w:t>
      </w:r>
      <w:r>
        <w:lastRenderedPageBreak/>
        <w:t>Marija Antić (namestnica Bogomira Jeraj), Ines Conradi (namestnica Vlasta Stergar), ter predstavnik (in namestnik) Slovenske obveščevalno-varnostne službe.</w:t>
      </w:r>
    </w:p>
    <w:p w14:paraId="3C1DF0F5" w14:textId="77777777" w:rsidR="00FC28E1" w:rsidRDefault="00FC28E1" w:rsidP="00FC28E1"/>
    <w:p w14:paraId="63B1BCDF" w14:textId="77777777" w:rsidR="00FC28E1" w:rsidRDefault="00FC28E1" w:rsidP="00FC28E1">
      <w:r>
        <w:t xml:space="preserve">Z 11. členom Zakona o javnem naročanju na področju obrambe in varnosti (ZJNPOV) se določa fleksibilnejša ureditev oddaje naročil, ki so namenjena zaščiti bistvenih varnostnih interesov Republike Slovenije (346. člen PDEU), in naročil, ki so namenjena izvajanju obveščevalne in protiobveščevalne dejavnosti. Ustreznost oddaje teh naročil presoja medresorska komisija. </w:t>
      </w:r>
    </w:p>
    <w:p w14:paraId="750A0FB1" w14:textId="34A796FF" w:rsidR="00857A30" w:rsidRDefault="00FC28E1" w:rsidP="00FC28E1">
      <w:pPr>
        <w:pStyle w:val="Vir"/>
      </w:pPr>
      <w:r>
        <w:t>Vir: Ministrstvo za javno upravo</w:t>
      </w:r>
    </w:p>
    <w:p w14:paraId="73444AC4" w14:textId="3E52D47F" w:rsidR="00FC28E1" w:rsidRDefault="00BB6BF3" w:rsidP="00FC28E1">
      <w:pPr>
        <w:pStyle w:val="Naslov2"/>
      </w:pPr>
      <w:r>
        <w:t>S</w:t>
      </w:r>
      <w:r w:rsidR="00FC28E1">
        <w:t>premembe v sestavi Komisije za razlago Kolektivne pogodbe za javni sektor</w:t>
      </w:r>
    </w:p>
    <w:p w14:paraId="6168A33B" w14:textId="77777777" w:rsidR="00FC28E1" w:rsidRDefault="00FC28E1" w:rsidP="00FC28E1">
      <w:r>
        <w:t>S 1. januarjem 2025 se je začela uporabljati nova Kolektivna pogodba za javni sektor (KPJS), ki določa tudi, da vladna in sindikalna stran sporazumno imenujeta sedemčlansko komisijo za razlago te kolektivne pogodbe, pri čemer vsaka stran imenuje tri člane (in njihove namestnike), s soglasjem pa imenujeta predsednika komisije. Obe strani soglašata, da se za predsednico imenuje dr. Etelka Korpič Horvat.</w:t>
      </w:r>
    </w:p>
    <w:p w14:paraId="064B0B45" w14:textId="77777777" w:rsidR="00FC28E1" w:rsidRDefault="00FC28E1" w:rsidP="00FC28E1"/>
    <w:p w14:paraId="07FBFAB6" w14:textId="77777777" w:rsidR="00FC28E1" w:rsidRDefault="00FC28E1" w:rsidP="00FC28E1">
      <w:r>
        <w:t xml:space="preserve">Vlada v Komisijo za razlago KPJS imenuje naslednje člane in njihove namestnike: </w:t>
      </w:r>
    </w:p>
    <w:p w14:paraId="68CDC4C6" w14:textId="5A1208C8" w:rsidR="00FC28E1" w:rsidRDefault="00FC28E1" w:rsidP="00FC28E1">
      <w:pPr>
        <w:pStyle w:val="Odstavekseznama"/>
        <w:numPr>
          <w:ilvl w:val="0"/>
          <w:numId w:val="10"/>
        </w:numPr>
      </w:pPr>
      <w:r>
        <w:t>Lidijo Apohal Vučković kot članico in Matevža Lakoto kot njenega namestnika (oba iz Ministrstva za javno upravo);</w:t>
      </w:r>
    </w:p>
    <w:p w14:paraId="3902C3A9" w14:textId="4074C869" w:rsidR="00FC28E1" w:rsidRDefault="00FC28E1" w:rsidP="00FC28E1">
      <w:pPr>
        <w:pStyle w:val="Odstavekseznama"/>
        <w:numPr>
          <w:ilvl w:val="0"/>
          <w:numId w:val="10"/>
        </w:numPr>
      </w:pPr>
      <w:r>
        <w:t>Slavico Čebular Musar (iz Ministrstva za vzgojo in izobraževanje) kot članico in Roberta Kosa (iz Ministrstva za notranje zadeve) kot njenega namestnika;</w:t>
      </w:r>
    </w:p>
    <w:p w14:paraId="3A18FB2B" w14:textId="579CC060" w:rsidR="00FC28E1" w:rsidRDefault="00FC28E1" w:rsidP="00FC28E1">
      <w:pPr>
        <w:pStyle w:val="Odstavekseznama"/>
        <w:numPr>
          <w:ilvl w:val="0"/>
          <w:numId w:val="10"/>
        </w:numPr>
      </w:pPr>
      <w:r>
        <w:t>mag. Katjo Knez kot članico in Martino Jug kot njeno namestnico (obe iz Ministrstva za javno upravo).</w:t>
      </w:r>
    </w:p>
    <w:p w14:paraId="6B68731D" w14:textId="77777777" w:rsidR="00FC28E1" w:rsidRDefault="00FC28E1" w:rsidP="00FC28E1"/>
    <w:p w14:paraId="21151F37" w14:textId="77777777" w:rsidR="00FC28E1" w:rsidRDefault="00FC28E1" w:rsidP="00FC28E1">
      <w:r>
        <w:t>Vlada je ob tem razrešila predsednico in dosedanje člane Komisije za razlago Kolektivne pogodbe za javni sektor, ki je veljala pred 1. januarjem 2025.</w:t>
      </w:r>
    </w:p>
    <w:p w14:paraId="56563E45" w14:textId="425B483D" w:rsidR="00857A30" w:rsidRDefault="00FC28E1" w:rsidP="00FC28E1">
      <w:pPr>
        <w:pStyle w:val="Vir"/>
      </w:pPr>
      <w:r>
        <w:t>Vir: Ministrstvo za javno upravo</w:t>
      </w:r>
    </w:p>
    <w:p w14:paraId="285923C8" w14:textId="1FB588E9" w:rsidR="00C34B85" w:rsidRDefault="00C34B85" w:rsidP="00C34B85">
      <w:pPr>
        <w:pStyle w:val="Naslov2"/>
      </w:pPr>
      <w:r>
        <w:t xml:space="preserve">Sprememba </w:t>
      </w:r>
      <w:proofErr w:type="gramStart"/>
      <w:r>
        <w:t>stalne</w:t>
      </w:r>
      <w:proofErr w:type="gramEnd"/>
      <w:r>
        <w:t xml:space="preserve"> delegaciji Republike Slovenije v Mednarodni zvezi za spomin na holokavst</w:t>
      </w:r>
    </w:p>
    <w:p w14:paraId="7EBE69CC" w14:textId="6E1368FE" w:rsidR="00C34B85" w:rsidRDefault="00C34B85" w:rsidP="00C34B85">
      <w:r>
        <w:t>Vlada Republike Slovenije je sprejela Sklep o stalni delegaciji Republike Slovenije v Mednarodni zvezi za spomin na holokavst.</w:t>
      </w:r>
    </w:p>
    <w:p w14:paraId="69EDB583" w14:textId="77777777" w:rsidR="00C34B85" w:rsidRDefault="00C34B85" w:rsidP="00C34B85"/>
    <w:p w14:paraId="5F594CE9" w14:textId="3A5D9F9E" w:rsidR="00C34B85" w:rsidRDefault="00C34B85" w:rsidP="00C34B85">
      <w:r>
        <w:t xml:space="preserve">Ministrstvo za zunanje in evropske zadeve predlaga zamenjavo vodje delegacije dr. Marka Rakovca, ki ga nadomesti veleposlanik dr. Marjan Cencen. Prav tako preneha članstvo veleposlanika Petra Japlja, Ministrstvo za zunanje in evropske zadeve, namestnika vodje. Na njegovo mesto se </w:t>
      </w:r>
      <w:proofErr w:type="gramStart"/>
      <w:r>
        <w:t>predlaga</w:t>
      </w:r>
      <w:proofErr w:type="gramEnd"/>
      <w:r>
        <w:t xml:space="preserve"> dr. Marka Rakovca, direktorja Direktorata za mednarodno pravo in zaščito interesov na Ministrstvu za zunanje in evropske zadeve.</w:t>
      </w:r>
    </w:p>
    <w:p w14:paraId="7FE87D2D" w14:textId="77777777" w:rsidR="00C34B85" w:rsidRDefault="00C34B85" w:rsidP="00C34B85"/>
    <w:p w14:paraId="15173531" w14:textId="77777777" w:rsidR="00C34B85" w:rsidRDefault="00C34B85" w:rsidP="00C34B85">
      <w:r>
        <w:t xml:space="preserve">V skladu s temi predlogi Ministrstvo za zunanje in evropske zadeve, ki opravlja administrativna dela za stalno delegacijo Vladi Republike Slovenije, predlaga naslednjo sestavo stalne delegacije Republike Slovenije v Mednarodni zvezi za spomin na holokavst: </w:t>
      </w:r>
    </w:p>
    <w:p w14:paraId="3660466F" w14:textId="75BCFE2A" w:rsidR="00C34B85" w:rsidRDefault="00C34B85" w:rsidP="00C34B85">
      <w:pPr>
        <w:pStyle w:val="Odstavekseznama"/>
        <w:numPr>
          <w:ilvl w:val="0"/>
          <w:numId w:val="21"/>
        </w:numPr>
      </w:pPr>
      <w:r>
        <w:t>dr. Marjan Cencen, Ministrstvo za zunanje in evropske zadeve, vodja,</w:t>
      </w:r>
    </w:p>
    <w:p w14:paraId="267ADB8E" w14:textId="743292CE" w:rsidR="00C34B85" w:rsidRDefault="00C34B85" w:rsidP="00C34B85">
      <w:pPr>
        <w:pStyle w:val="Odstavekseznama"/>
        <w:numPr>
          <w:ilvl w:val="0"/>
          <w:numId w:val="21"/>
        </w:numPr>
      </w:pPr>
      <w:r>
        <w:t>dr. Marko Rakovec, Ministrstvo za zunanje in evropske zadeve, namestnik vodje;</w:t>
      </w:r>
    </w:p>
    <w:p w14:paraId="52459826" w14:textId="25358E77" w:rsidR="00C34B85" w:rsidRDefault="00C34B85" w:rsidP="00C34B85">
      <w:pPr>
        <w:pStyle w:val="Odstavekseznama"/>
        <w:numPr>
          <w:ilvl w:val="0"/>
          <w:numId w:val="21"/>
        </w:numPr>
      </w:pPr>
      <w:r>
        <w:t xml:space="preserve">dr. Irena Šumi, Fakulteta za socialno delo, Univerza v Ljubljani, članica, </w:t>
      </w:r>
    </w:p>
    <w:p w14:paraId="52EAC12C" w14:textId="3D3756FA" w:rsidR="00C34B85" w:rsidRDefault="00C34B85" w:rsidP="00C34B85">
      <w:pPr>
        <w:pStyle w:val="Odstavekseznama"/>
        <w:numPr>
          <w:ilvl w:val="0"/>
          <w:numId w:val="21"/>
        </w:numPr>
      </w:pPr>
      <w:r>
        <w:t>dr. Vera Klopčič, Inštitut za narodnostna vprašanja, članica,</w:t>
      </w:r>
    </w:p>
    <w:p w14:paraId="130186E2" w14:textId="071224AF" w:rsidR="00C34B85" w:rsidRDefault="00C34B85" w:rsidP="00C34B85">
      <w:pPr>
        <w:pStyle w:val="Odstavekseznama"/>
        <w:numPr>
          <w:ilvl w:val="0"/>
          <w:numId w:val="21"/>
        </w:numPr>
      </w:pPr>
      <w:r>
        <w:t xml:space="preserve">dr. Alenka Janko Spreizer, Univerza na Primorskem, članica, </w:t>
      </w:r>
    </w:p>
    <w:p w14:paraId="3CA05409" w14:textId="1BC6FDED" w:rsidR="00C34B85" w:rsidRDefault="00C34B85" w:rsidP="00C34B85">
      <w:pPr>
        <w:pStyle w:val="Odstavekseznama"/>
        <w:numPr>
          <w:ilvl w:val="0"/>
          <w:numId w:val="21"/>
        </w:numPr>
      </w:pPr>
      <w:r>
        <w:t xml:space="preserve">dr. Renato Podbersič, Študijski </w:t>
      </w:r>
      <w:proofErr w:type="gramStart"/>
      <w:r>
        <w:t>center</w:t>
      </w:r>
      <w:proofErr w:type="gramEnd"/>
      <w:r>
        <w:t xml:space="preserve"> za narodno spravo, član, </w:t>
      </w:r>
    </w:p>
    <w:p w14:paraId="6DC49F21" w14:textId="7738F4AF" w:rsidR="00C34B85" w:rsidRDefault="00C34B85" w:rsidP="00C34B85">
      <w:pPr>
        <w:pStyle w:val="Odstavekseznama"/>
        <w:numPr>
          <w:ilvl w:val="0"/>
          <w:numId w:val="21"/>
        </w:numPr>
      </w:pPr>
      <w:r>
        <w:t xml:space="preserve">Žan Valentin Govekar, Ministrstvo za vzgojo in izobraževanje, član, </w:t>
      </w:r>
    </w:p>
    <w:p w14:paraId="2B19A83B" w14:textId="0090FA75" w:rsidR="00C34B85" w:rsidRDefault="00C34B85" w:rsidP="00C34B85">
      <w:pPr>
        <w:pStyle w:val="Odstavekseznama"/>
        <w:numPr>
          <w:ilvl w:val="0"/>
          <w:numId w:val="21"/>
        </w:numPr>
      </w:pPr>
      <w:r>
        <w:lastRenderedPageBreak/>
        <w:t xml:space="preserve">Vojko Kunaver, Zavod RS za šolstvo, član, </w:t>
      </w:r>
    </w:p>
    <w:p w14:paraId="1257A100" w14:textId="1A12FE44" w:rsidR="00C34B85" w:rsidRDefault="00C34B85" w:rsidP="00C34B85">
      <w:pPr>
        <w:pStyle w:val="Odstavekseznama"/>
        <w:numPr>
          <w:ilvl w:val="0"/>
          <w:numId w:val="21"/>
        </w:numPr>
      </w:pPr>
      <w:r>
        <w:t>Matjaž Špat, Zveza združenj borcev – Koordinacija taboriščnih odborov Ravensbrück, član,</w:t>
      </w:r>
    </w:p>
    <w:p w14:paraId="46C82E01" w14:textId="2AB9D889" w:rsidR="00C34B85" w:rsidRDefault="00C34B85" w:rsidP="00C34B85">
      <w:pPr>
        <w:pStyle w:val="Odstavekseznama"/>
        <w:numPr>
          <w:ilvl w:val="0"/>
          <w:numId w:val="21"/>
        </w:numPr>
      </w:pPr>
      <w:r>
        <w:t xml:space="preserve">Robert Waltl, direktor Judovskega kulturnega centra Ljubljana in predsednik </w:t>
      </w:r>
      <w:proofErr w:type="gramStart"/>
      <w:r>
        <w:t xml:space="preserve">Liberalne  </w:t>
      </w:r>
      <w:proofErr w:type="gramEnd"/>
      <w:r>
        <w:t>judovske skupnosti  Slovenije, član</w:t>
      </w:r>
    </w:p>
    <w:p w14:paraId="0899AE43" w14:textId="5350B79F" w:rsidR="00C34B85" w:rsidRDefault="00C34B85" w:rsidP="00C34B85">
      <w:pPr>
        <w:pStyle w:val="Odstavekseznama"/>
        <w:numPr>
          <w:ilvl w:val="0"/>
          <w:numId w:val="21"/>
        </w:numPr>
      </w:pPr>
      <w:r>
        <w:t xml:space="preserve">mag. Marko Lemaić, Ministrstvo za pravosodje, član, </w:t>
      </w:r>
    </w:p>
    <w:p w14:paraId="0ABF0846" w14:textId="266B3D91" w:rsidR="00C34B85" w:rsidRDefault="00C34B85" w:rsidP="00C34B85">
      <w:pPr>
        <w:pStyle w:val="Odstavekseznama"/>
        <w:numPr>
          <w:ilvl w:val="0"/>
          <w:numId w:val="21"/>
        </w:numPr>
      </w:pPr>
      <w:r>
        <w:t xml:space="preserve">Irena Lačen Benedičič, Ministrstvo za kulturo, članica, </w:t>
      </w:r>
    </w:p>
    <w:p w14:paraId="5DAD274A" w14:textId="430A9C32" w:rsidR="00C34B85" w:rsidRDefault="00C34B85" w:rsidP="00C34B85">
      <w:pPr>
        <w:pStyle w:val="Odstavekseznama"/>
        <w:numPr>
          <w:ilvl w:val="0"/>
          <w:numId w:val="21"/>
        </w:numPr>
      </w:pPr>
      <w:r>
        <w:t>dr. Monika Kokalj Kočevar, Muzej novejše zgodovine Slovenije, članica,</w:t>
      </w:r>
    </w:p>
    <w:p w14:paraId="56C9351F" w14:textId="6DF1F6C2" w:rsidR="00C34B85" w:rsidRDefault="00C34B85" w:rsidP="00C34B85">
      <w:pPr>
        <w:pStyle w:val="Odstavekseznama"/>
        <w:numPr>
          <w:ilvl w:val="0"/>
          <w:numId w:val="21"/>
        </w:numPr>
      </w:pPr>
      <w:r>
        <w:t xml:space="preserve">Boris Hajdinjak, </w:t>
      </w:r>
      <w:proofErr w:type="gramStart"/>
      <w:r>
        <w:t>Center</w:t>
      </w:r>
      <w:proofErr w:type="gramEnd"/>
      <w:r>
        <w:t xml:space="preserve"> judovske kulturne dediščine Sinagoga Maribor, član,</w:t>
      </w:r>
    </w:p>
    <w:p w14:paraId="0007CE0B" w14:textId="3DFAE898" w:rsidR="00C34B85" w:rsidRDefault="00C34B85" w:rsidP="00C34B85">
      <w:pPr>
        <w:pStyle w:val="Odstavekseznama"/>
        <w:numPr>
          <w:ilvl w:val="0"/>
          <w:numId w:val="21"/>
        </w:numPr>
      </w:pPr>
      <w:r>
        <w:t xml:space="preserve">Marjetka Bedrač, </w:t>
      </w:r>
      <w:proofErr w:type="gramStart"/>
      <w:r>
        <w:t>Center</w:t>
      </w:r>
      <w:proofErr w:type="gramEnd"/>
      <w:r>
        <w:t xml:space="preserve"> judovske kulturne dediščine Sinagoga Maribor, članica.</w:t>
      </w:r>
    </w:p>
    <w:p w14:paraId="65D72CC0" w14:textId="57489F75" w:rsidR="00857A30" w:rsidRDefault="00C34B85" w:rsidP="00C34B85">
      <w:pPr>
        <w:pStyle w:val="Vir"/>
      </w:pPr>
      <w:r>
        <w:t>Vir: Ministrstvo za zunanje in evropske zadeve</w:t>
      </w:r>
    </w:p>
    <w:p w14:paraId="52B0051F" w14:textId="110CF91E" w:rsidR="00D70E9E" w:rsidRDefault="00D70E9E" w:rsidP="00D70E9E">
      <w:pPr>
        <w:pStyle w:val="Naslov2"/>
      </w:pPr>
      <w:r>
        <w:t>Sklep o izločitvi ministra za kohezijo in regionalni razvoj iz odločanja o sklenitvi Dodatka št. 3 k Pogodbi št. C2130-20-333013 o sofinanciranju operacije Severno obrtna industrijska cona – SOIC Murska Sobota – ureditev območja II. in delno III. faze.</w:t>
      </w:r>
    </w:p>
    <w:p w14:paraId="3380CAD3" w14:textId="77777777" w:rsidR="00D70E9E" w:rsidRDefault="00D70E9E" w:rsidP="00D70E9E">
      <w:r>
        <w:t>Vlada Republike Slovenije je izdala sklep, s katerim je ministra za kohezijo in regionalni razvoj dr. Aleksandra Jevška izločila pri odločanju o sklenitvi Dodatka št. 3 k Pogodbi o sofinanciranju operacije SOIC MS. Sočasno je za odločanje o sklenitvi tega dodatka določila mag. Marka Koprivca, državnega sekretarja na Ministrstvu za kohezijo in regionalni razvoj.</w:t>
      </w:r>
    </w:p>
    <w:p w14:paraId="6EF1D339" w14:textId="77777777" w:rsidR="00D70E9E" w:rsidRDefault="00D70E9E" w:rsidP="00D70E9E"/>
    <w:p w14:paraId="4E4111FD" w14:textId="34C4E002" w:rsidR="00D70E9E" w:rsidRDefault="00D70E9E" w:rsidP="00D70E9E">
      <w:r>
        <w:t xml:space="preserve">Republika Slovenija, tedanje Ministrstvo za gospodarski razvoj in tehnologijo (MGRT) in Mestna občina Murska Sobota sta 12. junija 2020 sklenili pogodbo o sofinanciranju operacije »Severno obrtna industrijska cona – SOIC Murska Sobota – ureditev območja II. in delno III. Faze«, 6. aprila 2021 Dodatek št. 1 in 12. julija 2022 še Dodatek št. 2 k tej pogodbi. Na podlagi Zakona o spremembah Zakona o Vladi Republike Slovenije (ZVRS-J) je del delovnega področja tedanjega MGRT, ki se nanaša na regionalni razvoj, prešel v pristojnost Ministrstva za kohezijo in regionalni razvoj (v nadaljevanju MKRR). MKRR je s 1. aprila 2023 prevzelo naloge z delovnega področja regionalnega razvoja in vstopilo v pravni položaj MGRT. </w:t>
      </w:r>
    </w:p>
    <w:p w14:paraId="315C007C" w14:textId="77777777" w:rsidR="00D70E9E" w:rsidRDefault="00D70E9E" w:rsidP="00D70E9E"/>
    <w:p w14:paraId="69E0DA8C" w14:textId="79015A5B" w:rsidR="00DE1B54" w:rsidRDefault="00D70E9E" w:rsidP="00D70E9E">
      <w:r>
        <w:t xml:space="preserve">Predstojnik MKRR minister dr. Aleksander Jevšek je 11. maja 2025 podal predlog za izločitev iz odločanja o sklenitvi Dodatka št. 3 k Pogodbi o sofinanciranju operacije SOIC MS. Pojasnil je, da je v obdobju od decembra 2014 do junija 2022 opravljal funkcijo župana Mestne občine Murska Sobota in bil v tej funkciji tudi podpisnik Pogodbe o sofinanciranju operacije SOIC MS ter Dodatka </w:t>
      </w:r>
      <w:proofErr w:type="spellStart"/>
      <w:proofErr w:type="gramStart"/>
      <w:r>
        <w:t>št.</w:t>
      </w:r>
      <w:proofErr w:type="gramEnd"/>
      <w:r>
        <w:t>1</w:t>
      </w:r>
      <w:proofErr w:type="spellEnd"/>
      <w:r>
        <w:t xml:space="preserve"> k tej pogodbi. S ciljem zasledovanja načel integritete, objektivnosti in transparentnosti bi želel preprečiti vsakršno tveganje ali dojemanje tretjih, da bi bilo njegovo odločanje o pravicah, obveznostih in pravnih koristih Mestne občine Murska Sobota, vezanih na Pogodbo o sofinanciranju operacije SOIC MS</w:t>
      </w:r>
      <w:proofErr w:type="gramStart"/>
      <w:r>
        <w:t xml:space="preserve"> lahko</w:t>
      </w:r>
      <w:proofErr w:type="gramEnd"/>
      <w:r>
        <w:t xml:space="preserve"> v nasprotju z zakonom, pravno dopustnimi cilji in etičnimi kodeksi.</w:t>
      </w:r>
    </w:p>
    <w:p w14:paraId="1112CAAC" w14:textId="578BCD6A" w:rsidR="00D70E9E" w:rsidRDefault="00D70E9E" w:rsidP="00D70E9E">
      <w:pPr>
        <w:pStyle w:val="Vir"/>
      </w:pPr>
      <w:r w:rsidRPr="00D70E9E">
        <w:t>Vir: Ministrstvo za kohezijo in regionalni razvoj</w:t>
      </w:r>
    </w:p>
    <w:p w14:paraId="59E5CD8E" w14:textId="12E6C3FB" w:rsidR="00E45D1D" w:rsidRDefault="00AC4E2C" w:rsidP="00AC4E2C">
      <w:pPr>
        <w:pStyle w:val="Naslov2"/>
      </w:pPr>
      <w:r>
        <w:t xml:space="preserve">Vlada </w:t>
      </w:r>
      <w:r w:rsidR="00E45D1D">
        <w:t>imenova</w:t>
      </w:r>
      <w:r>
        <w:t>la</w:t>
      </w:r>
      <w:r w:rsidR="00E45D1D">
        <w:t xml:space="preserve"> vršilk</w:t>
      </w:r>
      <w:r>
        <w:t>o</w:t>
      </w:r>
      <w:r w:rsidR="00E45D1D">
        <w:t xml:space="preserve"> dolžnosti direktorja Urada Vlade Republike Slovenije za narodnosti</w:t>
      </w:r>
    </w:p>
    <w:p w14:paraId="1B05EDB2" w14:textId="77777777" w:rsidR="00AC4E2C" w:rsidRDefault="00AC4E2C" w:rsidP="00AC4E2C">
      <w:r>
        <w:t xml:space="preserve">Vlada je izdala odločbo, da se Danica Polak Gruden z dnem </w:t>
      </w:r>
      <w:proofErr w:type="gramStart"/>
      <w:r>
        <w:t>1. 7. 2025</w:t>
      </w:r>
      <w:proofErr w:type="gramEnd"/>
      <w:r>
        <w:t xml:space="preserve"> imenuje za vršilko dolžnosti direktorja Urada Vlade Republike Slovenije za narodnosti, in sicer do imenovanja direktorja, vendar največ za šest mesecev, to je najdlje do 31. 12. 2025.</w:t>
      </w:r>
    </w:p>
    <w:p w14:paraId="4D7C96E3" w14:textId="77777777" w:rsidR="00AC4E2C" w:rsidRDefault="00AC4E2C" w:rsidP="00AC4E2C"/>
    <w:p w14:paraId="3FB55868" w14:textId="77777777" w:rsidR="00AC4E2C" w:rsidRDefault="00AC4E2C" w:rsidP="00AC4E2C">
      <w:r>
        <w:t>V devetem odstavku 83. člena ZJU je določeno, da lahko v času od sprožitve natečajnega postopka do imenovanja novega uradnika na položaj iz drugega odstavka 82. člena tega zakona, brez javnega natečaja, največ šest mesecev naloge na tem položaju opravlja vršilec dolžnosti. Za vršilca dolžnosti je brez javnega natečaja lahko imenovana oseba, ki izpolnjuje predpisane pogoje. Postopek za izbiro direktorja Urada Vlade Republike Slovenije za narodnosti še ni zaključen, zato je treba imenovati vršilca dolžnosti direktorja.</w:t>
      </w:r>
    </w:p>
    <w:p w14:paraId="2B0D74BC" w14:textId="77777777" w:rsidR="00AC4E2C" w:rsidRDefault="00AC4E2C" w:rsidP="00AC4E2C"/>
    <w:p w14:paraId="3E4419CD" w14:textId="77777777" w:rsidR="00AC4E2C" w:rsidRDefault="00AC4E2C" w:rsidP="00AC4E2C">
      <w:r>
        <w:t xml:space="preserve">Generalna sekretarka vlade je Vladi Republike Slovenije predlagala, da se za vršilko dolžnosti direktorja Urada Vlade Republike Slovenije za narodnosti z dnem </w:t>
      </w:r>
      <w:proofErr w:type="gramStart"/>
      <w:r>
        <w:t>1. 7. 2025</w:t>
      </w:r>
      <w:proofErr w:type="gramEnd"/>
      <w:r>
        <w:t xml:space="preserve"> imenuje Danica Polak Gruden, in sicer do imenovanja novega direktorja po opravljenem natečajnem postopku, vendar največ za šest mesecev oziroma najdlje do 31. 12. 2025.</w:t>
      </w:r>
    </w:p>
    <w:p w14:paraId="559EAE94" w14:textId="77777777" w:rsidR="00AC4E2C" w:rsidRDefault="00AC4E2C" w:rsidP="00AC4E2C"/>
    <w:p w14:paraId="439C4D31" w14:textId="77777777" w:rsidR="00AC4E2C" w:rsidRDefault="00AC4E2C" w:rsidP="00AC4E2C">
      <w:r>
        <w:t>Danica Polak Gruden izpolnjuje predpisane pogoje, zato je Vlada Republike Slovenije na podlagi vsega navedenega odločila tako, kot je razvidno iz izreka te odločbe.</w:t>
      </w:r>
    </w:p>
    <w:p w14:paraId="5E4A1A14" w14:textId="77777777" w:rsidR="00AC4E2C" w:rsidRDefault="00AC4E2C" w:rsidP="00AC4E2C"/>
    <w:p w14:paraId="5BD763D4" w14:textId="77777777" w:rsidR="00AC4E2C" w:rsidRDefault="00AC4E2C" w:rsidP="00AC4E2C">
      <w:r>
        <w:t>Kandidatka ima več kot dvajset let izkušenj v državnih institucijah (vključno z zakonodajno in izvršilno vejo oblasti), kjer je vrsto let vsebinsko pokrivala področja, povezana z delovanjem narodnih skupnosti, manjšinsko zakonodajo, izobraževanjem, kulturo in človekovimi pravicami. Neposredno je sodelovala pri obravnavi zakonodajnih in političnih vprašanj, ki se nanašajo na avtohtoni italijansko in madžarsko narodni skupnosti, vključno z njihovim položajem, izobraževalnim in medijskim sistemom ter čezmejnim sodelovanjem z matičnima narodoma.</w:t>
      </w:r>
    </w:p>
    <w:p w14:paraId="711DB1CD" w14:textId="77777777" w:rsidR="00AC4E2C" w:rsidRDefault="00AC4E2C" w:rsidP="00AC4E2C">
      <w:r>
        <w:t>Ima izkušnje z vodenjem, med drugim je sodelovala v Uradniškem svetu in aktivno prispevala k soustvarjanju strateških usmeritev na nacionalni ravni. Poglobljeno pozna zakonodajni postopek, ustroj državne uprave in delovanje javnih zavodov, odlikuje pa jo prepoznaven čut za varstvo manjšinskih pravic, spoštovanje različnosti ter razumevanje pomena vključujoče javne politike.</w:t>
      </w:r>
    </w:p>
    <w:p w14:paraId="37E9C757" w14:textId="1B3AF3FF" w:rsidR="00AC4E2C" w:rsidRDefault="00AC4E2C" w:rsidP="00AC4E2C">
      <w:pPr>
        <w:pStyle w:val="Vir"/>
      </w:pPr>
      <w:r>
        <w:t>Vir: Generalni sekretariat vlade</w:t>
      </w:r>
    </w:p>
    <w:p w14:paraId="3778218C" w14:textId="77777777" w:rsidR="00E45D1D" w:rsidRPr="00E45D1D" w:rsidRDefault="00E45D1D" w:rsidP="00E45D1D"/>
    <w:sectPr w:rsidR="00E45D1D" w:rsidRPr="00E45D1D"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82748"/>
    <w:multiLevelType w:val="hybridMultilevel"/>
    <w:tmpl w:val="9C6C7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619C8"/>
    <w:multiLevelType w:val="hybridMultilevel"/>
    <w:tmpl w:val="2C4023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AF77E7"/>
    <w:multiLevelType w:val="hybridMultilevel"/>
    <w:tmpl w:val="EEAC0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8557BA"/>
    <w:multiLevelType w:val="hybridMultilevel"/>
    <w:tmpl w:val="D8EC6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F4295D"/>
    <w:multiLevelType w:val="hybridMultilevel"/>
    <w:tmpl w:val="8D18557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754367"/>
    <w:multiLevelType w:val="hybridMultilevel"/>
    <w:tmpl w:val="1FCA0ED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1E7377"/>
    <w:multiLevelType w:val="hybridMultilevel"/>
    <w:tmpl w:val="B262D2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9D1852"/>
    <w:multiLevelType w:val="hybridMultilevel"/>
    <w:tmpl w:val="3256687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C10881"/>
    <w:multiLevelType w:val="hybridMultilevel"/>
    <w:tmpl w:val="58065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FB360A"/>
    <w:multiLevelType w:val="hybridMultilevel"/>
    <w:tmpl w:val="A1943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F47342"/>
    <w:multiLevelType w:val="hybridMultilevel"/>
    <w:tmpl w:val="3C3E8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91D7C"/>
    <w:multiLevelType w:val="hybridMultilevel"/>
    <w:tmpl w:val="C95C422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D83594"/>
    <w:multiLevelType w:val="hybridMultilevel"/>
    <w:tmpl w:val="16A045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35279F"/>
    <w:multiLevelType w:val="hybridMultilevel"/>
    <w:tmpl w:val="619C3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B4734B"/>
    <w:multiLevelType w:val="hybridMultilevel"/>
    <w:tmpl w:val="7A2C68E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FC217C"/>
    <w:multiLevelType w:val="hybridMultilevel"/>
    <w:tmpl w:val="65749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EF22D9"/>
    <w:multiLevelType w:val="hybridMultilevel"/>
    <w:tmpl w:val="553426D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C018D6"/>
    <w:multiLevelType w:val="hybridMultilevel"/>
    <w:tmpl w:val="6C6858D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F29274C"/>
    <w:multiLevelType w:val="hybridMultilevel"/>
    <w:tmpl w:val="EFD8E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6"/>
  </w:num>
  <w:num w:numId="2" w16cid:durableId="984821814">
    <w:abstractNumId w:val="18"/>
  </w:num>
  <w:num w:numId="3" w16cid:durableId="150218247">
    <w:abstractNumId w:val="0"/>
  </w:num>
  <w:num w:numId="4" w16cid:durableId="1026903286">
    <w:abstractNumId w:val="20"/>
  </w:num>
  <w:num w:numId="5" w16cid:durableId="231817878">
    <w:abstractNumId w:val="10"/>
  </w:num>
  <w:num w:numId="6" w16cid:durableId="2110814889">
    <w:abstractNumId w:val="28"/>
  </w:num>
  <w:num w:numId="7" w16cid:durableId="695153758">
    <w:abstractNumId w:val="11"/>
  </w:num>
  <w:num w:numId="8" w16cid:durableId="853298866">
    <w:abstractNumId w:val="16"/>
  </w:num>
  <w:num w:numId="9" w16cid:durableId="1789348953">
    <w:abstractNumId w:val="9"/>
  </w:num>
  <w:num w:numId="10" w16cid:durableId="97021618">
    <w:abstractNumId w:val="24"/>
  </w:num>
  <w:num w:numId="11" w16cid:durableId="2008942213">
    <w:abstractNumId w:val="19"/>
  </w:num>
  <w:num w:numId="12" w16cid:durableId="928387069">
    <w:abstractNumId w:val="2"/>
  </w:num>
  <w:num w:numId="13" w16cid:durableId="845248613">
    <w:abstractNumId w:val="1"/>
  </w:num>
  <w:num w:numId="14" w16cid:durableId="803695375">
    <w:abstractNumId w:val="29"/>
  </w:num>
  <w:num w:numId="15" w16cid:durableId="1464273212">
    <w:abstractNumId w:val="25"/>
  </w:num>
  <w:num w:numId="16" w16cid:durableId="1302923749">
    <w:abstractNumId w:val="15"/>
  </w:num>
  <w:num w:numId="17" w16cid:durableId="1972395110">
    <w:abstractNumId w:val="6"/>
  </w:num>
  <w:num w:numId="18" w16cid:durableId="1255162543">
    <w:abstractNumId w:val="27"/>
  </w:num>
  <w:num w:numId="19" w16cid:durableId="1195539138">
    <w:abstractNumId w:val="12"/>
  </w:num>
  <w:num w:numId="20" w16cid:durableId="341126694">
    <w:abstractNumId w:val="7"/>
  </w:num>
  <w:num w:numId="21" w16cid:durableId="152383026">
    <w:abstractNumId w:val="23"/>
  </w:num>
  <w:num w:numId="22" w16cid:durableId="578248411">
    <w:abstractNumId w:val="21"/>
  </w:num>
  <w:num w:numId="23" w16cid:durableId="1443498838">
    <w:abstractNumId w:val="5"/>
  </w:num>
  <w:num w:numId="24" w16cid:durableId="1038705911">
    <w:abstractNumId w:val="8"/>
  </w:num>
  <w:num w:numId="25" w16cid:durableId="1009020718">
    <w:abstractNumId w:val="3"/>
  </w:num>
  <w:num w:numId="26" w16cid:durableId="484391991">
    <w:abstractNumId w:val="14"/>
  </w:num>
  <w:num w:numId="27" w16cid:durableId="810562967">
    <w:abstractNumId w:val="4"/>
  </w:num>
  <w:num w:numId="28" w16cid:durableId="1661735985">
    <w:abstractNumId w:val="17"/>
  </w:num>
  <w:num w:numId="29" w16cid:durableId="1203328894">
    <w:abstractNumId w:val="13"/>
  </w:num>
  <w:num w:numId="30" w16cid:durableId="1544711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37669"/>
    <w:rsid w:val="00044FEC"/>
    <w:rsid w:val="00050A56"/>
    <w:rsid w:val="00076DF7"/>
    <w:rsid w:val="00085D04"/>
    <w:rsid w:val="00087069"/>
    <w:rsid w:val="00097B85"/>
    <w:rsid w:val="000D354C"/>
    <w:rsid w:val="000D5520"/>
    <w:rsid w:val="000E0657"/>
    <w:rsid w:val="000E795D"/>
    <w:rsid w:val="00106798"/>
    <w:rsid w:val="00110B8F"/>
    <w:rsid w:val="0013016C"/>
    <w:rsid w:val="001602C9"/>
    <w:rsid w:val="0016530C"/>
    <w:rsid w:val="001673A5"/>
    <w:rsid w:val="00173343"/>
    <w:rsid w:val="001B01DD"/>
    <w:rsid w:val="001B1ACB"/>
    <w:rsid w:val="001B42F9"/>
    <w:rsid w:val="001B5E62"/>
    <w:rsid w:val="001B7E2D"/>
    <w:rsid w:val="001C3560"/>
    <w:rsid w:val="001F51BC"/>
    <w:rsid w:val="001F5F76"/>
    <w:rsid w:val="001F7F63"/>
    <w:rsid w:val="00203A7B"/>
    <w:rsid w:val="00203F5F"/>
    <w:rsid w:val="00215140"/>
    <w:rsid w:val="00220CDD"/>
    <w:rsid w:val="00231021"/>
    <w:rsid w:val="002501CE"/>
    <w:rsid w:val="0026496E"/>
    <w:rsid w:val="00291D63"/>
    <w:rsid w:val="00293CB5"/>
    <w:rsid w:val="002C36A6"/>
    <w:rsid w:val="002D5B5D"/>
    <w:rsid w:val="002F37E1"/>
    <w:rsid w:val="00314EA3"/>
    <w:rsid w:val="0032428F"/>
    <w:rsid w:val="00346113"/>
    <w:rsid w:val="00346E22"/>
    <w:rsid w:val="00351E1E"/>
    <w:rsid w:val="00357DC0"/>
    <w:rsid w:val="00361255"/>
    <w:rsid w:val="00371B02"/>
    <w:rsid w:val="00381018"/>
    <w:rsid w:val="003847C8"/>
    <w:rsid w:val="003877EB"/>
    <w:rsid w:val="00390DF7"/>
    <w:rsid w:val="0039662C"/>
    <w:rsid w:val="003C2EAE"/>
    <w:rsid w:val="003C33AA"/>
    <w:rsid w:val="003D64D8"/>
    <w:rsid w:val="003E17B6"/>
    <w:rsid w:val="003E6170"/>
    <w:rsid w:val="003F4CC5"/>
    <w:rsid w:val="00407CA0"/>
    <w:rsid w:val="00413F2F"/>
    <w:rsid w:val="00415527"/>
    <w:rsid w:val="00431BE4"/>
    <w:rsid w:val="00432937"/>
    <w:rsid w:val="004403EC"/>
    <w:rsid w:val="00447B57"/>
    <w:rsid w:val="00455B63"/>
    <w:rsid w:val="00460370"/>
    <w:rsid w:val="00485D23"/>
    <w:rsid w:val="004A7CAD"/>
    <w:rsid w:val="004B4753"/>
    <w:rsid w:val="004B7346"/>
    <w:rsid w:val="004E4419"/>
    <w:rsid w:val="00514121"/>
    <w:rsid w:val="00522637"/>
    <w:rsid w:val="00527867"/>
    <w:rsid w:val="00527AA5"/>
    <w:rsid w:val="005314D7"/>
    <w:rsid w:val="005515BD"/>
    <w:rsid w:val="00555922"/>
    <w:rsid w:val="0059143B"/>
    <w:rsid w:val="00591FF5"/>
    <w:rsid w:val="005A570D"/>
    <w:rsid w:val="005B5886"/>
    <w:rsid w:val="005C1523"/>
    <w:rsid w:val="005E1ABB"/>
    <w:rsid w:val="005E6A4B"/>
    <w:rsid w:val="00610B2E"/>
    <w:rsid w:val="00614FFD"/>
    <w:rsid w:val="006274BB"/>
    <w:rsid w:val="00634EFA"/>
    <w:rsid w:val="00635D43"/>
    <w:rsid w:val="00650F3F"/>
    <w:rsid w:val="0066249C"/>
    <w:rsid w:val="0067375D"/>
    <w:rsid w:val="00683AAE"/>
    <w:rsid w:val="006A208B"/>
    <w:rsid w:val="006C1B31"/>
    <w:rsid w:val="0070324C"/>
    <w:rsid w:val="007120FD"/>
    <w:rsid w:val="007130E1"/>
    <w:rsid w:val="00717E59"/>
    <w:rsid w:val="0073796B"/>
    <w:rsid w:val="00750D01"/>
    <w:rsid w:val="007643A0"/>
    <w:rsid w:val="007669A3"/>
    <w:rsid w:val="00781345"/>
    <w:rsid w:val="0079385F"/>
    <w:rsid w:val="007A6460"/>
    <w:rsid w:val="007B0ADD"/>
    <w:rsid w:val="007B1CDD"/>
    <w:rsid w:val="007C21FB"/>
    <w:rsid w:val="007D34C8"/>
    <w:rsid w:val="007E198F"/>
    <w:rsid w:val="007E6BA8"/>
    <w:rsid w:val="007F5D6B"/>
    <w:rsid w:val="007F6EF7"/>
    <w:rsid w:val="008244C0"/>
    <w:rsid w:val="008336E7"/>
    <w:rsid w:val="00836E94"/>
    <w:rsid w:val="00847AD3"/>
    <w:rsid w:val="00857A30"/>
    <w:rsid w:val="008624E8"/>
    <w:rsid w:val="00892B8A"/>
    <w:rsid w:val="008B7AF2"/>
    <w:rsid w:val="008C4231"/>
    <w:rsid w:val="008D49BD"/>
    <w:rsid w:val="00905C96"/>
    <w:rsid w:val="00905FB2"/>
    <w:rsid w:val="00912915"/>
    <w:rsid w:val="009170E9"/>
    <w:rsid w:val="009174DA"/>
    <w:rsid w:val="00933061"/>
    <w:rsid w:val="00933087"/>
    <w:rsid w:val="00945B27"/>
    <w:rsid w:val="009540E4"/>
    <w:rsid w:val="00974186"/>
    <w:rsid w:val="00983241"/>
    <w:rsid w:val="00986FFE"/>
    <w:rsid w:val="009900DE"/>
    <w:rsid w:val="009A41AA"/>
    <w:rsid w:val="009C2C98"/>
    <w:rsid w:val="009C2D77"/>
    <w:rsid w:val="009C562E"/>
    <w:rsid w:val="009D10D1"/>
    <w:rsid w:val="00A06971"/>
    <w:rsid w:val="00A12381"/>
    <w:rsid w:val="00A30052"/>
    <w:rsid w:val="00A34FC4"/>
    <w:rsid w:val="00A445DF"/>
    <w:rsid w:val="00A5415F"/>
    <w:rsid w:val="00A60A37"/>
    <w:rsid w:val="00A63E12"/>
    <w:rsid w:val="00A67305"/>
    <w:rsid w:val="00A72B6F"/>
    <w:rsid w:val="00A7412B"/>
    <w:rsid w:val="00A87E19"/>
    <w:rsid w:val="00AA6622"/>
    <w:rsid w:val="00AB1DC2"/>
    <w:rsid w:val="00AC4E2C"/>
    <w:rsid w:val="00AD14DA"/>
    <w:rsid w:val="00AD1AFD"/>
    <w:rsid w:val="00AE5AE3"/>
    <w:rsid w:val="00AE6CD6"/>
    <w:rsid w:val="00AF1258"/>
    <w:rsid w:val="00B022E5"/>
    <w:rsid w:val="00B301B3"/>
    <w:rsid w:val="00B47F61"/>
    <w:rsid w:val="00B60F58"/>
    <w:rsid w:val="00B67490"/>
    <w:rsid w:val="00B70F5B"/>
    <w:rsid w:val="00B73F19"/>
    <w:rsid w:val="00B753A8"/>
    <w:rsid w:val="00B84862"/>
    <w:rsid w:val="00BA743D"/>
    <w:rsid w:val="00BB1111"/>
    <w:rsid w:val="00BB6BF3"/>
    <w:rsid w:val="00BB73C0"/>
    <w:rsid w:val="00BE5C43"/>
    <w:rsid w:val="00BF11F0"/>
    <w:rsid w:val="00C3152B"/>
    <w:rsid w:val="00C34B85"/>
    <w:rsid w:val="00C354D9"/>
    <w:rsid w:val="00C365A8"/>
    <w:rsid w:val="00C42DF6"/>
    <w:rsid w:val="00C458C2"/>
    <w:rsid w:val="00C666AC"/>
    <w:rsid w:val="00C8735C"/>
    <w:rsid w:val="00C961AD"/>
    <w:rsid w:val="00C97F7B"/>
    <w:rsid w:val="00CA52D7"/>
    <w:rsid w:val="00CA5624"/>
    <w:rsid w:val="00CC3123"/>
    <w:rsid w:val="00CC37B3"/>
    <w:rsid w:val="00D10EB4"/>
    <w:rsid w:val="00D14EEC"/>
    <w:rsid w:val="00D572F3"/>
    <w:rsid w:val="00D60A92"/>
    <w:rsid w:val="00D650E2"/>
    <w:rsid w:val="00D70E9E"/>
    <w:rsid w:val="00D7373E"/>
    <w:rsid w:val="00D9208E"/>
    <w:rsid w:val="00D95BC6"/>
    <w:rsid w:val="00D966FF"/>
    <w:rsid w:val="00DA3B4D"/>
    <w:rsid w:val="00DA5C0D"/>
    <w:rsid w:val="00DC3A98"/>
    <w:rsid w:val="00DE199D"/>
    <w:rsid w:val="00DE1B54"/>
    <w:rsid w:val="00DE27BA"/>
    <w:rsid w:val="00E02AB3"/>
    <w:rsid w:val="00E05EEE"/>
    <w:rsid w:val="00E14AAE"/>
    <w:rsid w:val="00E2036F"/>
    <w:rsid w:val="00E3207D"/>
    <w:rsid w:val="00E3507E"/>
    <w:rsid w:val="00E45D1D"/>
    <w:rsid w:val="00E6446C"/>
    <w:rsid w:val="00E7132A"/>
    <w:rsid w:val="00E83E60"/>
    <w:rsid w:val="00E86C78"/>
    <w:rsid w:val="00E948BD"/>
    <w:rsid w:val="00EA3138"/>
    <w:rsid w:val="00EA4024"/>
    <w:rsid w:val="00EC012E"/>
    <w:rsid w:val="00EF1263"/>
    <w:rsid w:val="00F00D20"/>
    <w:rsid w:val="00F01966"/>
    <w:rsid w:val="00F06AB5"/>
    <w:rsid w:val="00F20884"/>
    <w:rsid w:val="00F21123"/>
    <w:rsid w:val="00F21419"/>
    <w:rsid w:val="00F23144"/>
    <w:rsid w:val="00F24A5B"/>
    <w:rsid w:val="00F26E77"/>
    <w:rsid w:val="00F462C7"/>
    <w:rsid w:val="00F73CE1"/>
    <w:rsid w:val="00F93A56"/>
    <w:rsid w:val="00FA792D"/>
    <w:rsid w:val="00FC28E1"/>
    <w:rsid w:val="00FC2D38"/>
    <w:rsid w:val="00FD6F18"/>
    <w:rsid w:val="00FE5604"/>
    <w:rsid w:val="00FE6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CA52D7"/>
    <w:rPr>
      <w:color w:val="0563C1" w:themeColor="hyperlink"/>
      <w:u w:val="single"/>
    </w:rPr>
  </w:style>
  <w:style w:type="paragraph" w:customStyle="1" w:styleId="Neotevilenodstavek">
    <w:name w:val="Neoštevilčen odstavek"/>
    <w:basedOn w:val="Navaden"/>
    <w:link w:val="NeotevilenodstavekZnak"/>
    <w:qFormat/>
    <w:rsid w:val="00346113"/>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34611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L/TXT/HTML/?uri=OJ:L_2025900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14857</Words>
  <Characters>84687</Characters>
  <Application>Microsoft Office Word</Application>
  <DocSecurity>0</DocSecurity>
  <Lines>705</Lines>
  <Paragraphs>198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2025-06-18T19:02:00Z</dcterms:created>
  <dcterms:modified xsi:type="dcterms:W3CDTF">2025-06-19T14:18:00Z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