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3FB6D387" w:rsidR="0073796B" w:rsidRPr="0039662C" w:rsidRDefault="00D10EB4" w:rsidP="0039662C">
      <w:pPr>
        <w:pStyle w:val="Naslov1"/>
      </w:pPr>
      <w:r>
        <w:t>1</w:t>
      </w:r>
      <w:r w:rsidR="00432937">
        <w:t>5</w:t>
      </w:r>
      <w:r w:rsidR="005228C4">
        <w:t>7</w:t>
      </w:r>
      <w:r w:rsidR="0073796B" w:rsidRPr="0039662C">
        <w:t>. redna seja Vlade Republike Slovenije</w:t>
      </w:r>
    </w:p>
    <w:p w14:paraId="1989BFF3" w14:textId="55DD91B5" w:rsidR="00657A4D" w:rsidRDefault="005228C4" w:rsidP="00813B32">
      <w:pPr>
        <w:pStyle w:val="DatumSZJ"/>
      </w:pPr>
      <w:r>
        <w:t>12</w:t>
      </w:r>
      <w:r w:rsidR="00D10EB4">
        <w:t>.</w:t>
      </w:r>
      <w:r w:rsidR="0073796B" w:rsidRPr="008B7AF2">
        <w:t xml:space="preserve"> </w:t>
      </w:r>
      <w:r w:rsidR="00C666AC">
        <w:t>j</w:t>
      </w:r>
      <w:r w:rsidR="00DA3B4D">
        <w:t xml:space="preserve">unij </w:t>
      </w:r>
      <w:r w:rsidR="0073796B" w:rsidRPr="008B7AF2">
        <w:t>202</w:t>
      </w:r>
      <w:r w:rsidR="00F21123">
        <w:t>5</w:t>
      </w:r>
    </w:p>
    <w:p w14:paraId="05BAF87E" w14:textId="570B9810" w:rsidR="00813B32" w:rsidRPr="00CB5580" w:rsidRDefault="00813B32" w:rsidP="00EB20D7"/>
    <w:p w14:paraId="3C92ECA8" w14:textId="322F4F99" w:rsidR="00EB20D7" w:rsidRPr="00253AEC" w:rsidRDefault="00EB20D7" w:rsidP="00253AEC">
      <w:pPr>
        <w:pStyle w:val="Naslov2"/>
      </w:pPr>
      <w:r w:rsidRPr="00253AEC">
        <w:t>Vlada izdala Uredbo o izvajanju Uredbe (EU) 2019/880 o vnosu in uvozu predmetov kulturne dediščine</w:t>
      </w:r>
    </w:p>
    <w:p w14:paraId="2A7C7BA8" w14:textId="77777777" w:rsidR="00EB20D7" w:rsidRPr="00B01156" w:rsidRDefault="00EB20D7" w:rsidP="00B01156">
      <w:pPr>
        <w:rPr>
          <w:color w:val="000000" w:themeColor="text1"/>
        </w:rPr>
      </w:pPr>
      <w:r w:rsidRPr="00B01156">
        <w:rPr>
          <w:color w:val="000000" w:themeColor="text1"/>
        </w:rPr>
        <w:t>Vlada RS je na svoji 157. seji sprejela Uredbo o izvajanju Uredbe (EU) 2019/880, ki ureja vnos in uvoz predmetov kulturne dediščine. Uredba bo objavljena v Uradnem listu RS, začela pa bo veljati 28. junija 2025.</w:t>
      </w:r>
    </w:p>
    <w:p w14:paraId="235CE9F9" w14:textId="7934BC75" w:rsidR="00EB20D7" w:rsidRPr="00B01156" w:rsidRDefault="00EB20D7" w:rsidP="00B01156">
      <w:pPr>
        <w:pStyle w:val="Odstavekseznama"/>
        <w:numPr>
          <w:ilvl w:val="0"/>
          <w:numId w:val="0"/>
        </w:numPr>
        <w:rPr>
          <w:color w:val="000000" w:themeColor="text1"/>
        </w:rPr>
      </w:pPr>
      <w:r w:rsidRPr="00EB20D7">
        <w:rPr>
          <w:color w:val="000000" w:themeColor="text1"/>
        </w:rPr>
        <w:t>Namen uredbe je zagotoviti ustrezno regulacijo vnosov in uvozov predmetov kulturne dediščine v EU, kar vključuje določitev pristojnega organa za izdajo uvoznih dovoljenj, nadzornega organa ter sankcij za kršitve. Za uvoz predmetov kulturne dediščine bo v Sloveniji pristojno Ministrstvo za kulturo, medtem ko bo nadzor nad vnosom in uvozom izvajala Finančna uprava RS.</w:t>
      </w:r>
      <w:r w:rsidR="00B01156" w:rsidRPr="00B01156">
        <w:rPr>
          <w:color w:val="000000" w:themeColor="text1"/>
        </w:rPr>
        <w:t xml:space="preserve"> </w:t>
      </w:r>
      <w:r w:rsidRPr="00B01156">
        <w:rPr>
          <w:color w:val="000000" w:themeColor="text1"/>
        </w:rPr>
        <w:t>Uredba predvideva kazni za kršitve, povezane z nepravilno dokumentacijo pri uvozu predmetov kulturne dediščine. Za prekrške bodo lahko odgovorni tako pravne osebe kot tudi posamezniki, pri čemer so določene tudi globe za odgovorne osebe v podjetjih in samostojne podjetnike.</w:t>
      </w:r>
    </w:p>
    <w:p w14:paraId="47C61B27" w14:textId="099BF0F5" w:rsidR="00B01156" w:rsidRPr="00B01156" w:rsidRDefault="00EB20D7" w:rsidP="00B01156">
      <w:pPr>
        <w:pStyle w:val="Odstavekseznama"/>
        <w:numPr>
          <w:ilvl w:val="0"/>
          <w:numId w:val="0"/>
        </w:numPr>
        <w:rPr>
          <w:color w:val="000000" w:themeColor="text1"/>
        </w:rPr>
      </w:pPr>
      <w:r w:rsidRPr="00EB20D7">
        <w:rPr>
          <w:color w:val="000000" w:themeColor="text1"/>
        </w:rPr>
        <w:t>Vlada RS s sprejetjem te uredbe zagotavlja boljši nadzor nad ohranjanjem in zaščito kulturne dediščine ter skladnost z evropskimi predpisi.</w:t>
      </w:r>
    </w:p>
    <w:p w14:paraId="70DB9F16" w14:textId="3E7798E8" w:rsidR="00813B32" w:rsidRPr="00B01156" w:rsidRDefault="00EB20D7" w:rsidP="00B01156">
      <w:pPr>
        <w:pStyle w:val="Vir"/>
      </w:pPr>
      <w:r w:rsidRPr="00B01156">
        <w:t>Vir: Ministrstvo za kulturo</w:t>
      </w:r>
    </w:p>
    <w:p w14:paraId="2A694FB6" w14:textId="153F1696" w:rsidR="0041262C" w:rsidRPr="0041262C" w:rsidRDefault="0041262C" w:rsidP="00B01156">
      <w:pPr>
        <w:pStyle w:val="Naslov2"/>
      </w:pPr>
      <w:r w:rsidRPr="0041262C">
        <w:t>Vlada sprejela Uredbo o ugotavljanju kritičnih subjektov</w:t>
      </w:r>
    </w:p>
    <w:p w14:paraId="66BD7C93" w14:textId="77777777" w:rsidR="0041262C" w:rsidRPr="0041262C" w:rsidRDefault="0041262C" w:rsidP="0041262C">
      <w:pPr>
        <w:rPr>
          <w:color w:val="000000" w:themeColor="text1"/>
        </w:rPr>
      </w:pPr>
      <w:r w:rsidRPr="0041262C">
        <w:rPr>
          <w:color w:val="000000" w:themeColor="text1"/>
        </w:rPr>
        <w:t xml:space="preserve">Uredba o ugotavljanju kritičnih subjektov je pripravljena na podlagi Zakona o kritični infrastrukturi zaradi prenosa evropske direktive o odpornosti kritičnih subjektov v slovenski pravni red. </w:t>
      </w:r>
    </w:p>
    <w:p w14:paraId="0E610BAA" w14:textId="77777777" w:rsidR="0041262C" w:rsidRPr="0041262C" w:rsidRDefault="0041262C" w:rsidP="0041262C">
      <w:pPr>
        <w:rPr>
          <w:color w:val="000000" w:themeColor="text1"/>
        </w:rPr>
      </w:pPr>
    </w:p>
    <w:p w14:paraId="3C0940B1" w14:textId="77777777" w:rsidR="0041262C" w:rsidRPr="0041262C" w:rsidRDefault="0041262C" w:rsidP="0041262C">
      <w:pPr>
        <w:rPr>
          <w:color w:val="000000" w:themeColor="text1"/>
        </w:rPr>
      </w:pPr>
      <w:r w:rsidRPr="0041262C">
        <w:rPr>
          <w:color w:val="000000" w:themeColor="text1"/>
        </w:rPr>
        <w:t xml:space="preserve">Z Zakonom o kritični infrastrukturi je bil večji del določb evropske Direktive 2022/2557 že prenesenih v pravni red Republike Slovenije. Za prenos preostalih določb Direktive 2022/2557 iz njene priloge in določb 7. člena o mejnih vrednostih meril, ki se uporabljajo za določitev enega ali več meril za določanje pomembnosti motečega učinka izrednega dogodka na opravljanje bistvenih storitev, je bilo pripravljeno besedilo uredbe. </w:t>
      </w:r>
    </w:p>
    <w:p w14:paraId="4A03882A" w14:textId="77777777" w:rsidR="0041262C" w:rsidRPr="0041262C" w:rsidRDefault="0041262C" w:rsidP="0041262C">
      <w:pPr>
        <w:rPr>
          <w:color w:val="000000" w:themeColor="text1"/>
        </w:rPr>
      </w:pPr>
    </w:p>
    <w:p w14:paraId="048B8023" w14:textId="77777777" w:rsidR="0041262C" w:rsidRPr="0041262C" w:rsidRDefault="0041262C" w:rsidP="0041262C">
      <w:pPr>
        <w:rPr>
          <w:color w:val="000000" w:themeColor="text1"/>
        </w:rPr>
      </w:pPr>
      <w:r w:rsidRPr="0041262C">
        <w:rPr>
          <w:color w:val="000000" w:themeColor="text1"/>
        </w:rPr>
        <w:t xml:space="preserve">Uredba določa </w:t>
      </w:r>
      <w:proofErr w:type="spellStart"/>
      <w:r w:rsidRPr="0041262C">
        <w:rPr>
          <w:color w:val="000000" w:themeColor="text1"/>
        </w:rPr>
        <w:t>podsektorje</w:t>
      </w:r>
      <w:proofErr w:type="spellEnd"/>
      <w:r w:rsidRPr="0041262C">
        <w:rPr>
          <w:color w:val="000000" w:themeColor="text1"/>
        </w:rPr>
        <w:t xml:space="preserve"> sektorjev kritične infrastrukture, ki so sicer že določeni v Zakonu o kritični infrastrukturi, in njihove nosilce ter z njimi sodelujoče organe na podlagi določitve delovnih področij ministrstev. Z določitvijo </w:t>
      </w:r>
      <w:proofErr w:type="spellStart"/>
      <w:r w:rsidRPr="0041262C">
        <w:rPr>
          <w:color w:val="000000" w:themeColor="text1"/>
        </w:rPr>
        <w:t>podsektorjev</w:t>
      </w:r>
      <w:proofErr w:type="spellEnd"/>
      <w:r w:rsidRPr="0041262C">
        <w:rPr>
          <w:color w:val="000000" w:themeColor="text1"/>
        </w:rPr>
        <w:t xml:space="preserve"> in kategorij subjektov v uredbi, med katerimi bodo nosilci sektorjev ugotavljali kritične subjekte v celoti, sledimo določbam priloge direktive. </w:t>
      </w:r>
    </w:p>
    <w:p w14:paraId="76BF8020" w14:textId="77777777" w:rsidR="0041262C" w:rsidRPr="0041262C" w:rsidRDefault="0041262C" w:rsidP="0041262C">
      <w:pPr>
        <w:rPr>
          <w:color w:val="000000" w:themeColor="text1"/>
        </w:rPr>
      </w:pPr>
    </w:p>
    <w:p w14:paraId="2BA33B6B" w14:textId="77777777" w:rsidR="0041262C" w:rsidRPr="0041262C" w:rsidRDefault="0041262C" w:rsidP="0041262C">
      <w:pPr>
        <w:rPr>
          <w:color w:val="000000" w:themeColor="text1"/>
        </w:rPr>
      </w:pPr>
      <w:r w:rsidRPr="0041262C">
        <w:rPr>
          <w:color w:val="000000" w:themeColor="text1"/>
        </w:rPr>
        <w:t xml:space="preserve">Bistvene storitve v sektorjih in </w:t>
      </w:r>
      <w:proofErr w:type="spellStart"/>
      <w:r w:rsidRPr="0041262C">
        <w:rPr>
          <w:color w:val="000000" w:themeColor="text1"/>
        </w:rPr>
        <w:t>podsektorjih</w:t>
      </w:r>
      <w:proofErr w:type="spellEnd"/>
      <w:r w:rsidRPr="0041262C">
        <w:rPr>
          <w:color w:val="000000" w:themeColor="text1"/>
        </w:rPr>
        <w:t xml:space="preserve"> kritične infrastrukture so določene z delegirano uredbo Komisije z dne 25. julija 2023 o dopolnitvi Direktive 2022/2557 Evropskega parlamenta in Sveta z določitvijo seznama bistvenih storitev, ki je obvezujoča za vse države članice Evropske unije in ji zato določba o bistvenih storitvah v predlogu uredbe sledi v celoti.</w:t>
      </w:r>
    </w:p>
    <w:p w14:paraId="302B5203" w14:textId="77777777" w:rsidR="0041262C" w:rsidRPr="0041262C" w:rsidRDefault="0041262C" w:rsidP="0041262C">
      <w:pPr>
        <w:rPr>
          <w:color w:val="000000" w:themeColor="text1"/>
        </w:rPr>
      </w:pPr>
    </w:p>
    <w:p w14:paraId="08F60447" w14:textId="77777777" w:rsidR="0041262C" w:rsidRPr="0041262C" w:rsidRDefault="0041262C" w:rsidP="0041262C">
      <w:pPr>
        <w:rPr>
          <w:color w:val="000000" w:themeColor="text1"/>
        </w:rPr>
      </w:pPr>
      <w:r w:rsidRPr="0041262C">
        <w:rPr>
          <w:color w:val="000000" w:themeColor="text1"/>
        </w:rPr>
        <w:t xml:space="preserve">Predlagane mejne vrednosti kriterijev za določanje pomembnosti motečega učinka oz. posledic izrednega dogodka na opravljanje bistvenih storitev subjekta ali od njih odvisnih bistvenih storitev v drugih sektorjih kritične infrastrukture sledijo obstoječim kriterijem za ugotavljanje kritične infrastrukture Republike Slovenije. </w:t>
      </w:r>
    </w:p>
    <w:p w14:paraId="610EBA55" w14:textId="77777777" w:rsidR="0041262C" w:rsidRPr="0041262C" w:rsidRDefault="0041262C" w:rsidP="0041262C">
      <w:pPr>
        <w:rPr>
          <w:color w:val="000000" w:themeColor="text1"/>
        </w:rPr>
      </w:pPr>
    </w:p>
    <w:p w14:paraId="0D0F44F8" w14:textId="77777777" w:rsidR="0041262C" w:rsidRPr="0041262C" w:rsidRDefault="0041262C" w:rsidP="0041262C">
      <w:pPr>
        <w:rPr>
          <w:color w:val="000000" w:themeColor="text1"/>
        </w:rPr>
      </w:pPr>
      <w:r w:rsidRPr="0041262C">
        <w:rPr>
          <w:color w:val="000000" w:themeColor="text1"/>
        </w:rPr>
        <w:lastRenderedPageBreak/>
        <w:t xml:space="preserve">Večinoma gre za številčne vrednosti, ki jih bodo morali nosilci sektorjev kritične infrastrukture upoštevati pri določanju posledic izrednega dogodka v postopku ugotavljanja in priprave predlogov za določitev kritičnih subjektov ter njihove kritične infrastrukture. </w:t>
      </w:r>
    </w:p>
    <w:p w14:paraId="1DD59BC3" w14:textId="77777777" w:rsidR="0041262C" w:rsidRPr="0041262C" w:rsidRDefault="0041262C" w:rsidP="0041262C">
      <w:pPr>
        <w:rPr>
          <w:color w:val="000000" w:themeColor="text1"/>
        </w:rPr>
      </w:pPr>
    </w:p>
    <w:p w14:paraId="063D4767" w14:textId="26C54E20" w:rsidR="00813B32" w:rsidRPr="0041262C" w:rsidRDefault="0041262C" w:rsidP="0041262C">
      <w:pPr>
        <w:rPr>
          <w:color w:val="000000" w:themeColor="text1"/>
        </w:rPr>
      </w:pPr>
      <w:r w:rsidRPr="0041262C">
        <w:rPr>
          <w:color w:val="000000" w:themeColor="text1"/>
        </w:rPr>
        <w:t>Vir: Ministrstvo za obrambo</w:t>
      </w:r>
    </w:p>
    <w:p w14:paraId="77E8E918" w14:textId="77777777" w:rsidR="00813B32" w:rsidRPr="006F2D44" w:rsidRDefault="00813B32" w:rsidP="00813B32">
      <w:pPr>
        <w:rPr>
          <w:color w:val="FF0000"/>
        </w:rPr>
      </w:pPr>
    </w:p>
    <w:p w14:paraId="6CCF3A83" w14:textId="7A3D923A" w:rsidR="00A570F9" w:rsidRPr="00A570F9" w:rsidRDefault="00A570F9" w:rsidP="00A570F9">
      <w:pPr>
        <w:pStyle w:val="Naslov2"/>
      </w:pPr>
      <w:r w:rsidRPr="00A570F9">
        <w:t xml:space="preserve">Vlada izdala Uredbo o koncesiji za gradnjo in gospodarjenje z vzporednim levim tirom železniške proge Divača−Koper </w:t>
      </w:r>
    </w:p>
    <w:p w14:paraId="0BC1B44C" w14:textId="77777777" w:rsidR="00A570F9" w:rsidRPr="00A570F9" w:rsidRDefault="00A570F9" w:rsidP="00A570F9">
      <w:pPr>
        <w:rPr>
          <w:color w:val="000000" w:themeColor="text1"/>
        </w:rPr>
      </w:pPr>
      <w:r w:rsidRPr="00A570F9">
        <w:rPr>
          <w:color w:val="000000" w:themeColor="text1"/>
        </w:rPr>
        <w:t>Vlada Republike Slovenije mora skladno s 25. členom Zakona o spremembah in dopolnitvah Zakona o izgradnji, upravljanju in gospodarjenju z drugim tirom železniške proge Divača–Koper sprejeti koncesijski akt za izgradnjo in gospodarjenje z vzporednim levim tirom v 90 dneh od uveljavitve zakona.</w:t>
      </w:r>
    </w:p>
    <w:p w14:paraId="212E7C49" w14:textId="77777777" w:rsidR="00A570F9" w:rsidRPr="00A570F9" w:rsidRDefault="00A570F9" w:rsidP="00A570F9">
      <w:pPr>
        <w:rPr>
          <w:color w:val="000000" w:themeColor="text1"/>
        </w:rPr>
      </w:pPr>
    </w:p>
    <w:p w14:paraId="5C030D66" w14:textId="0693D598" w:rsidR="00A570F9" w:rsidRPr="00A570F9" w:rsidRDefault="00A570F9" w:rsidP="00A570F9">
      <w:pPr>
        <w:rPr>
          <w:color w:val="000000" w:themeColor="text1"/>
        </w:rPr>
      </w:pPr>
      <w:r w:rsidRPr="00A570F9">
        <w:rPr>
          <w:color w:val="000000" w:themeColor="text1"/>
        </w:rPr>
        <w:t xml:space="preserve">Uredba je koncesijski akt za podelitev koncesije za vzporedni levi tir železniške proge Divača-Koper ter določa trajanje, območje in naloge koncesionarja kot investitorja. Določa način financiranja gradnje in finančni inženiring, pravice in obveznosti koncesionarja ter </w:t>
      </w:r>
      <w:proofErr w:type="spellStart"/>
      <w:r w:rsidRPr="00A570F9">
        <w:rPr>
          <w:color w:val="000000" w:themeColor="text1"/>
        </w:rPr>
        <w:t>koncedenta</w:t>
      </w:r>
      <w:proofErr w:type="spellEnd"/>
      <w:r w:rsidRPr="00A570F9">
        <w:rPr>
          <w:color w:val="000000" w:themeColor="text1"/>
        </w:rPr>
        <w:t xml:space="preserve"> med gradnjo in obratovanjem. Prav tako opredeljuje razmerja med koncesionarjem in upravljavcem tira, vire financiranja, plačilo za dosegljivost, nadzor nad izvajanjem koncesije ter pogoje za njeno prenehanje.</w:t>
      </w:r>
    </w:p>
    <w:p w14:paraId="24457BD7" w14:textId="7075D8D8" w:rsidR="00813B32" w:rsidRPr="00A570F9" w:rsidRDefault="00A570F9" w:rsidP="00A570F9">
      <w:pPr>
        <w:pStyle w:val="Vir"/>
      </w:pPr>
      <w:r w:rsidRPr="00A570F9">
        <w:t>Vir: Ministrstvo za infrastrukturo</w:t>
      </w:r>
    </w:p>
    <w:p w14:paraId="41D51348" w14:textId="6FA00E57" w:rsidR="006F4539" w:rsidRPr="006F4539" w:rsidRDefault="006F4539" w:rsidP="006F4539">
      <w:pPr>
        <w:pStyle w:val="Naslov2"/>
      </w:pPr>
      <w:r w:rsidRPr="006F4539">
        <w:t xml:space="preserve">Vlada izdala Uredbo o spremembah in dopolnitvah Uredbe o koncesiji za gradnjo in gospodarjenje z drugim tirom železniške proge Divača−Koper </w:t>
      </w:r>
    </w:p>
    <w:p w14:paraId="15621051" w14:textId="77777777" w:rsidR="006F4539" w:rsidRPr="006F4539" w:rsidRDefault="006F4539" w:rsidP="006F4539">
      <w:pPr>
        <w:rPr>
          <w:color w:val="000000" w:themeColor="text1"/>
        </w:rPr>
      </w:pPr>
      <w:r w:rsidRPr="006F4539">
        <w:rPr>
          <w:color w:val="000000" w:themeColor="text1"/>
        </w:rPr>
        <w:t>Vlada Republike Slovenije je izdala Uredbo o spremembah in dopolnitvah Uredbe o koncesiji za gradnjo in gospodarjenje z drugim tirom železniške proge Divača−Koper.</w:t>
      </w:r>
    </w:p>
    <w:p w14:paraId="6E18A420" w14:textId="77777777" w:rsidR="006F4539" w:rsidRPr="006F4539" w:rsidRDefault="006F4539" w:rsidP="006F4539">
      <w:pPr>
        <w:rPr>
          <w:color w:val="000000" w:themeColor="text1"/>
        </w:rPr>
      </w:pPr>
    </w:p>
    <w:p w14:paraId="425D6260" w14:textId="77777777" w:rsidR="006F4539" w:rsidRPr="006F4539" w:rsidRDefault="006F4539" w:rsidP="006F4539">
      <w:pPr>
        <w:rPr>
          <w:color w:val="000000" w:themeColor="text1"/>
        </w:rPr>
      </w:pPr>
      <w:r w:rsidRPr="006F4539">
        <w:rPr>
          <w:color w:val="000000" w:themeColor="text1"/>
        </w:rPr>
        <w:t xml:space="preserve">Uredba o koncesiji za gradnjo in gospodarjenje z drugim tirom železniške proge Divača−Koper  (v nadaljnjem besedilu: uredba) je koncesijski akt, na podlagi katerega je bila podeljena koncesija za desni tir železniške proge Divača-Koper, ki se trenutno gradi. Spremembe in dopolnitve uredbe usklajujejo vsebino koncesije s spremenjenimi in dopolnjenimi določbami Zakona o izgradnji, upravljanju in gospodarjenju z drugim tirom železniške proge Divača–Koper (v nadaljnjem besedilu: zakon), ki izključujejo možnost drugih družbenikov v družbi 2TDK, d. o. o, tako edini družbenik družbe 2TDK, d. o. o. ostaja Republika Slovenija. </w:t>
      </w:r>
    </w:p>
    <w:p w14:paraId="1393D55E" w14:textId="77777777" w:rsidR="006F4539" w:rsidRPr="006F4539" w:rsidRDefault="006F4539" w:rsidP="006F4539">
      <w:pPr>
        <w:rPr>
          <w:color w:val="000000" w:themeColor="text1"/>
        </w:rPr>
      </w:pPr>
    </w:p>
    <w:p w14:paraId="5F02CB86" w14:textId="4C95FC25" w:rsidR="006F4539" w:rsidRPr="006F4539" w:rsidRDefault="006F4539" w:rsidP="006F4539">
      <w:pPr>
        <w:rPr>
          <w:color w:val="000000" w:themeColor="text1"/>
        </w:rPr>
      </w:pPr>
      <w:r w:rsidRPr="006F4539">
        <w:rPr>
          <w:color w:val="000000" w:themeColor="text1"/>
        </w:rPr>
        <w:t>Ker je bil na podlagi zakona sprejet koncesijski akt, s katerim se družbi 2TDK, d. o. o. poleg obstoječe koncesije za desni tir podeljuje še koncesija za vzporedni levi tir železniške proge Divača-Koper, se zaradi povezanosti obeh koncesij dopolnjujejo tudi nekatere določbe uredbe, ki se nanašajo na trajanje in prenehanje koncesijskega razmerja.</w:t>
      </w:r>
    </w:p>
    <w:p w14:paraId="5F196C1B" w14:textId="30F6E97D" w:rsidR="006F4539" w:rsidRDefault="006F4539" w:rsidP="006F4539">
      <w:pPr>
        <w:pStyle w:val="Vir"/>
      </w:pPr>
      <w:r w:rsidRPr="006F4539">
        <w:t>Vir: Ministrstvo za infrastrukturo</w:t>
      </w:r>
    </w:p>
    <w:p w14:paraId="4B3EC786" w14:textId="3408590D" w:rsidR="00813B32" w:rsidRDefault="00813B32" w:rsidP="00813B32">
      <w:pPr>
        <w:pStyle w:val="Naslov2"/>
      </w:pPr>
      <w:r>
        <w:t>Vlada izdala novelo Uredbe o izvajanju gozdarskih intervencij iz strateškega načrta Republike Slovenije za obdobje 2023–2027</w:t>
      </w:r>
    </w:p>
    <w:p w14:paraId="48833B0E" w14:textId="6790D4ED" w:rsidR="00813B32" w:rsidRDefault="00813B32" w:rsidP="00813B32">
      <w:r>
        <w:t>Vlada je izdala novelo Uredbe o izvajanju gozdarskih intervencij iz strateškega načrta Republike Slovenije za obdobje 2023–2027. Ta posodablja pravne podlage za izvajanje gozdarskih intervencij strateškega načrta skupne kmetijske politike 2023–2027, novelira vrste registriranih dejavnosti iz standardne klasifikacije dejavnosti kot pogoj za kandidiranje pri intervenciji naložbe v primarno predelavo lesa in digitalizacijo ter spreminja Prilogo 1 te uredbe. Uredba začne veljati naslednji dan po objavi v Uradnem listu Republike Slovenije.</w:t>
      </w:r>
    </w:p>
    <w:p w14:paraId="3B5B3364" w14:textId="74AF74EB" w:rsidR="00813B32" w:rsidRDefault="00813B32" w:rsidP="00202CA6">
      <w:pPr>
        <w:pStyle w:val="Vir"/>
      </w:pPr>
      <w:r>
        <w:lastRenderedPageBreak/>
        <w:t>Vir: Ministrstvo za kmetijstvo, gozdarstvo in prehrano</w:t>
      </w:r>
    </w:p>
    <w:p w14:paraId="5D1B6646" w14:textId="77404F44" w:rsidR="00770A0F" w:rsidRPr="00770A0F" w:rsidRDefault="00770A0F" w:rsidP="00770A0F">
      <w:pPr>
        <w:pStyle w:val="Naslov2"/>
      </w:pPr>
      <w:r w:rsidRPr="00770A0F">
        <w:t xml:space="preserve">Sprememba Uredbe o obrtnih dejavnostih </w:t>
      </w:r>
    </w:p>
    <w:p w14:paraId="15631D23" w14:textId="77777777" w:rsidR="00770A0F" w:rsidRPr="00770A0F" w:rsidRDefault="00770A0F" w:rsidP="00770A0F">
      <w:r w:rsidRPr="00770A0F">
        <w:t>Vlada je na današnji seji izdala Uredbo o spremembah Uredbe o obrtnih dejavnostih in jo objavi v Uradnem listu Republike Slovenije.</w:t>
      </w:r>
    </w:p>
    <w:p w14:paraId="16619664" w14:textId="77777777" w:rsidR="00770A0F" w:rsidRPr="00770A0F" w:rsidRDefault="00770A0F" w:rsidP="00770A0F"/>
    <w:p w14:paraId="38D34987" w14:textId="77777777" w:rsidR="00770A0F" w:rsidRPr="00770A0F" w:rsidRDefault="00770A0F" w:rsidP="00770A0F">
      <w:r w:rsidRPr="00770A0F">
        <w:t xml:space="preserve">Sprememba uredbe povzema veljavno ureditev, in sicer se še naprej določajo tiste obrtne dejavnosti, za opravljanje katerih sta potrebna ustrezna poklicna usposobljenost in pridobitev obrtnega dovoljenja. Pri tem se upošteva tveganje glede varovanja življenja, zdravja in premoženja ljudi ali glede zagotavljanja varstva okolja. Predlog uredbe ne določa več obrtnih dejavnosti, opravljanje katerih lahko pomeni resno tveganje za javno zdravje in varnost. Evropska komisija je namreč Vlado Republike Slovenije opozorila, da glede na sodno prakso pri opravljanju teh dejavnosti ni vpliva na javno zdravje ali varnost in torej ne obstaja tveganje, da bi zaradi opravljanja teh poklicev prejemniki storitev utrpeli škodo. Po mnenju Evropske komisije predhodno preverjanje krši Direktivo 2005/36/ES o priznavanju poklicnih kvalifikacij. </w:t>
      </w:r>
    </w:p>
    <w:p w14:paraId="1CB899A9" w14:textId="77777777" w:rsidR="00770A0F" w:rsidRPr="00770A0F" w:rsidRDefault="00770A0F" w:rsidP="00770A0F"/>
    <w:p w14:paraId="70EBA529" w14:textId="77777777" w:rsidR="00770A0F" w:rsidRPr="00770A0F" w:rsidRDefault="00770A0F" w:rsidP="00770A0F">
      <w:r w:rsidRPr="00770A0F">
        <w:t xml:space="preserve">Dejavnosti, ki se lahko opravljajo kot obrtne dejavnosti, so v Uredbi o obrtnih dejavnostih določene v skladu s standardno klasifikacijo dejavnosti (SKD) na ravni podrazredov iz Uredbe o standardni klasifikaciji dejavnosti.  </w:t>
      </w:r>
    </w:p>
    <w:p w14:paraId="1B2BFBA6" w14:textId="77777777" w:rsidR="00770A0F" w:rsidRPr="00770A0F" w:rsidRDefault="00770A0F" w:rsidP="00770A0F"/>
    <w:p w14:paraId="0161DC8F" w14:textId="77777777" w:rsidR="00770A0F" w:rsidRPr="00770A0F" w:rsidRDefault="00770A0F" w:rsidP="00770A0F">
      <w:r w:rsidRPr="00770A0F">
        <w:t>S 1. januarjem 2025 se je začela uporabljati nova Uredba o SKD, zato se v predlogu uredbe obstoječe dejavnosti določijo skladno s šiframi in nazivi postavk nove Uredbe o SKD, pri čemer se za natančnejšo opredelitev, kaj spada v posamezno obrtno dejavnost, uporabljajo nova Pojasnila k Standardni klasifikaciji dejavnosti.</w:t>
      </w:r>
    </w:p>
    <w:p w14:paraId="225717D8" w14:textId="77777777" w:rsidR="00770A0F" w:rsidRPr="00770A0F" w:rsidRDefault="00770A0F" w:rsidP="00770A0F"/>
    <w:p w14:paraId="16A61AC3" w14:textId="69563731" w:rsidR="00770A0F" w:rsidRPr="00770A0F" w:rsidRDefault="00770A0F" w:rsidP="00770A0F">
      <w:r w:rsidRPr="00770A0F">
        <w:t xml:space="preserve">Predlog uredbe torej ne določa novih obrtnih dejavnosti, temveč le usklajuje obstoječe dejavnosti s šiframi in nazivi postavk, kot jih določa nova Uredba o SKD in nekatere od njih natančneje opredeljuje. </w:t>
      </w:r>
    </w:p>
    <w:p w14:paraId="6ADE2979" w14:textId="2B9051F5" w:rsidR="00813B32" w:rsidRPr="00770A0F" w:rsidRDefault="00770A0F" w:rsidP="00770A0F">
      <w:pPr>
        <w:pStyle w:val="Vir"/>
      </w:pPr>
      <w:r w:rsidRPr="00770A0F">
        <w:t>Vir: Ministrstvo za gospodarstvo, turizem in šport</w:t>
      </w:r>
    </w:p>
    <w:p w14:paraId="6BEA2963" w14:textId="7C88F25C" w:rsidR="00931DC8" w:rsidRPr="00931DC8" w:rsidRDefault="00931DC8" w:rsidP="00931DC8">
      <w:pPr>
        <w:pStyle w:val="Naslov2"/>
      </w:pPr>
      <w:r w:rsidRPr="00931DC8">
        <w:t>Vlada določila višino sredstev iz prispevka za delovanje Centra za podpore za leto 2025</w:t>
      </w:r>
    </w:p>
    <w:p w14:paraId="478C185F" w14:textId="77777777" w:rsidR="00931DC8" w:rsidRPr="00931DC8" w:rsidRDefault="00931DC8" w:rsidP="00931DC8">
      <w:pPr>
        <w:rPr>
          <w:color w:val="000000" w:themeColor="text1"/>
        </w:rPr>
      </w:pPr>
      <w:r w:rsidRPr="00931DC8">
        <w:rPr>
          <w:color w:val="000000" w:themeColor="text1"/>
        </w:rPr>
        <w:t>Vlada je sprejela sklep, s katerim je določila višino sredstev iz prispevka za zagotavljanje podpor proizvodnji električne energije v soproizvodnji z visokim izkoristkom in iz obnovljivih virov energije za izvajanje gospodarske javne službe dejavnosti Centra za podpore v višini 4.250.000 evra za leto 2025, od tega:</w:t>
      </w:r>
    </w:p>
    <w:p w14:paraId="648FCFC6" w14:textId="0C3678B6" w:rsidR="00931DC8" w:rsidRPr="00931DC8" w:rsidRDefault="00931DC8" w:rsidP="00931DC8">
      <w:pPr>
        <w:rPr>
          <w:color w:val="000000" w:themeColor="text1"/>
        </w:rPr>
      </w:pPr>
      <w:r w:rsidRPr="00931DC8">
        <w:rPr>
          <w:color w:val="000000" w:themeColor="text1"/>
        </w:rPr>
        <w:t>•</w:t>
      </w:r>
      <w:r>
        <w:rPr>
          <w:color w:val="000000" w:themeColor="text1"/>
        </w:rPr>
        <w:t xml:space="preserve"> </w:t>
      </w:r>
      <w:r w:rsidRPr="00931DC8">
        <w:rPr>
          <w:color w:val="000000" w:themeColor="text1"/>
        </w:rPr>
        <w:t>2.900.000 evra za delovanje Centra za podpore,</w:t>
      </w:r>
    </w:p>
    <w:p w14:paraId="7C22C1E8" w14:textId="3D6880FA" w:rsidR="00931DC8" w:rsidRPr="00931DC8" w:rsidRDefault="00931DC8" w:rsidP="00931DC8">
      <w:pPr>
        <w:rPr>
          <w:color w:val="000000" w:themeColor="text1"/>
        </w:rPr>
      </w:pPr>
      <w:r w:rsidRPr="00931DC8">
        <w:rPr>
          <w:color w:val="000000" w:themeColor="text1"/>
        </w:rPr>
        <w:t>•</w:t>
      </w:r>
      <w:r>
        <w:rPr>
          <w:color w:val="000000" w:themeColor="text1"/>
        </w:rPr>
        <w:t xml:space="preserve"> </w:t>
      </w:r>
      <w:r w:rsidRPr="00931DC8">
        <w:rPr>
          <w:color w:val="000000" w:themeColor="text1"/>
        </w:rPr>
        <w:t>1.350.000 evra za izvajanje nalog kontaktne točke.</w:t>
      </w:r>
    </w:p>
    <w:p w14:paraId="5C75DF76" w14:textId="77777777" w:rsidR="00931DC8" w:rsidRPr="00931DC8" w:rsidRDefault="00931DC8" w:rsidP="00931DC8">
      <w:pPr>
        <w:rPr>
          <w:color w:val="000000" w:themeColor="text1"/>
        </w:rPr>
      </w:pPr>
      <w:r w:rsidRPr="00931DC8">
        <w:rPr>
          <w:color w:val="000000" w:themeColor="text1"/>
        </w:rPr>
        <w:t>S tem sklepom je prenehal veljati prejšnji sklep št. 36000-4/2024/3 z dne 17. 7. 2024.</w:t>
      </w:r>
    </w:p>
    <w:p w14:paraId="310A8736" w14:textId="77777777" w:rsidR="00931DC8" w:rsidRPr="00931DC8" w:rsidRDefault="00931DC8" w:rsidP="00931DC8">
      <w:pPr>
        <w:rPr>
          <w:color w:val="000000" w:themeColor="text1"/>
        </w:rPr>
      </w:pPr>
      <w:r w:rsidRPr="00931DC8">
        <w:rPr>
          <w:color w:val="000000" w:themeColor="text1"/>
        </w:rPr>
        <w:t>Povečanje sredstev za Center za podpore v primerjavi z letom 2024 (ko je znašalo 2.260.000 evrov) je posledica širjenja aktivnosti, digitalizacije postopkov, večjega števila zaposlenih, razvoja spletnih aplikacij in nadgradnje informacijskih sistemov. Center, ki deluje v okviru družbe Borzen, d. o. o., izvaja obvezno državno gospodarsko javno službo, ki vključuje upravljanje podpornih mehanizmov za proizvodnjo električne energije iz obnovljivih virov, upravljanje registra potrdil o izvoru in izvajanje javnih pozivov za dodeljevanje nepovratnih sredstev.</w:t>
      </w:r>
    </w:p>
    <w:p w14:paraId="7BF1F82F" w14:textId="77777777" w:rsidR="00931DC8" w:rsidRPr="00931DC8" w:rsidRDefault="00931DC8" w:rsidP="00931DC8">
      <w:pPr>
        <w:rPr>
          <w:color w:val="000000" w:themeColor="text1"/>
        </w:rPr>
      </w:pPr>
      <w:r w:rsidRPr="00931DC8">
        <w:rPr>
          <w:color w:val="000000" w:themeColor="text1"/>
        </w:rPr>
        <w:t>Poleg osnovnih nalog Center za podpore od leta 2022 izvaja tudi naloge kontaktne točke za spodbujanje rabe obnovljivih virov energije, ki vlagateljem nudi podporo in informacije v zvezi z načrtovanjem, umeščanjem in izvedbo projektov OVE. Povečanje sredstev za kontaktno točko je povezano z razširitvijo svetovalne mreže, razvojem novega informacijskega portala, večjimi promocijskimi aktivnostmi ter novimi zaposlitvami.</w:t>
      </w:r>
    </w:p>
    <w:p w14:paraId="64D3920B" w14:textId="5C269625" w:rsidR="00931DC8" w:rsidRPr="00931DC8" w:rsidRDefault="00931DC8" w:rsidP="00931DC8">
      <w:pPr>
        <w:rPr>
          <w:color w:val="000000" w:themeColor="text1"/>
        </w:rPr>
      </w:pPr>
      <w:r w:rsidRPr="00931DC8">
        <w:rPr>
          <w:color w:val="000000" w:themeColor="text1"/>
        </w:rPr>
        <w:lastRenderedPageBreak/>
        <w:t>Sprejeti ukrepi bodo prispevali k učinkovitejšemu delovanju podpornih mehanizmov in nadaljnji krepitvi vlaganj v obnovljive vire energije v Sloveniji.</w:t>
      </w:r>
    </w:p>
    <w:p w14:paraId="02D603DC" w14:textId="4F5AEEBE" w:rsidR="00931DC8" w:rsidRPr="00931DC8" w:rsidRDefault="00931DC8" w:rsidP="00931DC8">
      <w:pPr>
        <w:pStyle w:val="Vir"/>
      </w:pPr>
      <w:r w:rsidRPr="00931DC8">
        <w:t>Vir: Ministrstvo za okolje, podnebje in energijo</w:t>
      </w:r>
    </w:p>
    <w:p w14:paraId="3B142F33" w14:textId="24DE8E0B" w:rsidR="009A64FE" w:rsidRPr="009A64FE" w:rsidRDefault="009A64FE" w:rsidP="009A64FE">
      <w:pPr>
        <w:pStyle w:val="Naslov2"/>
      </w:pPr>
      <w:r w:rsidRPr="009A64FE">
        <w:t>Vlada sprejela dopolnitev Programa odprave posledic neposredne škode na stvareh zaradi poplav 4. avgusta 2023 na področju državne cestne in železniške infrastrukture</w:t>
      </w:r>
    </w:p>
    <w:p w14:paraId="53123FC1" w14:textId="77777777" w:rsidR="009A64FE" w:rsidRPr="009A64FE" w:rsidRDefault="009A64FE" w:rsidP="009A64FE">
      <w:pPr>
        <w:rPr>
          <w:color w:val="000000" w:themeColor="text1"/>
        </w:rPr>
      </w:pPr>
      <w:r w:rsidRPr="009A64FE">
        <w:rPr>
          <w:color w:val="000000" w:themeColor="text1"/>
        </w:rPr>
        <w:t>Vlada Republike Slovenije je dne 23. 5. 2024 sprejela t. i. Program odprave posledic neposredne škode na stvareh zaradi poplav 4. avgusta 2023 na področju državne cestne in železniške infrastrukture (v nadaljnjem besedilu: Program).</w:t>
      </w:r>
    </w:p>
    <w:p w14:paraId="7E24C1FA" w14:textId="77777777" w:rsidR="009A64FE" w:rsidRPr="009A64FE" w:rsidRDefault="009A64FE" w:rsidP="009A64FE">
      <w:pPr>
        <w:rPr>
          <w:color w:val="000000" w:themeColor="text1"/>
        </w:rPr>
      </w:pPr>
    </w:p>
    <w:p w14:paraId="63327F1E" w14:textId="77777777" w:rsidR="009A64FE" w:rsidRPr="009A64FE" w:rsidRDefault="009A64FE" w:rsidP="009A64FE">
      <w:pPr>
        <w:rPr>
          <w:color w:val="000000" w:themeColor="text1"/>
        </w:rPr>
      </w:pPr>
      <w:r w:rsidRPr="009A64FE">
        <w:rPr>
          <w:color w:val="000000" w:themeColor="text1"/>
        </w:rPr>
        <w:t xml:space="preserve">V dobrem letu po ujmi so se glede na sprejeti Program pokazale dodatne potrebe po sanaciji cestne infrastrukture, npr. zaradi </w:t>
      </w:r>
      <w:proofErr w:type="spellStart"/>
      <w:r w:rsidRPr="009A64FE">
        <w:rPr>
          <w:color w:val="000000" w:themeColor="text1"/>
        </w:rPr>
        <w:t>splazitev</w:t>
      </w:r>
      <w:proofErr w:type="spellEnd"/>
      <w:r w:rsidRPr="009A64FE">
        <w:rPr>
          <w:color w:val="000000" w:themeColor="text1"/>
        </w:rPr>
        <w:t xml:space="preserve"> večjih območji kot je bilo prvotno evidentirano in posledično poškodovanja vozišč ter potrebe po rekonstrukciji cest tudi zaradi navezave na v ujmi poškodovano lokalno cestno infrastrukturo ali objekte na državnem cestnem omrežju. Prav tako se dodatno v Program vključujejo odseki cest v območju nekaterih vodotokov, ki bi v prihodnje tudi lahko povzročali težave in škodo na cestnem omrežju.</w:t>
      </w:r>
    </w:p>
    <w:p w14:paraId="23437FEF" w14:textId="77777777" w:rsidR="009A64FE" w:rsidRPr="009A64FE" w:rsidRDefault="009A64FE" w:rsidP="009A64FE">
      <w:pPr>
        <w:rPr>
          <w:color w:val="000000" w:themeColor="text1"/>
        </w:rPr>
      </w:pPr>
    </w:p>
    <w:p w14:paraId="6F8FCC16" w14:textId="77777777" w:rsidR="009A64FE" w:rsidRPr="009A64FE" w:rsidRDefault="009A64FE" w:rsidP="009A64FE">
      <w:pPr>
        <w:rPr>
          <w:color w:val="000000" w:themeColor="text1"/>
        </w:rPr>
      </w:pPr>
      <w:r w:rsidRPr="009A64FE">
        <w:rPr>
          <w:color w:val="000000" w:themeColor="text1"/>
        </w:rPr>
        <w:t>Skladno z navedenim in s sprejetim proračunom za leti 2025 in 2026 se Program dopolni z 11 projekti na področju cestne infrastrukture (v občinah Dobrova-Polhov Gradec, Velenje, Vitanje, Braslovče, Solčava, Mislinja, Ravne, Slovenj Gradec in Dravograd).</w:t>
      </w:r>
    </w:p>
    <w:p w14:paraId="7A956724" w14:textId="77777777" w:rsidR="009A64FE" w:rsidRPr="009A64FE" w:rsidRDefault="009A64FE" w:rsidP="009A64FE">
      <w:pPr>
        <w:rPr>
          <w:color w:val="000000" w:themeColor="text1"/>
        </w:rPr>
      </w:pPr>
    </w:p>
    <w:p w14:paraId="50A2D9B9" w14:textId="77777777" w:rsidR="009A64FE" w:rsidRPr="009A64FE" w:rsidRDefault="009A64FE" w:rsidP="009A64FE">
      <w:pPr>
        <w:rPr>
          <w:color w:val="000000" w:themeColor="text1"/>
        </w:rPr>
      </w:pPr>
      <w:r w:rsidRPr="009A64FE">
        <w:rPr>
          <w:color w:val="000000" w:themeColor="text1"/>
        </w:rPr>
        <w:t xml:space="preserve">Ob upoštevanju aktualnih razmer pa je bila potrebna tudi prilagoditev načrtovanih aktivnosti in finančnih sredstev na področju železniške infrastrukture.  Naknadno je bilo npr. ugotovljeno, da se na več območjih železniške infrastrukture izkazujejo </w:t>
      </w:r>
      <w:proofErr w:type="spellStart"/>
      <w:r w:rsidRPr="009A64FE">
        <w:rPr>
          <w:color w:val="000000" w:themeColor="text1"/>
        </w:rPr>
        <w:t>popoplavne</w:t>
      </w:r>
      <w:proofErr w:type="spellEnd"/>
      <w:r w:rsidRPr="009A64FE">
        <w:rPr>
          <w:color w:val="000000" w:themeColor="text1"/>
        </w:rPr>
        <w:t xml:space="preserve"> poškodbe, kar narekuje izdelavo študij, ki bodo podale vsebino, stanje in smernice za sanacijo </w:t>
      </w:r>
      <w:proofErr w:type="spellStart"/>
      <w:r w:rsidRPr="009A64FE">
        <w:rPr>
          <w:color w:val="000000" w:themeColor="text1"/>
        </w:rPr>
        <w:t>popoplavnih</w:t>
      </w:r>
      <w:proofErr w:type="spellEnd"/>
      <w:r w:rsidRPr="009A64FE">
        <w:rPr>
          <w:color w:val="000000" w:themeColor="text1"/>
        </w:rPr>
        <w:t xml:space="preserve"> poškodb.</w:t>
      </w:r>
    </w:p>
    <w:p w14:paraId="12875B9C" w14:textId="77777777" w:rsidR="009A64FE" w:rsidRPr="009A64FE" w:rsidRDefault="009A64FE" w:rsidP="009A64FE">
      <w:pPr>
        <w:rPr>
          <w:color w:val="000000" w:themeColor="text1"/>
        </w:rPr>
      </w:pPr>
    </w:p>
    <w:p w14:paraId="6DD23B7F" w14:textId="77777777" w:rsidR="009A64FE" w:rsidRPr="009A64FE" w:rsidRDefault="009A64FE" w:rsidP="009A64FE">
      <w:pPr>
        <w:rPr>
          <w:color w:val="000000" w:themeColor="text1"/>
        </w:rPr>
      </w:pPr>
      <w:r w:rsidRPr="009A64FE">
        <w:rPr>
          <w:color w:val="000000" w:themeColor="text1"/>
        </w:rPr>
        <w:t>Za vzpostavitev varne prevoznosti se v dopolnitvi Programa št. 1 spreminja ocenjena vrednost del, in sicer znaša 204,3 mio EUR, in vključuje naslednje projekte:</w:t>
      </w:r>
    </w:p>
    <w:p w14:paraId="35417072" w14:textId="46BA96FE" w:rsidR="009A64FE" w:rsidRPr="009A64FE" w:rsidRDefault="009A64FE" w:rsidP="009A64FE">
      <w:pPr>
        <w:rPr>
          <w:color w:val="000000" w:themeColor="text1"/>
        </w:rPr>
      </w:pPr>
      <w:r w:rsidRPr="009A64FE">
        <w:rPr>
          <w:color w:val="000000" w:themeColor="text1"/>
        </w:rPr>
        <w:t>•</w:t>
      </w:r>
      <w:r>
        <w:rPr>
          <w:color w:val="000000" w:themeColor="text1"/>
        </w:rPr>
        <w:t xml:space="preserve"> </w:t>
      </w:r>
      <w:r w:rsidRPr="009A64FE">
        <w:rPr>
          <w:color w:val="000000" w:themeColor="text1"/>
        </w:rPr>
        <w:t>2431-24-0018 Nadgradnja žel. proge Jesenice-Bohinjska Bistrica</w:t>
      </w:r>
    </w:p>
    <w:p w14:paraId="2A83A240" w14:textId="40615CFF" w:rsidR="009A64FE" w:rsidRPr="009A64FE" w:rsidRDefault="009A64FE" w:rsidP="009A64FE">
      <w:pPr>
        <w:rPr>
          <w:color w:val="000000" w:themeColor="text1"/>
        </w:rPr>
      </w:pPr>
      <w:r w:rsidRPr="009A64FE">
        <w:rPr>
          <w:color w:val="000000" w:themeColor="text1"/>
        </w:rPr>
        <w:t>•</w:t>
      </w:r>
      <w:r>
        <w:rPr>
          <w:color w:val="000000" w:themeColor="text1"/>
        </w:rPr>
        <w:t xml:space="preserve"> </w:t>
      </w:r>
      <w:r w:rsidRPr="009A64FE">
        <w:rPr>
          <w:color w:val="000000" w:themeColor="text1"/>
        </w:rPr>
        <w:t>2431-25-0028 Nadgradnja proge št. 34 na odseku Prevalje-</w:t>
      </w:r>
      <w:proofErr w:type="spellStart"/>
      <w:r w:rsidRPr="009A64FE">
        <w:rPr>
          <w:color w:val="000000" w:themeColor="text1"/>
        </w:rPr>
        <w:t>d.m</w:t>
      </w:r>
      <w:proofErr w:type="spellEnd"/>
      <w:r w:rsidRPr="009A64FE">
        <w:rPr>
          <w:color w:val="000000" w:themeColor="text1"/>
        </w:rPr>
        <w:t>.</w:t>
      </w:r>
    </w:p>
    <w:p w14:paraId="353F1F89" w14:textId="24910D2A" w:rsidR="009A64FE" w:rsidRPr="009A64FE" w:rsidRDefault="009A64FE" w:rsidP="009A64FE">
      <w:pPr>
        <w:rPr>
          <w:color w:val="000000" w:themeColor="text1"/>
        </w:rPr>
      </w:pPr>
      <w:r w:rsidRPr="009A64FE">
        <w:rPr>
          <w:color w:val="000000" w:themeColor="text1"/>
        </w:rPr>
        <w:t>•</w:t>
      </w:r>
      <w:r>
        <w:rPr>
          <w:color w:val="000000" w:themeColor="text1"/>
        </w:rPr>
        <w:t xml:space="preserve"> </w:t>
      </w:r>
      <w:r w:rsidRPr="009A64FE">
        <w:rPr>
          <w:color w:val="000000" w:themeColor="text1"/>
        </w:rPr>
        <w:t>2431-20-0025 Nadgradnja proge Ljubljana-Jesenice-</w:t>
      </w:r>
      <w:proofErr w:type="spellStart"/>
      <w:r w:rsidRPr="009A64FE">
        <w:rPr>
          <w:color w:val="000000" w:themeColor="text1"/>
        </w:rPr>
        <w:t>d.m</w:t>
      </w:r>
      <w:proofErr w:type="spellEnd"/>
      <w:r w:rsidRPr="009A64FE">
        <w:rPr>
          <w:color w:val="000000" w:themeColor="text1"/>
        </w:rPr>
        <w:t>. - 2. faza (pilotna stena na progi Ljubljana Jesenice).</w:t>
      </w:r>
    </w:p>
    <w:p w14:paraId="47213A9F" w14:textId="2B27B684" w:rsidR="00813B32" w:rsidRPr="009A64FE" w:rsidRDefault="009A64FE" w:rsidP="009A64FE">
      <w:pPr>
        <w:pStyle w:val="Vir"/>
      </w:pPr>
      <w:r w:rsidRPr="009A64FE">
        <w:t>Vir: Ministrstvo za infrastrukturo</w:t>
      </w:r>
    </w:p>
    <w:p w14:paraId="7D3A810F" w14:textId="6A2163CE" w:rsidR="001C6733" w:rsidRPr="001C6733" w:rsidRDefault="001C6733" w:rsidP="001C6733">
      <w:pPr>
        <w:pStyle w:val="Naslov2"/>
      </w:pPr>
      <w:r w:rsidRPr="001C6733">
        <w:t>Za odpravo posledic škode v kmetijstvu zaradi pozebe med 17. in 22. aprilom 2024 vlada namenja 3,5 milijona evrov</w:t>
      </w:r>
    </w:p>
    <w:p w14:paraId="48761276" w14:textId="77777777" w:rsidR="001C6733" w:rsidRPr="001C6733" w:rsidRDefault="001C6733" w:rsidP="001C6733">
      <w:pPr>
        <w:rPr>
          <w:color w:val="000000" w:themeColor="text1"/>
        </w:rPr>
      </w:pPr>
      <w:r w:rsidRPr="001C6733">
        <w:rPr>
          <w:color w:val="000000" w:themeColor="text1"/>
        </w:rPr>
        <w:t>Vlada je sprejela Program odprave posledic škode v kmetijstvu zaradi pozebe med 17. in 22. aprilom 2024. Za izvedbo programa bodo v letu 2025 zagotovljena sredstva v višini 3,5 milijona evrov iz sredstev proračunske rezerve.</w:t>
      </w:r>
    </w:p>
    <w:p w14:paraId="74AF1600" w14:textId="77777777" w:rsidR="001C6733" w:rsidRPr="001C6733" w:rsidRDefault="001C6733" w:rsidP="001C6733">
      <w:pPr>
        <w:rPr>
          <w:color w:val="000000" w:themeColor="text1"/>
        </w:rPr>
      </w:pPr>
    </w:p>
    <w:p w14:paraId="7BEBF5BB" w14:textId="77777777" w:rsidR="001C6733" w:rsidRPr="001C6733" w:rsidRDefault="001C6733" w:rsidP="001C6733">
      <w:pPr>
        <w:rPr>
          <w:color w:val="000000" w:themeColor="text1"/>
        </w:rPr>
      </w:pPr>
      <w:r w:rsidRPr="001C6733">
        <w:rPr>
          <w:color w:val="000000" w:themeColor="text1"/>
        </w:rPr>
        <w:t xml:space="preserve">V letu 2024 je trajne nasade prizadela pozeba, katere posledice so bile za kmetijsko proizvodnjo tako obsežne, da so bile v skladu z zakonom, ki ureja odpravo posledic naravnih nesreč, razglašene za naravno nesrečo. Ocena neposredne škode na trajnih nasadih zaradi posledic pozebe med 17. in 22. aprilom 2024, ki jo je vlada potrdila 20. februarja 2025, znaša 32.681.399,06 evra. Od tega ocena škoda za kmetijske pridelke, katerih kmetijska proizvodnja je bila zaradi pozebe zmanjšana za 80 odstotkov ali več, znaša 13.800.478,96 evra. </w:t>
      </w:r>
    </w:p>
    <w:p w14:paraId="263F1154" w14:textId="77777777" w:rsidR="001C6733" w:rsidRPr="001C6733" w:rsidRDefault="001C6733" w:rsidP="001C6733">
      <w:pPr>
        <w:rPr>
          <w:color w:val="000000" w:themeColor="text1"/>
        </w:rPr>
      </w:pPr>
    </w:p>
    <w:p w14:paraId="5C8889DF" w14:textId="77777777" w:rsidR="001C6733" w:rsidRPr="001C6733" w:rsidRDefault="001C6733" w:rsidP="001C6733">
      <w:pPr>
        <w:rPr>
          <w:color w:val="000000" w:themeColor="text1"/>
        </w:rPr>
      </w:pPr>
      <w:r w:rsidRPr="001C6733">
        <w:rPr>
          <w:color w:val="000000" w:themeColor="text1"/>
        </w:rPr>
        <w:t xml:space="preserve">Pomoč po Programu odprave posledic škode v kmetijstvu zaradi pozebe med 17. in 22. aprilom 2024 se bo dodelila za tiste kmetijske pridelke, za katere iz ocene škode sledi, da je njihova kmetijska </w:t>
      </w:r>
      <w:r w:rsidRPr="001C6733">
        <w:rPr>
          <w:color w:val="000000" w:themeColor="text1"/>
        </w:rPr>
        <w:lastRenderedPageBreak/>
        <w:t xml:space="preserve">proizvodnja manjša od običajne letne kmetijske proizvodnje za 80 odstotkov ali več.  Upravičenci do pomoči po programu so pravne in fizične osebe, ki na ozemlju RS obdelujejo kmetijska zemljišča oziroma proizvajajo kmetijske pridelke in so bile v času nastanka naravne nesreče kot nosilci kmetijskega gospodarstva vpisane v register kmetijskih gospodarstev. V primeru, da je imel upravičenec svojo kmetijsko proizvodnjo zavarovano za pozebo, se mu za posamezni kmetijski pridelek dodelijo sredstva v višini do največ 30 odstotkov ocene neposredne škode (nezavarovanim 15 odstotkov) ali 40 odstotkov ocene neposredne škode za območja z omejenimi možnostmi za kmetijsko dejavnost (nezavarovanim 20 odstotkov). </w:t>
      </w:r>
    </w:p>
    <w:p w14:paraId="7D1E1F5A" w14:textId="77777777" w:rsidR="001C6733" w:rsidRPr="001C6733" w:rsidRDefault="001C6733" w:rsidP="001C6733">
      <w:pPr>
        <w:rPr>
          <w:color w:val="000000" w:themeColor="text1"/>
        </w:rPr>
      </w:pPr>
    </w:p>
    <w:p w14:paraId="48B486EC" w14:textId="0003E2A1" w:rsidR="001C6733" w:rsidRPr="001C6733" w:rsidRDefault="001C6733" w:rsidP="001C6733">
      <w:pPr>
        <w:rPr>
          <w:color w:val="000000" w:themeColor="text1"/>
        </w:rPr>
      </w:pPr>
      <w:r w:rsidRPr="001C6733">
        <w:rPr>
          <w:color w:val="000000" w:themeColor="text1"/>
        </w:rPr>
        <w:t xml:space="preserve">Upravičen strošek je izpad dohodka zaradi popolnega ali delnega uničenja primarne kmetijske proizvodnje. Najvišja skupna dovoljena pomoč zaradi pozebe ne sme znašati več kot 80 odstotkov oziroma 90 odstotkov na območjih z omejenimi dejavniki. </w:t>
      </w:r>
    </w:p>
    <w:p w14:paraId="24E9623C" w14:textId="0A255A01" w:rsidR="001C6733" w:rsidRPr="00202CA6" w:rsidRDefault="001C6733" w:rsidP="00202CA6">
      <w:pPr>
        <w:pStyle w:val="Vir"/>
      </w:pPr>
      <w:r w:rsidRPr="001C6733">
        <w:t>Vir: Ministrstvo za kmetijstvo, gozdarstvo in prehrano</w:t>
      </w:r>
    </w:p>
    <w:p w14:paraId="1671E3BF" w14:textId="6273638A" w:rsidR="00AF08EE" w:rsidRPr="00AF08EE" w:rsidRDefault="00AF08EE" w:rsidP="00AF08EE">
      <w:pPr>
        <w:pStyle w:val="Naslov2"/>
      </w:pPr>
      <w:r w:rsidRPr="00AF08EE">
        <w:t>Vlada se je seznanila z  Načrtom za izvajanje priporočil glede izboljšanja mladoletniškega kazenskopravnega sistema pri nas</w:t>
      </w:r>
    </w:p>
    <w:p w14:paraId="2D7E6807" w14:textId="77777777" w:rsidR="00AF08EE" w:rsidRPr="00AF08EE" w:rsidRDefault="00AF08EE" w:rsidP="00AF08EE">
      <w:pPr>
        <w:rPr>
          <w:color w:val="000000" w:themeColor="text1"/>
        </w:rPr>
      </w:pPr>
      <w:r w:rsidRPr="00AF08EE">
        <w:rPr>
          <w:color w:val="000000" w:themeColor="text1"/>
        </w:rPr>
        <w:t>Vlada se je na današnji seji seznanila z »Načrtom za izvajanje priporočil«, ki izhajajo iz projekta Sveta Evrope in Evropske komisije »Izboljšanje mladoletniškega kazenskopravnega sistema in okrepitev izobraževanja ter usposabljanja zaporskega osebja v Sloveniji«.</w:t>
      </w:r>
    </w:p>
    <w:p w14:paraId="65699175" w14:textId="77777777" w:rsidR="00AF08EE" w:rsidRPr="00AF08EE" w:rsidRDefault="00AF08EE" w:rsidP="00AF08EE">
      <w:pPr>
        <w:rPr>
          <w:color w:val="000000" w:themeColor="text1"/>
        </w:rPr>
      </w:pPr>
    </w:p>
    <w:p w14:paraId="1DFE2932" w14:textId="77777777" w:rsidR="00AF08EE" w:rsidRPr="00AF08EE" w:rsidRDefault="00AF08EE" w:rsidP="00AF08EE">
      <w:pPr>
        <w:rPr>
          <w:color w:val="000000" w:themeColor="text1"/>
        </w:rPr>
      </w:pPr>
      <w:r w:rsidRPr="00AF08EE">
        <w:rPr>
          <w:color w:val="000000" w:themeColor="text1"/>
        </w:rPr>
        <w:t xml:space="preserve">Od septembra 2021 do konca leta 2023 je potekal skupen projekt Evropske komisije in Sveta Evrope z naslovom »Izboljšanje mladoletniškega kazenskopravnega sistema ter krepitev izobraževanja in usposabljanja zaporskega osebja v Sloveniji«, v okviru katerega je bila opravljena analiza stanja na področju obravnave mladoletnikov. </w:t>
      </w:r>
    </w:p>
    <w:p w14:paraId="3A7F2806" w14:textId="77777777" w:rsidR="00AF08EE" w:rsidRPr="00AF08EE" w:rsidRDefault="00AF08EE" w:rsidP="00AF08EE">
      <w:pPr>
        <w:rPr>
          <w:color w:val="000000" w:themeColor="text1"/>
        </w:rPr>
      </w:pPr>
    </w:p>
    <w:p w14:paraId="1F805E47" w14:textId="3E3BC13F" w:rsidR="00AF08EE" w:rsidRPr="00AF08EE" w:rsidRDefault="00AF08EE" w:rsidP="00AF08EE">
      <w:pPr>
        <w:rPr>
          <w:color w:val="000000" w:themeColor="text1"/>
        </w:rPr>
      </w:pPr>
      <w:r w:rsidRPr="00AF08EE">
        <w:rPr>
          <w:color w:val="000000" w:themeColor="text1"/>
        </w:rPr>
        <w:t>Strokovnjaki Sveta Evrope so v svojih obsežnih analizah podali priporočila, v okviru projekta pa je bila ustanovljena tudi delovna skupina, v katero so bili vključeni deležniki, ki sodelujejo pri obravnavi mladoletnikov. Delovna skupina je obravnavala prejeta poročila in jih izbrala 18, prav tako pa so strokovnjaki Sveta Evrope v sodelovanju z Ministrstvom za pravosodje in drugimi deležniki pripravili Načrt za izvajanje priporočil, ki je bil potrjen na zaključni konferenci projekta. Priporočila se nanašajo na delovna področja več ministrstev, pri implementaciji priporočil pa je ključno medresorsko sodelovanje, zato se z Načrtom seznani Vlada Republike Slovenije.</w:t>
      </w:r>
    </w:p>
    <w:p w14:paraId="24888836" w14:textId="15716A47" w:rsidR="00813B32" w:rsidRPr="00AF08EE" w:rsidRDefault="00AF08EE" w:rsidP="00AF08EE">
      <w:pPr>
        <w:pStyle w:val="Vir"/>
      </w:pPr>
      <w:r w:rsidRPr="00AF08EE">
        <w:t>Vir: Ministrstvo za pravosodje</w:t>
      </w:r>
    </w:p>
    <w:p w14:paraId="38323D83" w14:textId="1DF137D4" w:rsidR="00F03D64" w:rsidRPr="00F03D64" w:rsidRDefault="00F03D64" w:rsidP="00F03D64">
      <w:pPr>
        <w:pStyle w:val="Naslov2"/>
      </w:pPr>
      <w:r w:rsidRPr="00F03D64">
        <w:t>Vlada izdala soglasje za pripravo občinskega prostorskega izvedbenega akta v območju Državnega lokacijskega načrta za hitro cesto Koper – Izola</w:t>
      </w:r>
    </w:p>
    <w:p w14:paraId="02DA73CD" w14:textId="656B74E9" w:rsidR="00F03D64" w:rsidRPr="00F03D64" w:rsidRDefault="00F03D64" w:rsidP="00F03D64">
      <w:pPr>
        <w:rPr>
          <w:color w:val="000000" w:themeColor="text1"/>
        </w:rPr>
      </w:pPr>
      <w:r w:rsidRPr="00F03D64">
        <w:rPr>
          <w:color w:val="000000" w:themeColor="text1"/>
        </w:rPr>
        <w:t xml:space="preserve">Vlada je na podlagi tretjega odstavka 89. člena Zakona o urejanju </w:t>
      </w:r>
      <w:r w:rsidR="00EA221A">
        <w:rPr>
          <w:color w:val="000000" w:themeColor="text1"/>
        </w:rPr>
        <w:t xml:space="preserve">prostora </w:t>
      </w:r>
      <w:r w:rsidRPr="00F03D64">
        <w:rPr>
          <w:color w:val="000000" w:themeColor="text1"/>
        </w:rPr>
        <w:t xml:space="preserve">in šestega odstavka 21. člena Zakona o Vladi Republike Slovenije Mestni občini Koper izdala soglasje za pripravo občinskega prostorskega izvedbenega akta v območju Državnega lokacijskega načrta za hitro cesto Koper – Izola, na zemljiščih oziroma delih zemljišč s </w:t>
      </w:r>
      <w:proofErr w:type="spellStart"/>
      <w:r w:rsidRPr="00F03D64">
        <w:rPr>
          <w:color w:val="000000" w:themeColor="text1"/>
        </w:rPr>
        <w:t>parc</w:t>
      </w:r>
      <w:proofErr w:type="spellEnd"/>
      <w:r w:rsidRPr="00F03D64">
        <w:rPr>
          <w:color w:val="000000" w:themeColor="text1"/>
        </w:rPr>
        <w:t>. št.: 373/2, 375/4, 375/7, 376/2, 376/5, 376/6, 377/2, 377/4 in 4580/14, vsa k. o. Semedela (2606).</w:t>
      </w:r>
    </w:p>
    <w:p w14:paraId="11991F9F" w14:textId="77777777" w:rsidR="00F03D64" w:rsidRPr="00F03D64" w:rsidRDefault="00F03D64" w:rsidP="00F03D64">
      <w:pPr>
        <w:rPr>
          <w:color w:val="000000" w:themeColor="text1"/>
        </w:rPr>
      </w:pPr>
    </w:p>
    <w:p w14:paraId="3A5EC751" w14:textId="0C18FEF1" w:rsidR="00F03D64" w:rsidRPr="00F03D64" w:rsidRDefault="00F03D64" w:rsidP="00F03D64">
      <w:pPr>
        <w:rPr>
          <w:color w:val="000000" w:themeColor="text1"/>
        </w:rPr>
      </w:pPr>
      <w:r w:rsidRPr="00F03D64">
        <w:rPr>
          <w:color w:val="000000" w:themeColor="text1"/>
        </w:rPr>
        <w:t xml:space="preserve">Zakon o urejanju </w:t>
      </w:r>
      <w:r w:rsidR="00EA221A">
        <w:rPr>
          <w:color w:val="000000" w:themeColor="text1"/>
        </w:rPr>
        <w:t xml:space="preserve">prostora </w:t>
      </w:r>
      <w:r w:rsidRPr="00F03D64">
        <w:rPr>
          <w:color w:val="000000" w:themeColor="text1"/>
        </w:rPr>
        <w:t xml:space="preserve">v 89. členu določa, da lahko občina pripravi občinski prostorski izvedbeni akt, če s tem nista onemogočeni izvedba in uporaba prostorskih ureditev, načrtovanih v državnih prostorskih izvedbenih aktih, in če s tem soglaša vlada. Občina je poslala vladi pobudo za tako načrtovanje, ki jo je predhodno uskladila z investitorjem ali upravljavcem, če so prostorske ureditve že zgrajene in predane v uporabo. Vlada je preverila skladnost občinske pobude s prostorskimi ureditvami, ki so predmet državnega prostorskega izvedbenega akta, in s sklepom izdala soglasje za </w:t>
      </w:r>
      <w:r w:rsidRPr="00F03D64">
        <w:rPr>
          <w:color w:val="000000" w:themeColor="text1"/>
        </w:rPr>
        <w:lastRenderedPageBreak/>
        <w:t xml:space="preserve">pripravo občinskega prostorskega izvedbenega akta. S soglasjem lahko vlada določi tudi pogoje, ki jih mora občina upoštevati ali izvesti pred začetkom priprave takega akta, ali druge usmeritve. </w:t>
      </w:r>
    </w:p>
    <w:p w14:paraId="611153E1" w14:textId="77777777" w:rsidR="00F03D64" w:rsidRPr="00F03D64" w:rsidRDefault="00F03D64" w:rsidP="00F03D64">
      <w:pPr>
        <w:rPr>
          <w:color w:val="000000" w:themeColor="text1"/>
        </w:rPr>
      </w:pPr>
    </w:p>
    <w:p w14:paraId="7D073E1E" w14:textId="364E8964" w:rsidR="00813B32" w:rsidRPr="00F03D64" w:rsidRDefault="00F03D64" w:rsidP="00F03D64">
      <w:pPr>
        <w:rPr>
          <w:color w:val="000000" w:themeColor="text1"/>
        </w:rPr>
      </w:pPr>
      <w:r w:rsidRPr="00F03D64">
        <w:rPr>
          <w:color w:val="000000" w:themeColor="text1"/>
        </w:rPr>
        <w:t xml:space="preserve">Mestna občina Koper pripravlja občinski podrobni prostorski načrt (OPPN) Slavnik, s katerim načrtuje gradnjo objektov za stanovanja in storitvene dejavnosti. Poleg gradnje novih objektov je v območju OPPN predvidena tudi gradnja prometne, komunalne, energetske in druge gospodarske infrastrukture ter urejanje odprtega prostora. </w:t>
      </w:r>
    </w:p>
    <w:p w14:paraId="19E7046E" w14:textId="7657DA31" w:rsidR="00813B32" w:rsidRPr="00865FF5" w:rsidRDefault="00F03D64" w:rsidP="00865FF5">
      <w:pPr>
        <w:pStyle w:val="Vir"/>
        <w:rPr>
          <w:color w:val="000000" w:themeColor="text1"/>
        </w:rPr>
      </w:pPr>
      <w:r w:rsidRPr="00F03D64">
        <w:rPr>
          <w:color w:val="000000" w:themeColor="text1"/>
        </w:rPr>
        <w:t>Vir: Ministrstvo za naravne vire in prostor</w:t>
      </w:r>
    </w:p>
    <w:p w14:paraId="1E5F0F7D" w14:textId="25D2FF8F" w:rsidR="00F249AC" w:rsidRPr="00F249AC" w:rsidRDefault="00511141" w:rsidP="00F249AC">
      <w:pPr>
        <w:pStyle w:val="Naslov2"/>
      </w:pPr>
      <w:r>
        <w:t>Poročilo o u</w:t>
      </w:r>
      <w:r w:rsidR="00F249AC" w:rsidRPr="00F249AC">
        <w:t xml:space="preserve">resničevanju Akcijskega programa za invalide 2022-2030 </w:t>
      </w:r>
    </w:p>
    <w:p w14:paraId="57FF8EFF" w14:textId="77777777" w:rsidR="00F249AC" w:rsidRPr="00F249AC" w:rsidRDefault="00F249AC" w:rsidP="00F249AC">
      <w:pPr>
        <w:rPr>
          <w:color w:val="000000" w:themeColor="text1"/>
        </w:rPr>
      </w:pPr>
      <w:r w:rsidRPr="00F249AC">
        <w:rPr>
          <w:color w:val="000000" w:themeColor="text1"/>
        </w:rPr>
        <w:t xml:space="preserve">Vlada je sprejela Poročilo o uresničevanju Akcijskega programa za invalide 2022-2030 v letu 2024 (poročilo). </w:t>
      </w:r>
    </w:p>
    <w:p w14:paraId="021DBB9C" w14:textId="77777777" w:rsidR="00F249AC" w:rsidRPr="00F249AC" w:rsidRDefault="00F249AC" w:rsidP="00F249AC">
      <w:pPr>
        <w:rPr>
          <w:color w:val="000000" w:themeColor="text1"/>
        </w:rPr>
      </w:pPr>
    </w:p>
    <w:p w14:paraId="739AF9D4" w14:textId="51671B77" w:rsidR="00F249AC" w:rsidRPr="00F249AC" w:rsidRDefault="00F249AC" w:rsidP="00F249AC">
      <w:pPr>
        <w:rPr>
          <w:color w:val="000000" w:themeColor="text1"/>
        </w:rPr>
      </w:pPr>
      <w:r w:rsidRPr="00F249AC">
        <w:rPr>
          <w:color w:val="000000" w:themeColor="text1"/>
        </w:rPr>
        <w:t xml:space="preserve">Namen Akcijskega programa za invalide 2022-2030 je spodbujati, varovati in zagotavljati polnopravno in enakovredno uživanje človekovih pravic invalidov in spodbujati spoštovanje njihovega dostojanstva. Program obsega trinajst temeljnih ciljev in 120 ukrepov, ki celovito urejajo vsa področja življenja invalidov. Komisija, ki jo sestavljajo predstavniki resornih ministrstev, strokovnih organizacij, NSIOS, drugih invalidskih organizacij izven NSIOS in Zveza društev upokojencev Slovenije, vsako leto predloži Vladi poročilo o izvajanju Akcijskega programa za preteklo leto. Poročilo je namenjeno pregledu novosti in kontinuiranih dejavnosti za invalide ter zrcali stanje invalidskega varstva v Republiki Sloveniji. </w:t>
      </w:r>
    </w:p>
    <w:p w14:paraId="7EF8A710" w14:textId="3C5AF018" w:rsidR="00813B32" w:rsidRPr="00A86BD2" w:rsidRDefault="00F249AC" w:rsidP="00A86BD2">
      <w:pPr>
        <w:pStyle w:val="Vir"/>
      </w:pPr>
      <w:r w:rsidRPr="00F249AC">
        <w:t>Vir: Ministrstvo za delo, družino, socialne zadeve in enake možnosti.</w:t>
      </w:r>
    </w:p>
    <w:p w14:paraId="431548B4" w14:textId="01D4CA11" w:rsidR="003E168A" w:rsidRPr="003E168A" w:rsidRDefault="003E168A" w:rsidP="003E168A">
      <w:pPr>
        <w:pStyle w:val="Naslov2"/>
      </w:pPr>
      <w:r w:rsidRPr="003E168A">
        <w:t>Vlada se je seznanila s Poročilom o izvajanju Celovitega strateškega projekta razogljičenja Slovenije preko prehoda v krožno gospodarstvo za obdobje januar–december 2024</w:t>
      </w:r>
    </w:p>
    <w:p w14:paraId="795893A6" w14:textId="77777777" w:rsidR="003E168A" w:rsidRPr="003E168A" w:rsidRDefault="003E168A" w:rsidP="003E168A">
      <w:pPr>
        <w:rPr>
          <w:color w:val="000000" w:themeColor="text1"/>
        </w:rPr>
      </w:pPr>
      <w:r w:rsidRPr="003E168A">
        <w:rPr>
          <w:color w:val="000000" w:themeColor="text1"/>
        </w:rPr>
        <w:t xml:space="preserve">Iz Poročila o izvajanju Celovitega strateškega projekta razogljičenja Slovenije preko prehoda v krožno gospodarstvo (CSP-KG) za preteklo obdobje izhaja, da so vsi trije ključni cilji projekta le deloma doseženi, saj je projekt še v teku. Ključni cilji so: podpora razogljičenju ključnih verig vrednosti (graditvena, prehranska, mobilnost, gozd-les in predelovalna industrija), vključevanje podnebni/krožnih vsebin na horizontalna področja (podjetništvo, izobraževanje, oblikovanje politik in financiranje) ter dvig usposobljenosti in </w:t>
      </w:r>
      <w:proofErr w:type="spellStart"/>
      <w:r w:rsidRPr="003E168A">
        <w:rPr>
          <w:color w:val="000000" w:themeColor="text1"/>
        </w:rPr>
        <w:t>opolnomočenje</w:t>
      </w:r>
      <w:proofErr w:type="spellEnd"/>
      <w:r w:rsidRPr="003E168A">
        <w:rPr>
          <w:color w:val="000000" w:themeColor="text1"/>
        </w:rPr>
        <w:t xml:space="preserve"> vseh deležnikov, predvsem javnega sektorja, da bo bolje oblikoval in podpiral izvajanje ukrepov za </w:t>
      </w:r>
      <w:proofErr w:type="spellStart"/>
      <w:r w:rsidRPr="003E168A">
        <w:rPr>
          <w:color w:val="000000" w:themeColor="text1"/>
        </w:rPr>
        <w:t>razogličenje</w:t>
      </w:r>
      <w:proofErr w:type="spellEnd"/>
      <w:r w:rsidRPr="003E168A">
        <w:rPr>
          <w:color w:val="000000" w:themeColor="text1"/>
        </w:rPr>
        <w:t xml:space="preserve"> družbe in prehod v krožno gospodarstvo.</w:t>
      </w:r>
    </w:p>
    <w:p w14:paraId="5625427C" w14:textId="77777777" w:rsidR="003E168A" w:rsidRPr="003E168A" w:rsidRDefault="003E168A" w:rsidP="003E168A">
      <w:pPr>
        <w:rPr>
          <w:color w:val="000000" w:themeColor="text1"/>
        </w:rPr>
      </w:pPr>
    </w:p>
    <w:p w14:paraId="6E748090" w14:textId="77777777" w:rsidR="003E168A" w:rsidRPr="003E168A" w:rsidRDefault="003E168A" w:rsidP="003E168A">
      <w:pPr>
        <w:rPr>
          <w:color w:val="000000" w:themeColor="text1"/>
        </w:rPr>
      </w:pPr>
      <w:r w:rsidRPr="003E168A">
        <w:rPr>
          <w:color w:val="000000" w:themeColor="text1"/>
        </w:rPr>
        <w:t>Projekt je razvojno–raziskovalni in je namenjen razvoju in vpeljavi inovativnih pristopov za dvig usposobljenosti in kapacitet za sistemsko inoviranje v državni upravi ter širše tudi v drugih skupinah deležnikov. Podnebne spremembe so kompleksen izziv, ki zahteva sistemske rešitve, zato je treba okrepiti sposobnost za sistemsko inoviranje.</w:t>
      </w:r>
    </w:p>
    <w:p w14:paraId="0674F546" w14:textId="77777777" w:rsidR="003E168A" w:rsidRPr="003E168A" w:rsidRDefault="003E168A" w:rsidP="003E168A">
      <w:pPr>
        <w:rPr>
          <w:color w:val="000000" w:themeColor="text1"/>
        </w:rPr>
      </w:pPr>
    </w:p>
    <w:p w14:paraId="673795F5" w14:textId="3B3C1B9B" w:rsidR="003E168A" w:rsidRDefault="003E168A" w:rsidP="003E168A">
      <w:pPr>
        <w:rPr>
          <w:color w:val="000000" w:themeColor="text1"/>
        </w:rPr>
      </w:pPr>
      <w:r w:rsidRPr="003E168A">
        <w:rPr>
          <w:color w:val="000000" w:themeColor="text1"/>
        </w:rPr>
        <w:t>Vlada je oktobra 2022 opredelila način izvajanja 2. faze CSP-KG in potrdila načrt izvedbe. Ob tem je določila, da Ministrstvo za javno upravo marca za vsako preteklo leto Vladi predloži poročilo o izvajanju načrta, pred tem pa mora poročilo obravnavati tudi delovna skupina vlade za usmerjanje CSP-KG.</w:t>
      </w:r>
    </w:p>
    <w:p w14:paraId="031B6C36" w14:textId="07B98E08" w:rsidR="00813B32" w:rsidRDefault="003E168A" w:rsidP="00A86BD2">
      <w:pPr>
        <w:pStyle w:val="Vir"/>
      </w:pPr>
      <w:r w:rsidRPr="003E168A">
        <w:t>Vir: Ministrstvo za javno upravo</w:t>
      </w:r>
    </w:p>
    <w:p w14:paraId="498EE910" w14:textId="77777777" w:rsidR="00C93A38" w:rsidRDefault="00C93A38" w:rsidP="00C93A38"/>
    <w:p w14:paraId="4D0FEEAB" w14:textId="77777777" w:rsidR="00C93A38" w:rsidRDefault="00C93A38" w:rsidP="00C93A38"/>
    <w:p w14:paraId="03E68737" w14:textId="77777777" w:rsidR="00C93A38" w:rsidRPr="00C93A38" w:rsidRDefault="00C93A38" w:rsidP="00C93A38"/>
    <w:p w14:paraId="288BCA8C" w14:textId="234D6EA1" w:rsidR="0080156F" w:rsidRPr="0080156F" w:rsidRDefault="0080156F" w:rsidP="0080156F">
      <w:pPr>
        <w:pStyle w:val="Naslov2"/>
      </w:pPr>
      <w:r w:rsidRPr="0080156F">
        <w:lastRenderedPageBreak/>
        <w:t>Konsolidirana premoženjska bilanca države in občin</w:t>
      </w:r>
    </w:p>
    <w:p w14:paraId="36BCDD07" w14:textId="77777777" w:rsidR="0080156F" w:rsidRPr="0080156F" w:rsidRDefault="0080156F" w:rsidP="0080156F">
      <w:pPr>
        <w:rPr>
          <w:color w:val="000000" w:themeColor="text1"/>
        </w:rPr>
      </w:pPr>
      <w:r w:rsidRPr="0080156F">
        <w:rPr>
          <w:color w:val="000000" w:themeColor="text1"/>
        </w:rPr>
        <w:t>Vlada je na današnji seji sprejela Konsolidirano premoženjsko bilanco države in občin na dan 31. december 2024. Bilančna vsota premoženja države in občin na dan 31. december 2024 znaša 63 milijard evrov in se je glede na stanje, izkazano na dan 31. december 2023, v letu 2024 povečala za 6,66 odstotkov oziroma skoraj 4 milijarde evrov.</w:t>
      </w:r>
    </w:p>
    <w:p w14:paraId="067819BB" w14:textId="77777777" w:rsidR="0080156F" w:rsidRPr="0080156F" w:rsidRDefault="0080156F" w:rsidP="0080156F">
      <w:pPr>
        <w:rPr>
          <w:color w:val="000000" w:themeColor="text1"/>
        </w:rPr>
      </w:pPr>
    </w:p>
    <w:p w14:paraId="6BCD906A" w14:textId="1844BA2E" w:rsidR="0080156F" w:rsidRPr="0080156F" w:rsidRDefault="0080156F" w:rsidP="0080156F">
      <w:pPr>
        <w:rPr>
          <w:color w:val="000000" w:themeColor="text1"/>
        </w:rPr>
      </w:pPr>
      <w:r w:rsidRPr="0080156F">
        <w:rPr>
          <w:color w:val="000000" w:themeColor="text1"/>
        </w:rPr>
        <w:t xml:space="preserve">Konsolidirana premoženjska bilanca države in občin je akt vlade, v katerem je prikazano konsolidirano stanje premoženja države in občin na dan 31. decembra tekočega leta. Namen prikazovanja konsolidirane premoženjske bilance države in občin je prikazati vrednost finančnega in stvarnega premoženja v lasti države ter občin kot tudi vrednost obveznosti, ki jih imajo država ter občine do drugih domačih in tujih subjektov.  </w:t>
      </w:r>
    </w:p>
    <w:p w14:paraId="4290F4B1" w14:textId="7B9DD79B" w:rsidR="00813B32" w:rsidRPr="00847F68" w:rsidRDefault="0080156F" w:rsidP="00847F68">
      <w:pPr>
        <w:pStyle w:val="Vir"/>
      </w:pPr>
      <w:r w:rsidRPr="0080156F">
        <w:t>Vir: Ministrstvo za finance</w:t>
      </w:r>
    </w:p>
    <w:p w14:paraId="7F8C3AEE" w14:textId="1D599F90" w:rsidR="00891D3C" w:rsidRPr="00891D3C" w:rsidRDefault="00891D3C" w:rsidP="00891D3C">
      <w:pPr>
        <w:pStyle w:val="Naslov2"/>
      </w:pPr>
      <w:r w:rsidRPr="00891D3C">
        <w:t>Vlada določila kvote pravic proračunske porabe</w:t>
      </w:r>
    </w:p>
    <w:p w14:paraId="2571C94D" w14:textId="77777777" w:rsidR="00891D3C" w:rsidRPr="00891D3C" w:rsidRDefault="00891D3C" w:rsidP="00891D3C">
      <w:pPr>
        <w:rPr>
          <w:color w:val="000000" w:themeColor="text1"/>
        </w:rPr>
      </w:pPr>
      <w:r w:rsidRPr="00891D3C">
        <w:rPr>
          <w:color w:val="000000" w:themeColor="text1"/>
        </w:rPr>
        <w:t>Vlada je na današnji seji določila kvote pravic proračunske porabe za obdobje od julija do septembra 2025 po skupinah neposrednih proračunskih uporabnikov.</w:t>
      </w:r>
    </w:p>
    <w:p w14:paraId="19444513" w14:textId="77777777" w:rsidR="00891D3C" w:rsidRPr="00891D3C" w:rsidRDefault="00891D3C" w:rsidP="00891D3C">
      <w:pPr>
        <w:rPr>
          <w:color w:val="000000" w:themeColor="text1"/>
        </w:rPr>
      </w:pPr>
      <w:r w:rsidRPr="00891D3C">
        <w:rPr>
          <w:color w:val="000000" w:themeColor="text1"/>
        </w:rPr>
        <w:t>Pri določanju predloga kvote za tretje trimesečje 2025 je Ministrstvo za finance upoštevalo v Spremembah proračuna RS za leto 2025 predvidene pravice porabe neposrednih proračunskih uporabnikov, evidentirane prevzete obveznosti neposrednih uporabnikov proračuna, likvidnostne možnosti proračuna in dinamiko porabe proračunskih sredstev v preteklih letih.</w:t>
      </w:r>
    </w:p>
    <w:p w14:paraId="77E91A56" w14:textId="5FD7315A" w:rsidR="00891D3C" w:rsidRPr="00891D3C" w:rsidRDefault="00891D3C" w:rsidP="00891D3C">
      <w:pPr>
        <w:rPr>
          <w:color w:val="000000" w:themeColor="text1"/>
        </w:rPr>
      </w:pPr>
      <w:r w:rsidRPr="00891D3C">
        <w:rPr>
          <w:color w:val="000000" w:themeColor="text1"/>
        </w:rPr>
        <w:t>Predlagana kvota za tretje trimesečje 2025 znaša 3.829 milijonov evrov, kar je 22,4 odstotka vseh pravic porabe, kot izhajajo iz Sprememb proračuna RS za leto 2025.</w:t>
      </w:r>
    </w:p>
    <w:p w14:paraId="7F635A2A" w14:textId="0495A314" w:rsidR="00813B32" w:rsidRPr="00847F68" w:rsidRDefault="00891D3C" w:rsidP="00847F68">
      <w:pPr>
        <w:pStyle w:val="Vir"/>
      </w:pPr>
      <w:r w:rsidRPr="00891D3C">
        <w:t>Vir: Ministrstvo za finance</w:t>
      </w:r>
    </w:p>
    <w:p w14:paraId="01057B34" w14:textId="7B188F10" w:rsidR="005541F4" w:rsidRPr="005541F4" w:rsidRDefault="005541F4" w:rsidP="005541F4">
      <w:pPr>
        <w:pStyle w:val="Naslov2"/>
      </w:pPr>
      <w:r w:rsidRPr="005541F4">
        <w:t>Vlada o odprtju proračunskih postavk pri Ministrstvu za finance</w:t>
      </w:r>
    </w:p>
    <w:p w14:paraId="1951ECDA" w14:textId="77777777" w:rsidR="005541F4" w:rsidRPr="005541F4" w:rsidRDefault="005541F4" w:rsidP="005541F4">
      <w:pPr>
        <w:rPr>
          <w:color w:val="000000" w:themeColor="text1"/>
        </w:rPr>
      </w:pPr>
      <w:r w:rsidRPr="005541F4">
        <w:rPr>
          <w:color w:val="000000" w:themeColor="text1"/>
        </w:rPr>
        <w:t>Vlada je na današnji seji sklenila, da za namen zmanjšanje objektivnih razlik občin pri Ministrstvu za finance odpre nove proračunske postavke.</w:t>
      </w:r>
    </w:p>
    <w:p w14:paraId="76F8254F" w14:textId="77777777" w:rsidR="005541F4" w:rsidRPr="005541F4" w:rsidRDefault="005541F4" w:rsidP="005541F4">
      <w:pPr>
        <w:rPr>
          <w:color w:val="000000" w:themeColor="text1"/>
        </w:rPr>
      </w:pPr>
    </w:p>
    <w:p w14:paraId="28BC37CB" w14:textId="77777777" w:rsidR="005541F4" w:rsidRPr="005541F4" w:rsidRDefault="005541F4" w:rsidP="005541F4">
      <w:pPr>
        <w:rPr>
          <w:color w:val="000000" w:themeColor="text1"/>
        </w:rPr>
      </w:pPr>
      <w:r w:rsidRPr="005541F4">
        <w:rPr>
          <w:color w:val="000000" w:themeColor="text1"/>
        </w:rPr>
        <w:t>Sredstva za proračunske postavke v višini 40 milijonov evrov se v letu 2025 zagotovijo s prerazporeditvijo pravic porabe znotraj finančnega načrta Ministrstva za finance.</w:t>
      </w:r>
    </w:p>
    <w:p w14:paraId="5DF49DC0" w14:textId="5F60DE02" w:rsidR="005541F4" w:rsidRPr="005541F4" w:rsidRDefault="005541F4" w:rsidP="005541F4">
      <w:pPr>
        <w:rPr>
          <w:color w:val="000000" w:themeColor="text1"/>
        </w:rPr>
      </w:pPr>
      <w:r w:rsidRPr="005541F4">
        <w:rPr>
          <w:color w:val="000000" w:themeColor="text1"/>
        </w:rPr>
        <w:t xml:space="preserve">Na podlagi dogovora o višini povprečnine za leti 2025 in 2026 med vlado RS in reprezentativnimi združenji občin in 54. člena Zakona o izvrševanju proračunov Republike Slovenije za leti 2025 in 2026 se občinam v letu 2025 zagotovi skoraj 48 milijonov evrov sredstev, ki so namenjena zmanjševanju objektivnih razlik, ki vplivajo na prihodke občin. Ker je bil Dogovor o višini povprečnine za leti 2025 in 2026 sklenjen po sprejetju proračuna za leto 2025, je potrebno poleg planiranih 40 milijonov evrov zagotoviti še 7.880.815 evrov, ki jih ni bilo mogoče načrtovati ob pripravi proračuna v septembru 2024. </w:t>
      </w:r>
    </w:p>
    <w:p w14:paraId="6FEFF460" w14:textId="2231CB85" w:rsidR="00813B32" w:rsidRPr="005541F4" w:rsidRDefault="005541F4" w:rsidP="005541F4">
      <w:pPr>
        <w:pStyle w:val="Vir"/>
      </w:pPr>
      <w:r w:rsidRPr="005541F4">
        <w:t>Vir: Ministrstvo za finance</w:t>
      </w:r>
    </w:p>
    <w:p w14:paraId="73665A82" w14:textId="05186392" w:rsidR="00EF26DC" w:rsidRPr="00EF26DC" w:rsidRDefault="00EF26DC" w:rsidP="00EF26DC">
      <w:pPr>
        <w:pStyle w:val="Naslov2"/>
      </w:pPr>
      <w:r w:rsidRPr="00EF26DC">
        <w:t xml:space="preserve">Vlada sprejela sklep, da se projekt FSDN uvrsti v Načrt razvojnih programov </w:t>
      </w:r>
    </w:p>
    <w:p w14:paraId="15ADB82B" w14:textId="77777777" w:rsidR="00EF26DC" w:rsidRPr="00EF26DC" w:rsidRDefault="00EF26DC" w:rsidP="00EF26DC">
      <w:pPr>
        <w:rPr>
          <w:color w:val="000000" w:themeColor="text1"/>
        </w:rPr>
      </w:pPr>
      <w:r w:rsidRPr="00EF26DC">
        <w:rPr>
          <w:color w:val="000000" w:themeColor="text1"/>
        </w:rPr>
        <w:t xml:space="preserve">Vlada  je sprejela sklep, da se v veljavni Načrt razvojnih programov 2025–2028 uvrsti projekt »Podatki o </w:t>
      </w:r>
      <w:proofErr w:type="spellStart"/>
      <w:r w:rsidRPr="00EF26DC">
        <w:rPr>
          <w:color w:val="000000" w:themeColor="text1"/>
        </w:rPr>
        <w:t>trajnostnosti</w:t>
      </w:r>
      <w:proofErr w:type="spellEnd"/>
      <w:r w:rsidRPr="00EF26DC">
        <w:rPr>
          <w:color w:val="000000" w:themeColor="text1"/>
        </w:rPr>
        <w:t xml:space="preserve"> kmetij – FSDN«. S tem projektom se urejajo aktivnosti za delovanje mreže FSDN in za kmetijska gospodarstva, ki sodelujejo v mreži (v nadaljnjem besedilu: KMG).</w:t>
      </w:r>
    </w:p>
    <w:p w14:paraId="447F021E" w14:textId="77777777" w:rsidR="00EF26DC" w:rsidRPr="00EF26DC" w:rsidRDefault="00EF26DC" w:rsidP="00EF26DC">
      <w:pPr>
        <w:rPr>
          <w:color w:val="000000" w:themeColor="text1"/>
        </w:rPr>
      </w:pPr>
    </w:p>
    <w:p w14:paraId="57811117" w14:textId="77777777" w:rsidR="00EF26DC" w:rsidRPr="00EF26DC" w:rsidRDefault="00EF26DC" w:rsidP="00EF26DC">
      <w:pPr>
        <w:rPr>
          <w:color w:val="000000" w:themeColor="text1"/>
        </w:rPr>
      </w:pPr>
      <w:r w:rsidRPr="00EF26DC">
        <w:rPr>
          <w:color w:val="000000" w:themeColor="text1"/>
        </w:rPr>
        <w:t xml:space="preserve">Projekt »Podatki o </w:t>
      </w:r>
      <w:proofErr w:type="spellStart"/>
      <w:r w:rsidRPr="00EF26DC">
        <w:rPr>
          <w:color w:val="000000" w:themeColor="text1"/>
        </w:rPr>
        <w:t>trajnostnosti</w:t>
      </w:r>
      <w:proofErr w:type="spellEnd"/>
      <w:r w:rsidRPr="00EF26DC">
        <w:rPr>
          <w:color w:val="000000" w:themeColor="text1"/>
        </w:rPr>
        <w:t xml:space="preserve"> kmeti – FSDN« se bo izvajal v letih  2025, 2026 in 2027. Za izvedbo projekta je namenjenih 2.061.609,50 evrov, od tega je 1.232.109,50 evrov evropskih sredstev, 829.500,00 evrov pa državnih.</w:t>
      </w:r>
    </w:p>
    <w:p w14:paraId="0D79712E" w14:textId="77777777" w:rsidR="00EF26DC" w:rsidRPr="00EF26DC" w:rsidRDefault="00EF26DC" w:rsidP="00EF26DC">
      <w:pPr>
        <w:rPr>
          <w:color w:val="000000" w:themeColor="text1"/>
        </w:rPr>
      </w:pPr>
    </w:p>
    <w:p w14:paraId="06F7B2AD" w14:textId="77777777" w:rsidR="00EF26DC" w:rsidRPr="00EF26DC" w:rsidRDefault="00EF26DC" w:rsidP="00EF26DC">
      <w:pPr>
        <w:rPr>
          <w:color w:val="000000" w:themeColor="text1"/>
        </w:rPr>
      </w:pPr>
      <w:r w:rsidRPr="00EF26DC">
        <w:rPr>
          <w:color w:val="000000" w:themeColor="text1"/>
        </w:rPr>
        <w:t xml:space="preserve">Evropska sredstva so v obdobju 2025–2027 namenjena za zbiranje osnovnih podatkov FADN, izboljšave podatkovnega sistema pri zbiranju podatkov FSDN in se proporcionalno zvišujejo glede na število zbranih novih kazalnikov FSDN. Tak sistem spodbuja vse deležnike k čim hitrejšemu, kakovostnemu zbiranju in oddajanju čim večjega števila kazalnikov FSDN. Z evropskimi sredstvi se za posredovane podatke na Evropsko komisijo (EK) za KMG v vzorcu FSDN pokrivajo stroški za zbiranje in obdelave osnovnih podatkov FADN, za izboljšave podatkovnega sistema pri zbiranju FSDN podatkov ter stroški za zbiranje novih FSDN podatkov. Pokriva se vsebinska analiza rezultatov obdelave podatkov in zagotovitev nasveta »po meri kmetije«. </w:t>
      </w:r>
    </w:p>
    <w:p w14:paraId="678E5CD4" w14:textId="77777777" w:rsidR="00EF26DC" w:rsidRPr="00EF26DC" w:rsidRDefault="00EF26DC" w:rsidP="00EF26DC">
      <w:pPr>
        <w:rPr>
          <w:color w:val="000000" w:themeColor="text1"/>
        </w:rPr>
      </w:pPr>
    </w:p>
    <w:p w14:paraId="5B8C23E1" w14:textId="77777777" w:rsidR="00EF26DC" w:rsidRPr="00EF26DC" w:rsidRDefault="00EF26DC" w:rsidP="00EF26DC">
      <w:pPr>
        <w:rPr>
          <w:color w:val="000000" w:themeColor="text1"/>
        </w:rPr>
      </w:pPr>
      <w:r w:rsidRPr="00EF26DC">
        <w:rPr>
          <w:color w:val="000000" w:themeColor="text1"/>
        </w:rPr>
        <w:t xml:space="preserve">Plačilo EU za stroške zbiranja novih FSDN podatkov je v prvem obdobju, od 2025 do 2027, odvisno od števila zbranih novih podatkov FSDN. Upravičenec do evropskih sredstev je organ, ki opravlja vlogo zbiratelja podatkov (t. i. računovodska pisarna) za namene vnosa in obdelave podatkov v mreži FSDN ter pošiljanja podatkov vzorca FSDN na EK. Evropska sredstva se izplačujejo samo za tisto število KMG v vzorcu FSDN, katerih rezultati po tem, ko jih je obdelala EK, dejansko ustrezajo vsem zahtevanim kriterijem vzorca FSDN. V primeru, da rezultati ne dosegajo minimalnega ekonomskega praga vstopa (podpražna KMG), se stroški pokrijejo iz nacionalnih sredstev. Ministrstvo z računovodsko pisarno sklene javno pooblastilo vsakič za obdobje pet let (2020–2025 in 2026–2030). Sredstva se izplačujejo na osnovi izpolnjenih zahtev v vsakoletno sklenjeni pogodbi o sodelovanju. </w:t>
      </w:r>
    </w:p>
    <w:p w14:paraId="2A495A0A" w14:textId="77777777" w:rsidR="00EF26DC" w:rsidRPr="00EF26DC" w:rsidRDefault="00EF26DC" w:rsidP="00EF26DC">
      <w:pPr>
        <w:rPr>
          <w:color w:val="000000" w:themeColor="text1"/>
        </w:rPr>
      </w:pPr>
    </w:p>
    <w:p w14:paraId="0C762D9B" w14:textId="2AF926CF" w:rsidR="00EF26DC" w:rsidRPr="00EF26DC" w:rsidRDefault="00EF26DC" w:rsidP="00EF26DC">
      <w:pPr>
        <w:rPr>
          <w:color w:val="000000" w:themeColor="text1"/>
        </w:rPr>
      </w:pPr>
      <w:r w:rsidRPr="00EF26DC">
        <w:rPr>
          <w:color w:val="000000" w:themeColor="text1"/>
        </w:rPr>
        <w:t xml:space="preserve">Z državnimi sredstvi se zagotavlja finančno nadomestilo KMG, ki sodelujejo v vzorcu FSDN, vendar niso obvezniki iz SKP. Sredstva se izplačujejo računovodski pisarni tudi v primerih, ko so bila ustrezno izpolnjena in oddana poročila v vzorcu FSDN s strani EK zavrnjena, ker je šlo za podpražne KMG ali če je bilo skupno oddano več kot 908 poročil s KMG (nad </w:t>
      </w:r>
      <w:proofErr w:type="spellStart"/>
      <w:r w:rsidRPr="00EF26DC">
        <w:rPr>
          <w:color w:val="000000" w:themeColor="text1"/>
        </w:rPr>
        <w:t>pražna</w:t>
      </w:r>
      <w:proofErr w:type="spellEnd"/>
      <w:r w:rsidRPr="00EF26DC">
        <w:rPr>
          <w:color w:val="000000" w:themeColor="text1"/>
        </w:rPr>
        <w:t xml:space="preserve"> KMG). Državna sredstva se uporabijo še za vzpostavitev ostalih podpornih aktivnosti za delovanje celotne mreže FSDN (stroški tiskanja in pošiljanja pogodb za sodelovanje in druge dokumentacije, stroški pošiljanja rezultatov obdelav in svetovanja na osnovi rezultatov, storitve preko javnih naročil ter vnos in obdelava podatkov za KMG izven vzorca FSDN.)</w:t>
      </w:r>
    </w:p>
    <w:p w14:paraId="04A7ED2E" w14:textId="214433FD" w:rsidR="00813B32" w:rsidRPr="00511141" w:rsidRDefault="00EF26DC" w:rsidP="00511141">
      <w:pPr>
        <w:pStyle w:val="Vir"/>
      </w:pPr>
      <w:r w:rsidRPr="00EF26DC">
        <w:t>Vir: Ministrstvo za kmetijstvo, gozdarstvo in prehrano</w:t>
      </w:r>
    </w:p>
    <w:p w14:paraId="6E174598" w14:textId="2DE1D557" w:rsidR="00511141" w:rsidRPr="00511141" w:rsidRDefault="00511141" w:rsidP="00511141">
      <w:pPr>
        <w:pStyle w:val="Naslov2"/>
      </w:pPr>
      <w:r>
        <w:t>U</w:t>
      </w:r>
      <w:r w:rsidRPr="00511141">
        <w:t>vrstit</w:t>
      </w:r>
      <w:r>
        <w:t xml:space="preserve">ev </w:t>
      </w:r>
      <w:r w:rsidRPr="00511141">
        <w:t>projekta 1630-25-9003 Javni razpis Spodbude za zagon podjetij na obmejnih problemskih območjih v letu 2025 v veljavni Načrt razvojnih programov za obdobje 2025–2028</w:t>
      </w:r>
    </w:p>
    <w:p w14:paraId="5F35C07B" w14:textId="127399CC" w:rsidR="00511141" w:rsidRPr="00511141" w:rsidRDefault="00511141" w:rsidP="00511141">
      <w:pPr>
        <w:rPr>
          <w:color w:val="000000" w:themeColor="text1"/>
        </w:rPr>
      </w:pPr>
      <w:r w:rsidRPr="00511141">
        <w:rPr>
          <w:color w:val="000000" w:themeColor="text1"/>
        </w:rPr>
        <w:t>Vlad je v veljavni Načrt razvojnih programov 2025–2028 uvrstila nov  projekt 1630-25-9003 Spodbude za zagon podjetij P2R. Namen je zagotoviti sredstva za zagon novoustanovljenih podjetij na obmejnih problemskih območjih.</w:t>
      </w:r>
    </w:p>
    <w:p w14:paraId="4C6F13D7" w14:textId="21F86271" w:rsidR="00511141" w:rsidRPr="00511141" w:rsidRDefault="00511141" w:rsidP="00511141">
      <w:pPr>
        <w:rPr>
          <w:color w:val="000000" w:themeColor="text1"/>
        </w:rPr>
      </w:pPr>
      <w:r w:rsidRPr="00511141">
        <w:rPr>
          <w:color w:val="000000" w:themeColor="text1"/>
        </w:rPr>
        <w:t xml:space="preserve">Sofinanciranje podjetij na obmejnih problemskih območjih bo potekalo na podlagi javnega razpisa »Spodbude za zagon podjetij na obmejnih problemskih območjih v letu 2025«. Namen javnega razpisa je razvoj novoustanovljenih podjetij in uspešen prenos idej podjetnih posameznikov in skupin v tržno uspešne podjeme in ustvarjanje novih delovnih mest. S tem se podpira ciljna skupina podjetij, ki je v najbolj občutljivi razvojni fazi. Še posebej jih spodbujamo k razvoju njihovih podjetniških kompetenc z vključevanjem v podporne podjetniške programe. Nepovratna sredstva (subvencije) omogočajo podjetjem, ki ne razpolagajo z zadostnimi finančnimi sredstvi, izboljšanje finančnega položaja in s tem hitrejši in intenzivnejši razvoj. Na razpis se lahko prijavijo </w:t>
      </w:r>
      <w:proofErr w:type="spellStart"/>
      <w:r w:rsidRPr="00511141">
        <w:rPr>
          <w:color w:val="000000" w:themeColor="text1"/>
        </w:rPr>
        <w:t>mikro</w:t>
      </w:r>
      <w:proofErr w:type="spellEnd"/>
      <w:r w:rsidRPr="00511141">
        <w:rPr>
          <w:color w:val="000000" w:themeColor="text1"/>
        </w:rPr>
        <w:t xml:space="preserve"> in mala podjetja s sedežem na obmejnih problemskih območjih. Višina subvencije za posamezno podjetje je 30.000,00 EUR. S sredstvi se želi podpreti 50 podjetij.</w:t>
      </w:r>
    </w:p>
    <w:p w14:paraId="58634DA2" w14:textId="40052846" w:rsidR="00813B32" w:rsidRDefault="00511141" w:rsidP="00495AE5">
      <w:pPr>
        <w:pStyle w:val="Vir"/>
      </w:pPr>
      <w:r w:rsidRPr="00511141">
        <w:t>Vir: Ministrstvo za kohezijo in regionalni razvoj</w:t>
      </w:r>
    </w:p>
    <w:p w14:paraId="470BBCEE" w14:textId="77777777" w:rsidR="00CC02D1" w:rsidRDefault="00CC02D1" w:rsidP="00CC02D1"/>
    <w:p w14:paraId="637B80DA" w14:textId="77777777" w:rsidR="00CC02D1" w:rsidRPr="00CC02D1" w:rsidRDefault="00CC02D1" w:rsidP="00CC02D1"/>
    <w:p w14:paraId="27B1033D" w14:textId="4B4EA576" w:rsidR="00495AE5" w:rsidRPr="00495AE5" w:rsidRDefault="00495AE5" w:rsidP="00495AE5">
      <w:pPr>
        <w:pStyle w:val="Naslov2"/>
      </w:pPr>
      <w:r w:rsidRPr="00495AE5">
        <w:lastRenderedPageBreak/>
        <w:t xml:space="preserve">Vlada projekt Visokovodni nasip Sneberje uvrstila v Načrt razvojnih programov </w:t>
      </w:r>
    </w:p>
    <w:p w14:paraId="727CF621" w14:textId="77777777" w:rsidR="00495AE5" w:rsidRPr="00495AE5" w:rsidRDefault="00495AE5" w:rsidP="00495AE5">
      <w:pPr>
        <w:rPr>
          <w:color w:val="000000" w:themeColor="text1"/>
        </w:rPr>
      </w:pPr>
      <w:r w:rsidRPr="00495AE5">
        <w:rPr>
          <w:color w:val="000000" w:themeColor="text1"/>
        </w:rPr>
        <w:t xml:space="preserve">Vlada je v Načrt razvojnih programov do leta 2028 uvrstila projekt Visokovodni nasip Sneberje. Njegov namen je vzpostavitev trajne in učinkovite protipoplavne rešitve na območju naselja Sneberje v Ljubljani. Vrednost projekta je več kot 6 milijonov evrov. </w:t>
      </w:r>
    </w:p>
    <w:p w14:paraId="3EFB52BD" w14:textId="77777777" w:rsidR="00495AE5" w:rsidRPr="00495AE5" w:rsidRDefault="00495AE5" w:rsidP="00495AE5">
      <w:pPr>
        <w:rPr>
          <w:color w:val="000000" w:themeColor="text1"/>
        </w:rPr>
      </w:pPr>
    </w:p>
    <w:p w14:paraId="4AA1F526" w14:textId="77777777" w:rsidR="00495AE5" w:rsidRPr="00495AE5" w:rsidRDefault="00495AE5" w:rsidP="00495AE5">
      <w:pPr>
        <w:rPr>
          <w:color w:val="000000" w:themeColor="text1"/>
        </w:rPr>
      </w:pPr>
      <w:r w:rsidRPr="00495AE5">
        <w:rPr>
          <w:color w:val="000000" w:themeColor="text1"/>
        </w:rPr>
        <w:t xml:space="preserve">Projekt obsega izvedbo visokovodnega nasipa na severni in zahodni strani naselja proti Savi. Skupna dolžina nasipa bo 1500 metrov. Predvidena je tudi ureditev obstoječih dostopnih cest ter prehodnih ramp za omogočanje dostopa do kmetijskih in športno-rekreacijskih površin. </w:t>
      </w:r>
    </w:p>
    <w:p w14:paraId="4246A080" w14:textId="77777777" w:rsidR="00495AE5" w:rsidRPr="00495AE5" w:rsidRDefault="00495AE5" w:rsidP="00495AE5">
      <w:pPr>
        <w:rPr>
          <w:color w:val="000000" w:themeColor="text1"/>
        </w:rPr>
      </w:pPr>
    </w:p>
    <w:p w14:paraId="440D6873" w14:textId="263B74D3" w:rsidR="00495AE5" w:rsidRPr="00495AE5" w:rsidRDefault="00495AE5" w:rsidP="00495AE5">
      <w:pPr>
        <w:rPr>
          <w:color w:val="000000" w:themeColor="text1"/>
        </w:rPr>
      </w:pPr>
      <w:r w:rsidRPr="00495AE5">
        <w:rPr>
          <w:color w:val="000000" w:themeColor="text1"/>
        </w:rPr>
        <w:t xml:space="preserve">Po obsežnih poplavah avgusta 2023, ko je Sava prestopila bregove in poplavila območje naselja Sneberje, je bil tam vzpostavljen začasni nasip. Namen projekta Visokovodni nasip Sneberje pa je vzpostavitev trajne protipoplavne rešitve na tem območju. Projekt se bo predvidoma izvajal do konca prihodnjega leta. </w:t>
      </w:r>
    </w:p>
    <w:p w14:paraId="6620D331" w14:textId="51FD8257" w:rsidR="00813B32" w:rsidRPr="00495AE5" w:rsidRDefault="00495AE5" w:rsidP="00495AE5">
      <w:pPr>
        <w:pStyle w:val="Vir"/>
      </w:pPr>
      <w:r w:rsidRPr="00495AE5">
        <w:t>Vir: Ministrstvo za naravne vire in prostor</w:t>
      </w:r>
    </w:p>
    <w:p w14:paraId="291169A1" w14:textId="64353F55" w:rsidR="00334CA3" w:rsidRPr="00334CA3" w:rsidRDefault="00334CA3" w:rsidP="00334CA3">
      <w:pPr>
        <w:pStyle w:val="Naslov2"/>
      </w:pPr>
      <w:r w:rsidRPr="00334CA3">
        <w:t xml:space="preserve">Sprejeto poročilo o investicijah v športno infrastrukturo </w:t>
      </w:r>
    </w:p>
    <w:p w14:paraId="5F9367B6" w14:textId="5B2A71E5" w:rsidR="00334CA3" w:rsidRPr="00334CA3" w:rsidRDefault="00334CA3" w:rsidP="00334CA3">
      <w:r w:rsidRPr="00334CA3">
        <w:t>Vlada je sprejela Poročilo o izvajanju Zakona o zagotavljanju finančnih sredstev za investicije v športno infrastrukturo v Republiki S</w:t>
      </w:r>
      <w:r w:rsidR="00202CA6">
        <w:t>l</w:t>
      </w:r>
      <w:r w:rsidRPr="00334CA3">
        <w:t>oveniji v letih od 2023 do 2030 (ZFSŠI27) v letu 2024 in ga posreduje Državnemu zboru.</w:t>
      </w:r>
    </w:p>
    <w:p w14:paraId="34FE94FF" w14:textId="77777777" w:rsidR="00334CA3" w:rsidRPr="00334CA3" w:rsidRDefault="00334CA3" w:rsidP="00334CA3"/>
    <w:p w14:paraId="25A6D959" w14:textId="77777777" w:rsidR="00334CA3" w:rsidRPr="00334CA3" w:rsidRDefault="00334CA3" w:rsidP="00334CA3">
      <w:r w:rsidRPr="00334CA3">
        <w:t xml:space="preserve">Na podlagi letnega načrta za financiranje in sofinanciranje investicij v športno infrastrukturo za leto 2024 je Ministrstvo za gospodarstvo, turizem in šport 10. maja 2024 objavilo Javni razpis za izbor sofinanciranja investicij v športno infrastrukturo v letu 2024. Namen razpisa je bil sofinancirati obnovo, novogradnjo in rekonstrukcijo javnih športnih objektov, posodobitev ali vzpostavitev novih zunanjih športnih površin, ureditev dostopnosti do javnih športnih objektov in zunanjih športnih površin za funkcionalno ovirane ter protipoplavno in </w:t>
      </w:r>
      <w:proofErr w:type="spellStart"/>
      <w:r w:rsidRPr="00334CA3">
        <w:t>protiplazno</w:t>
      </w:r>
      <w:proofErr w:type="spellEnd"/>
      <w:r w:rsidRPr="00334CA3">
        <w:t xml:space="preserve"> zaščito javnih športnih objektov in zunanjih športnih površin. </w:t>
      </w:r>
    </w:p>
    <w:p w14:paraId="0CECF597" w14:textId="77777777" w:rsidR="00334CA3" w:rsidRPr="00334CA3" w:rsidRDefault="00334CA3" w:rsidP="00334CA3"/>
    <w:p w14:paraId="7996558E" w14:textId="77777777" w:rsidR="00334CA3" w:rsidRPr="00334CA3" w:rsidRDefault="00334CA3" w:rsidP="00334CA3">
      <w:r w:rsidRPr="00334CA3">
        <w:t>V primeru novogradnje so se na javni razpis lahko prijavile Občine, ki so oziroma bodo lastnice javnih športnih objektov, prijavljenih na predmetni javni razpis. Prijavile pa so se lahko tudi tiste Občine, ki so na nepremičnini izkazale drugo dolgoročno pravico, ki je pridobljena najmanj za čas celotne amortizacije predmeta investicije. Občine so lahko na javni razpis prijavile le eno investicijo.</w:t>
      </w:r>
    </w:p>
    <w:p w14:paraId="175D0F2A" w14:textId="77777777" w:rsidR="00334CA3" w:rsidRPr="00334CA3" w:rsidRDefault="00334CA3" w:rsidP="00334CA3"/>
    <w:p w14:paraId="681B8B5B" w14:textId="77777777" w:rsidR="00334CA3" w:rsidRPr="00334CA3" w:rsidRDefault="00334CA3" w:rsidP="00334CA3">
      <w:r w:rsidRPr="00334CA3">
        <w:t>Skupna višina sredstev, namenjenih za izvedbo javnega razpisa, je znašala 50.295.768,03 evra. Od tega je bilo 32.263.992,23 evra namenjenih za sofinanciranje investicij v letu 2024 in 18.031.775,80 evra v letu 2025. Iz naslova ZFSŠI27 je bilo v letu 2024 za sofinanciranje namenjenih 22.418.787,00 evrov ter v letu 2025, 18.031.775,80 evra.</w:t>
      </w:r>
    </w:p>
    <w:p w14:paraId="03BE1EBE" w14:textId="77777777" w:rsidR="00334CA3" w:rsidRPr="00334CA3" w:rsidRDefault="00334CA3" w:rsidP="00334CA3"/>
    <w:p w14:paraId="2FAE1C17" w14:textId="77777777" w:rsidR="00334CA3" w:rsidRPr="00334CA3" w:rsidRDefault="00334CA3" w:rsidP="00334CA3">
      <w:r w:rsidRPr="00334CA3">
        <w:t>Realizacija v letu 2024 je bila glede na razpoložljiva sredstva 98 odstotna, in sicer je znašala 31.594.750,50 evra. Ostanek pa znaša okoli 669.241,73 evra.</w:t>
      </w:r>
    </w:p>
    <w:p w14:paraId="4578799E" w14:textId="77777777" w:rsidR="00334CA3" w:rsidRPr="00334CA3" w:rsidRDefault="00334CA3" w:rsidP="00334CA3"/>
    <w:p w14:paraId="774E986D" w14:textId="4DF10CE1" w:rsidR="00334CA3" w:rsidRPr="00334CA3" w:rsidRDefault="00334CA3" w:rsidP="00334CA3">
      <w:r w:rsidRPr="00334CA3">
        <w:t>Strokovna komisija je po pregledu in ocenjevanju vlog izbrala 141 projektov. Izbrani so bili vsi projekti, ki so izpolnjevali razpisne pogoje.</w:t>
      </w:r>
    </w:p>
    <w:p w14:paraId="56BCEF3A" w14:textId="55FA8AF0" w:rsidR="00813B32" w:rsidRDefault="00334CA3" w:rsidP="00202CA6">
      <w:pPr>
        <w:pStyle w:val="Vir"/>
      </w:pPr>
      <w:r w:rsidRPr="00334CA3">
        <w:t>Vir: Ministrstvo za gospodarstvo, turizem in šport</w:t>
      </w:r>
    </w:p>
    <w:p w14:paraId="09D4530A" w14:textId="77777777" w:rsidR="00C93A38" w:rsidRDefault="00C93A38" w:rsidP="00C93A38"/>
    <w:p w14:paraId="714BEFE4" w14:textId="77777777" w:rsidR="00C93A38" w:rsidRDefault="00C93A38" w:rsidP="00C93A38"/>
    <w:p w14:paraId="5D0C725F" w14:textId="77777777" w:rsidR="00C93A38" w:rsidRDefault="00C93A38" w:rsidP="00C93A38"/>
    <w:p w14:paraId="3FE0C44E" w14:textId="77777777" w:rsidR="00CC02D1" w:rsidRDefault="00CC02D1" w:rsidP="00D8375E">
      <w:pPr>
        <w:pStyle w:val="Naslov2"/>
      </w:pPr>
    </w:p>
    <w:p w14:paraId="254B71DA" w14:textId="2A8502A7" w:rsidR="00D8375E" w:rsidRPr="00D8375E" w:rsidRDefault="00D8375E" w:rsidP="00D8375E">
      <w:pPr>
        <w:pStyle w:val="Naslov2"/>
        <w:rPr>
          <w:color w:val="FF0000"/>
        </w:rPr>
      </w:pPr>
      <w:r w:rsidRPr="00D8375E">
        <w:lastRenderedPageBreak/>
        <w:t>Vlada sprejela odločitev o koncu sodelovanja v operaciji Neomajna odločnost v Iraku</w:t>
      </w:r>
    </w:p>
    <w:p w14:paraId="5A5B8718" w14:textId="77777777" w:rsidR="00D8375E" w:rsidRPr="00D8375E" w:rsidRDefault="00D8375E" w:rsidP="00D8375E">
      <w:pPr>
        <w:rPr>
          <w:color w:val="000000" w:themeColor="text1"/>
        </w:rPr>
      </w:pPr>
      <w:r w:rsidRPr="00D8375E">
        <w:rPr>
          <w:color w:val="000000" w:themeColor="text1"/>
        </w:rPr>
        <w:t>Vlada Republike Slovenije je sprejela odločitev o koncu sodelovanja pripadnikov Slovenske vojske v operaciji Neomajna odločnost v Iraku z zaključkom mandata sedanjega kontingenta Slovenske vojske 1. julija 2025.</w:t>
      </w:r>
    </w:p>
    <w:p w14:paraId="045A87D4" w14:textId="77777777" w:rsidR="00D8375E" w:rsidRPr="00D8375E" w:rsidRDefault="00D8375E" w:rsidP="00D8375E">
      <w:pPr>
        <w:rPr>
          <w:color w:val="000000" w:themeColor="text1"/>
        </w:rPr>
      </w:pPr>
    </w:p>
    <w:p w14:paraId="0BF3602D" w14:textId="17EDACDE" w:rsidR="00D8375E" w:rsidRPr="00D8375E" w:rsidRDefault="00D8375E" w:rsidP="00D8375E">
      <w:pPr>
        <w:rPr>
          <w:color w:val="000000" w:themeColor="text1"/>
        </w:rPr>
      </w:pPr>
      <w:r w:rsidRPr="00D8375E">
        <w:rPr>
          <w:color w:val="000000" w:themeColor="text1"/>
        </w:rPr>
        <w:t>S tem sklepom bo Vlada Republike Slovenije seznanila Odbor Državnega zbora za obrambo in Odbor Državnega zbora za zunanjo politiko.</w:t>
      </w:r>
    </w:p>
    <w:p w14:paraId="4E63B9A6" w14:textId="5583C83A" w:rsidR="00D8375E" w:rsidRPr="00D8375E" w:rsidRDefault="00D8375E" w:rsidP="000214C4">
      <w:pPr>
        <w:pStyle w:val="Vir"/>
      </w:pPr>
      <w:r w:rsidRPr="00D8375E">
        <w:rPr>
          <w:color w:val="000000" w:themeColor="text1"/>
        </w:rPr>
        <w:t>Vir: Ministrstvo za obrambo</w:t>
      </w:r>
    </w:p>
    <w:p w14:paraId="4ECC2ED2" w14:textId="7B0C43DA" w:rsidR="00825605" w:rsidRPr="00825605" w:rsidRDefault="00825605" w:rsidP="00825605">
      <w:pPr>
        <w:pStyle w:val="Naslov2"/>
      </w:pPr>
      <w:r w:rsidRPr="00825605">
        <w:t xml:space="preserve">Vlada nasprotuje Predlogu zakona o debirokratizaciji obdavčitve unovčenja </w:t>
      </w:r>
      <w:proofErr w:type="spellStart"/>
      <w:r w:rsidRPr="00825605">
        <w:t>kriptosredstev</w:t>
      </w:r>
      <w:proofErr w:type="spellEnd"/>
    </w:p>
    <w:p w14:paraId="7F274E6E" w14:textId="77777777" w:rsidR="00825605" w:rsidRPr="00825605" w:rsidRDefault="00825605" w:rsidP="00825605">
      <w:pPr>
        <w:rPr>
          <w:color w:val="000000" w:themeColor="text1"/>
        </w:rPr>
      </w:pPr>
      <w:r w:rsidRPr="00825605">
        <w:rPr>
          <w:color w:val="000000" w:themeColor="text1"/>
        </w:rPr>
        <w:t xml:space="preserve">Vlada je sprejela mnenje o Predlogu zakona o debirokratizaciji obdavčitve unovčenja </w:t>
      </w:r>
      <w:proofErr w:type="spellStart"/>
      <w:r w:rsidRPr="00825605">
        <w:rPr>
          <w:color w:val="000000" w:themeColor="text1"/>
        </w:rPr>
        <w:t>kriptosredstev</w:t>
      </w:r>
      <w:proofErr w:type="spellEnd"/>
      <w:r w:rsidRPr="00825605">
        <w:rPr>
          <w:color w:val="000000" w:themeColor="text1"/>
        </w:rPr>
        <w:t>, ki ga je Državnemu zboru predložila skupina poslank in poslancev. Vlada predlogu zakona nasprotuje.</w:t>
      </w:r>
    </w:p>
    <w:p w14:paraId="21F8C713" w14:textId="77777777" w:rsidR="00825605" w:rsidRPr="00825605" w:rsidRDefault="00825605" w:rsidP="00825605">
      <w:pPr>
        <w:rPr>
          <w:color w:val="000000" w:themeColor="text1"/>
        </w:rPr>
      </w:pPr>
      <w:r w:rsidRPr="00825605">
        <w:rPr>
          <w:color w:val="000000" w:themeColor="text1"/>
        </w:rPr>
        <w:t xml:space="preserve">Izpostavljamo, da je pri oblikovanju davčnih rešitev oziroma ukrepov treba slediti temeljnim davčnim načelom in ciljem davčne politike. Osnovni cilj davčne politike je zagotavljanje javnofinančnih prihodkov države, ki so potrebni za zagotavljanje skupnih potreb in ciljev, seveda v okviru spoštovanja ustavno pravnih okvirov in splošnih davčnih načel, kot so npr. načelo splošne davčne obveznosti, načelo ekonomske sposobnosti, načelo vzdržnosti, načelo ekonomske nevtralnosti, načelo spodbudnosti ter pravičnosti (tako horizontalne kot vertikalne). </w:t>
      </w:r>
    </w:p>
    <w:p w14:paraId="5FF9FA25" w14:textId="77777777" w:rsidR="00825605" w:rsidRPr="00825605" w:rsidRDefault="00825605" w:rsidP="00825605">
      <w:pPr>
        <w:rPr>
          <w:color w:val="000000" w:themeColor="text1"/>
        </w:rPr>
      </w:pPr>
      <w:r w:rsidRPr="00825605">
        <w:rPr>
          <w:color w:val="000000" w:themeColor="text1"/>
        </w:rPr>
        <w:t xml:space="preserve">Predlog zakona ne zasleduje  ustavno pravnih okvirov in splošnih davčnih načel, pri čemer pa niso podani razlogi za odstopanja od navedenih načel. Z vidika pravičnosti in enakosti davčnega sistema ter nevtralne obravnave različnih vrst naložb fizičnih oseb je primerno, da se v obdavčitev zajamejo tudi dobički iz odsvojitve </w:t>
      </w:r>
      <w:proofErr w:type="spellStart"/>
      <w:r w:rsidRPr="00825605">
        <w:rPr>
          <w:color w:val="000000" w:themeColor="text1"/>
        </w:rPr>
        <w:t>kriptosredstev</w:t>
      </w:r>
      <w:proofErr w:type="spellEnd"/>
      <w:r w:rsidRPr="00825605">
        <w:rPr>
          <w:color w:val="000000" w:themeColor="text1"/>
        </w:rPr>
        <w:t xml:space="preserve">. Ministrstvo za finance je s tem namenom pripravilo predlog zakona o davku od dobička iz odsvojitve </w:t>
      </w:r>
      <w:proofErr w:type="spellStart"/>
      <w:r w:rsidRPr="00825605">
        <w:rPr>
          <w:color w:val="000000" w:themeColor="text1"/>
        </w:rPr>
        <w:t>kriptosredstev</w:t>
      </w:r>
      <w:proofErr w:type="spellEnd"/>
      <w:r w:rsidRPr="00825605">
        <w:rPr>
          <w:color w:val="000000" w:themeColor="text1"/>
        </w:rPr>
        <w:t>, ki ga je v javno obravnavo posredovalo 17. 4. 2025, z možnostjo pripomb do 5. 5. 2025.</w:t>
      </w:r>
    </w:p>
    <w:p w14:paraId="13FE39E8" w14:textId="77777777" w:rsidR="00825605" w:rsidRPr="00825605" w:rsidRDefault="00825605" w:rsidP="00825605">
      <w:pPr>
        <w:rPr>
          <w:color w:val="000000" w:themeColor="text1"/>
        </w:rPr>
      </w:pPr>
    </w:p>
    <w:p w14:paraId="1B00324E" w14:textId="77777777" w:rsidR="00825605" w:rsidRPr="00825605" w:rsidRDefault="00825605" w:rsidP="00825605">
      <w:pPr>
        <w:rPr>
          <w:color w:val="000000" w:themeColor="text1"/>
        </w:rPr>
      </w:pPr>
      <w:r w:rsidRPr="00825605">
        <w:rPr>
          <w:color w:val="000000" w:themeColor="text1"/>
        </w:rPr>
        <w:t>Ob tem vlada predlogu zakona, ki ga je vložila skupina poslancev, nasprotuje tudi zaradi naslednjih razlogov:</w:t>
      </w:r>
    </w:p>
    <w:p w14:paraId="71969693" w14:textId="77777777" w:rsidR="00825605" w:rsidRPr="00825605" w:rsidRDefault="00825605" w:rsidP="00825605">
      <w:pPr>
        <w:rPr>
          <w:color w:val="000000" w:themeColor="text1"/>
        </w:rPr>
      </w:pPr>
    </w:p>
    <w:p w14:paraId="391B871B" w14:textId="77777777" w:rsidR="00825605" w:rsidRPr="00825605" w:rsidRDefault="00825605" w:rsidP="00825605">
      <w:pPr>
        <w:rPr>
          <w:color w:val="000000" w:themeColor="text1"/>
        </w:rPr>
      </w:pPr>
      <w:r w:rsidRPr="00825605">
        <w:rPr>
          <w:color w:val="000000" w:themeColor="text1"/>
        </w:rPr>
        <w:t xml:space="preserve">• Opredelitev zavezanca za davek je nejasna in nepopolna do te mere, da omogoča zakonito </w:t>
      </w:r>
      <w:proofErr w:type="spellStart"/>
      <w:r w:rsidRPr="00825605">
        <w:rPr>
          <w:color w:val="000000" w:themeColor="text1"/>
        </w:rPr>
        <w:t>neobdavčitev</w:t>
      </w:r>
      <w:proofErr w:type="spellEnd"/>
      <w:r w:rsidRPr="00825605">
        <w:rPr>
          <w:color w:val="000000" w:themeColor="text1"/>
        </w:rPr>
        <w:t xml:space="preserve"> dela zavezancev, ki razen tega, da jih ta zakon ne opredeljuje kot zavezance, sicer izpolnjujejo vse pogoje za obdavčitev po tem zakonu. </w:t>
      </w:r>
    </w:p>
    <w:p w14:paraId="701ADA77" w14:textId="77777777" w:rsidR="00825605" w:rsidRPr="00825605" w:rsidRDefault="00825605" w:rsidP="00825605">
      <w:pPr>
        <w:rPr>
          <w:color w:val="000000" w:themeColor="text1"/>
        </w:rPr>
      </w:pPr>
      <w:r w:rsidRPr="00825605">
        <w:rPr>
          <w:color w:val="000000" w:themeColor="text1"/>
        </w:rPr>
        <w:t>• V zvezi s splošno oprostitvijo do 10.000 evrov, se v povezavi s prehodno določbo, s katero je določeno, da lahko v letu 2025 zavezanci uveljavljajo oprostitev v znesku 10.000 evrov (posebna oprostitev), postavlja vprašanje razmerja med navedenima oprostitvama.</w:t>
      </w:r>
    </w:p>
    <w:p w14:paraId="513C0842" w14:textId="77777777" w:rsidR="00825605" w:rsidRPr="00825605" w:rsidRDefault="00825605" w:rsidP="00825605">
      <w:pPr>
        <w:rPr>
          <w:color w:val="000000" w:themeColor="text1"/>
        </w:rPr>
      </w:pPr>
      <w:r w:rsidRPr="00825605">
        <w:rPr>
          <w:color w:val="000000" w:themeColor="text1"/>
        </w:rPr>
        <w:t xml:space="preserve">• V povezavi z izračunom davka je v predlogu določeno, da »vsebino davčnega obračuna, ki mora vsebovati vse podatke, potrebne za izračun in nadzor pravilnosti izračuna davka oziroma prikazane izgube, predpiše minister, pristojen za finance«. Poleg tega, da se v predlogu zakona izgube v ničemer ne definira (določa se le možnost njenega dokazovanja ter na načelni ravni obveznost dokumentiranja) in je torej v tem delu </w:t>
      </w:r>
      <w:proofErr w:type="spellStart"/>
      <w:r w:rsidRPr="00825605">
        <w:rPr>
          <w:color w:val="000000" w:themeColor="text1"/>
        </w:rPr>
        <w:t>podnormiran</w:t>
      </w:r>
      <w:proofErr w:type="spellEnd"/>
      <w:r w:rsidRPr="00825605">
        <w:rPr>
          <w:color w:val="000000" w:themeColor="text1"/>
        </w:rPr>
        <w:t xml:space="preserve">. Zakon za omenjeno podzakonsko urejanje ne določa nikakršnega okvira, kar je po mnenju vlade lahko sporno z vidika ustavnih načel delitve oblasti, zakonitosti in hierarhije pravnih aktov. </w:t>
      </w:r>
    </w:p>
    <w:p w14:paraId="07159DBA" w14:textId="77777777" w:rsidR="00825605" w:rsidRPr="00825605" w:rsidRDefault="00825605" w:rsidP="00825605">
      <w:pPr>
        <w:rPr>
          <w:color w:val="000000" w:themeColor="text1"/>
        </w:rPr>
      </w:pPr>
      <w:r w:rsidRPr="00825605">
        <w:rPr>
          <w:color w:val="000000" w:themeColor="text1"/>
        </w:rPr>
        <w:t xml:space="preserve">• Tudi če v primeru izgube posameznik ne bi bil zavezan k plačilu davka, bi to lahko vodilo v prekomerno obdavčitev posameznikov, ki pri unovčenju </w:t>
      </w:r>
      <w:proofErr w:type="spellStart"/>
      <w:r w:rsidRPr="00825605">
        <w:rPr>
          <w:color w:val="000000" w:themeColor="text1"/>
        </w:rPr>
        <w:t>kriptosredstev</w:t>
      </w:r>
      <w:proofErr w:type="spellEnd"/>
      <w:r w:rsidRPr="00825605">
        <w:rPr>
          <w:color w:val="000000" w:themeColor="text1"/>
        </w:rPr>
        <w:t xml:space="preserve"> ne bi ustvarili izgube, a tudi ne znatnega neto donosa, in njihovo neenako obravnavo v primerjavi s tistimi, ki bodo ustvarili minimalno izgubo. </w:t>
      </w:r>
    </w:p>
    <w:p w14:paraId="6350A290" w14:textId="77777777" w:rsidR="00825605" w:rsidRPr="00825605" w:rsidRDefault="00825605" w:rsidP="00825605">
      <w:pPr>
        <w:rPr>
          <w:color w:val="000000" w:themeColor="text1"/>
        </w:rPr>
      </w:pPr>
      <w:r w:rsidRPr="00825605">
        <w:rPr>
          <w:color w:val="000000" w:themeColor="text1"/>
        </w:rPr>
        <w:t xml:space="preserve">• Iz predloga zakona tudi ni jasno, kakšne vrste davek se sploh predlaga, tj. transakcijski davek ali davek na dohodek. </w:t>
      </w:r>
    </w:p>
    <w:p w14:paraId="27795EC8" w14:textId="77777777" w:rsidR="00825605" w:rsidRPr="00825605" w:rsidRDefault="00825605" w:rsidP="00825605">
      <w:pPr>
        <w:rPr>
          <w:color w:val="000000" w:themeColor="text1"/>
        </w:rPr>
      </w:pPr>
      <w:r w:rsidRPr="00825605">
        <w:rPr>
          <w:color w:val="000000" w:themeColor="text1"/>
        </w:rPr>
        <w:t xml:space="preserve">• Pri določitvi ustrezne davčne stopnje je potrebno upoštevati tudi dejstvo, da so naložbe v </w:t>
      </w:r>
      <w:proofErr w:type="spellStart"/>
      <w:r w:rsidRPr="00825605">
        <w:rPr>
          <w:color w:val="000000" w:themeColor="text1"/>
        </w:rPr>
        <w:t>kriptosredstva</w:t>
      </w:r>
      <w:proofErr w:type="spellEnd"/>
      <w:r w:rsidRPr="00825605">
        <w:rPr>
          <w:color w:val="000000" w:themeColor="text1"/>
        </w:rPr>
        <w:t xml:space="preserve"> bolj tvegane, saj gre za zelo volatilno obliko premoženja. </w:t>
      </w:r>
    </w:p>
    <w:p w14:paraId="7635EAC8" w14:textId="77777777" w:rsidR="00825605" w:rsidRPr="00825605" w:rsidRDefault="00825605" w:rsidP="00825605">
      <w:pPr>
        <w:rPr>
          <w:color w:val="000000" w:themeColor="text1"/>
        </w:rPr>
      </w:pPr>
    </w:p>
    <w:p w14:paraId="0D7CE97B" w14:textId="77777777" w:rsidR="00825605" w:rsidRPr="00825605" w:rsidRDefault="00825605" w:rsidP="00825605">
      <w:pPr>
        <w:rPr>
          <w:color w:val="000000" w:themeColor="text1"/>
        </w:rPr>
      </w:pPr>
      <w:r w:rsidRPr="00825605">
        <w:rPr>
          <w:color w:val="000000" w:themeColor="text1"/>
        </w:rPr>
        <w:lastRenderedPageBreak/>
        <w:t>Nenazadnje je treba opozoriti tudi na nedopustno retroaktivnost predloga zakona.</w:t>
      </w:r>
    </w:p>
    <w:p w14:paraId="3880D8D9" w14:textId="3233E02C" w:rsidR="00825605" w:rsidRPr="00825605" w:rsidRDefault="00825605" w:rsidP="00825605">
      <w:pPr>
        <w:rPr>
          <w:color w:val="000000" w:themeColor="text1"/>
        </w:rPr>
      </w:pPr>
      <w:r w:rsidRPr="00825605">
        <w:rPr>
          <w:color w:val="000000" w:themeColor="text1"/>
        </w:rPr>
        <w:t xml:space="preserve">Na podlagi navedenih ugotovitev in dejstev vlada nasprotuje Predlogu zakona o debirokratizaciji obdavčitve unovčenja </w:t>
      </w:r>
      <w:proofErr w:type="spellStart"/>
      <w:r w:rsidRPr="00825605">
        <w:rPr>
          <w:color w:val="000000" w:themeColor="text1"/>
        </w:rPr>
        <w:t>kriptosredstev</w:t>
      </w:r>
      <w:proofErr w:type="spellEnd"/>
      <w:r w:rsidRPr="00825605">
        <w:rPr>
          <w:color w:val="000000" w:themeColor="text1"/>
        </w:rPr>
        <w:t>, ki ga je Državnemu zboru predložila skupina poslank in poslancev.</w:t>
      </w:r>
    </w:p>
    <w:p w14:paraId="5B58C7DA" w14:textId="0B2BB488" w:rsidR="00813B32" w:rsidRDefault="00825605" w:rsidP="00825605">
      <w:pPr>
        <w:pStyle w:val="Vir"/>
      </w:pPr>
      <w:r w:rsidRPr="00825605">
        <w:t>Vir: Ministrstvo za finance</w:t>
      </w:r>
    </w:p>
    <w:p w14:paraId="5F97FC88" w14:textId="0D54DDF7" w:rsidR="001934F3" w:rsidRPr="001934F3" w:rsidRDefault="001934F3" w:rsidP="001934F3">
      <w:pPr>
        <w:pStyle w:val="Naslov2"/>
      </w:pPr>
      <w:r w:rsidRPr="001934F3">
        <w:t>Vlada potrdila spremembe in dopolnitve predloga Zakona o urejanju prostora</w:t>
      </w:r>
    </w:p>
    <w:p w14:paraId="2C8ACAB7" w14:textId="5CDF69C3" w:rsidR="001934F3" w:rsidRPr="001934F3" w:rsidRDefault="001934F3" w:rsidP="001934F3">
      <w:pPr>
        <w:rPr>
          <w:color w:val="000000" w:themeColor="text1"/>
        </w:rPr>
      </w:pPr>
      <w:r w:rsidRPr="001934F3">
        <w:rPr>
          <w:color w:val="000000" w:themeColor="text1"/>
        </w:rPr>
        <w:t>Vlada Republike Slovenije je določila besedilo predloga Zakona o spremembah in dopolnitvah Zakona o urejanju prostora in ga poslala Državnemu zboru v obravnavo po rednem zakonodajnem postopku.</w:t>
      </w:r>
    </w:p>
    <w:p w14:paraId="638F99EE" w14:textId="77777777" w:rsidR="001934F3" w:rsidRPr="001934F3" w:rsidRDefault="001934F3" w:rsidP="001934F3">
      <w:pPr>
        <w:rPr>
          <w:color w:val="000000" w:themeColor="text1"/>
        </w:rPr>
      </w:pPr>
    </w:p>
    <w:p w14:paraId="04D05F2A" w14:textId="17113C4B" w:rsidR="00813B32" w:rsidRPr="001934F3" w:rsidRDefault="001934F3" w:rsidP="001934F3">
      <w:pPr>
        <w:rPr>
          <w:color w:val="000000" w:themeColor="text1"/>
        </w:rPr>
      </w:pPr>
      <w:r w:rsidRPr="001934F3">
        <w:rPr>
          <w:color w:val="000000" w:themeColor="text1"/>
        </w:rPr>
        <w:t>Spremembe zakona so bile pripravljene z namenom nadaljnjega udejanjanja ciljev učinkovitega upravljanja s prostorom, okrepitve prostorskega načrtovanja kot strokovne discipline, optimizacije in učinkovitejšega vodenja priprave državnih in občinskih prostorskih načrtov, izboljšanja ureditev na področju zemljiške politike in odpravi nekaterih drugih pomanjkljivosti.</w:t>
      </w:r>
    </w:p>
    <w:p w14:paraId="3A8B4177" w14:textId="6BA7F8C4" w:rsidR="001934F3" w:rsidRPr="001934F3" w:rsidRDefault="001934F3" w:rsidP="001934F3">
      <w:pPr>
        <w:pStyle w:val="Vir"/>
        <w:rPr>
          <w:color w:val="000000" w:themeColor="text1"/>
        </w:rPr>
      </w:pPr>
      <w:r w:rsidRPr="001934F3">
        <w:rPr>
          <w:color w:val="000000" w:themeColor="text1"/>
        </w:rPr>
        <w:t>Vir: Ministrstvo za naravne vire in prostor</w:t>
      </w:r>
    </w:p>
    <w:p w14:paraId="7BA450B3" w14:textId="3C6D7814" w:rsidR="004701ED" w:rsidRPr="004701ED" w:rsidRDefault="004701ED" w:rsidP="004701ED">
      <w:pPr>
        <w:pStyle w:val="Naslov2"/>
      </w:pPr>
      <w:r w:rsidRPr="004701ED">
        <w:t>Vlada določila besedilo novele Zakona o industrijski lastnini</w:t>
      </w:r>
    </w:p>
    <w:p w14:paraId="1B6CBF1D" w14:textId="77777777" w:rsidR="004701ED" w:rsidRPr="004701ED" w:rsidRDefault="004701ED" w:rsidP="004701ED">
      <w:r w:rsidRPr="004701ED">
        <w:t>Vlada Republike Slovenije je določila besedilo predloga Zakona o dopolnitvi Zakona o industrijski lastnini in ga pošlje v obravnavo Državnemu zboru po rednem postopku.</w:t>
      </w:r>
    </w:p>
    <w:p w14:paraId="35EC8EC8" w14:textId="77777777" w:rsidR="004701ED" w:rsidRPr="004701ED" w:rsidRDefault="004701ED" w:rsidP="004701ED">
      <w:r w:rsidRPr="004701ED">
        <w:t xml:space="preserve"> </w:t>
      </w:r>
    </w:p>
    <w:p w14:paraId="4F2E60ED" w14:textId="77777777" w:rsidR="004701ED" w:rsidRPr="004701ED" w:rsidRDefault="004701ED" w:rsidP="004701ED">
      <w:r w:rsidRPr="004701ED">
        <w:t xml:space="preserve">Pravica do geografske označbe za obrtne in industrijske izdelke je ena od pravic industrijske lastnine po Zakonu o industrijski lastnini. Z Uredbo (EU) 2023/2411 Evropskega parlamenta in Sveta z dne 18. oktobra 2023 o zaščiti geografskih označb obrtnih in industrijskih izdelkov ter spremembami uredb (EU) 2017/1001 in (EU) 2019/1753 (Uredba 2023/2411/EU) se ukinjajo nacionalni sistemi varstva geografskih označb obrtnih in industrijskih izdelkov. Vzpostavlja pa se enotna pravica geografskih označb za obrtne in industrijske izdelke na ravni Evropske unije. </w:t>
      </w:r>
    </w:p>
    <w:p w14:paraId="41494EDF" w14:textId="77777777" w:rsidR="004701ED" w:rsidRPr="004701ED" w:rsidRDefault="004701ED" w:rsidP="004701ED"/>
    <w:p w14:paraId="6B49D999" w14:textId="51472F14" w:rsidR="004701ED" w:rsidRPr="004701ED" w:rsidRDefault="004701ED" w:rsidP="004701ED">
      <w:r w:rsidRPr="004701ED">
        <w:t xml:space="preserve">Zaradi uskladitve zakonodaje z Uredbo 2023/2411/EU predlog zakona določa, da se kot geografsko označbo po Zakonu o industrijski lastnini ne sme registrirati geografske označbe za obrtne in industrijske izdelke. Predlog zakona določa tudi prehodno zaščito za obstoječe geografske označbe, za katere bo vložena zahteva za registracijo na podlagi Uredbe 2023/2411/EU. </w:t>
      </w:r>
    </w:p>
    <w:p w14:paraId="0B135CCB" w14:textId="5F270205" w:rsidR="004701ED" w:rsidRPr="009D6708" w:rsidRDefault="004701ED" w:rsidP="009D6708">
      <w:pPr>
        <w:pStyle w:val="Vir"/>
      </w:pPr>
      <w:r w:rsidRPr="004701ED">
        <w:t>Vir: Ministrstvo za gospodarstvo, turizem in šport</w:t>
      </w:r>
    </w:p>
    <w:p w14:paraId="32E42393" w14:textId="39061800" w:rsidR="009D6708" w:rsidRPr="009D6708" w:rsidRDefault="009D6708" w:rsidP="009D6708">
      <w:pPr>
        <w:pStyle w:val="Naslov2"/>
      </w:pPr>
      <w:r w:rsidRPr="009D6708">
        <w:t>Vlada določila besedilo predloga Zakona o izvajanju uredbe (EU) o zaščiti geografskih označb obrtnih in industrijskih izdelkov</w:t>
      </w:r>
    </w:p>
    <w:p w14:paraId="231E7FB5" w14:textId="77777777" w:rsidR="009D6708" w:rsidRPr="009D6708" w:rsidRDefault="009D6708" w:rsidP="009D6708">
      <w:r w:rsidRPr="009D6708">
        <w:t xml:space="preserve">Vlada je sprejela in določila besedilo Predloga Zakona o izvajanju uredbe (EU) o zaščiti geografskih označb obrtnih in industrijskih izdelkov, ki ga bo po rednem postopku poslala Državnemu zboru v obravnavo. Cilj predloga zakona je uskladiti pravni red s predpisi EU in urediti prehodno obdobje varstva za obstoječe geografske označbe obrtnih in industrijskih izdelkov. </w:t>
      </w:r>
    </w:p>
    <w:p w14:paraId="64160B5C" w14:textId="77777777" w:rsidR="009D6708" w:rsidRPr="009D6708" w:rsidRDefault="009D6708" w:rsidP="009D6708"/>
    <w:p w14:paraId="3CBEA2A3" w14:textId="77777777" w:rsidR="009D6708" w:rsidRPr="009D6708" w:rsidRDefault="009D6708" w:rsidP="009D6708">
      <w:r w:rsidRPr="009D6708">
        <w:t>Področje geografskih označb obrtnih in industrijskih izdelkov je trenutno urejeno z Zakonom o industrijski lastnini. Zakon ureja vrste pravic industrijske lastnine (patent, dodatni varstveni certifikat, model, znamka, geografska označba), postopke za podelitev in registracijo teh pravic ter sodno varstvo pravic. S sprejetjem Uredbe (EU) 2023/2411 o zaščiti geografskih označb obrtnih in industrijskih izdelkov pa je na področju geografskih označb obrtnih in industrijskih izdelkov prišlo do velikih sprememb. Predvsem v državah članicah, ki že imajo svoje sisteme varstva geografskih označb, med njimi je tudi Slovenija.</w:t>
      </w:r>
    </w:p>
    <w:p w14:paraId="4BAA7BEF" w14:textId="77777777" w:rsidR="009D6708" w:rsidRPr="009D6708" w:rsidRDefault="009D6708" w:rsidP="009D6708"/>
    <w:p w14:paraId="66615012" w14:textId="77777777" w:rsidR="009D6708" w:rsidRPr="009D6708" w:rsidRDefault="009D6708" w:rsidP="009D6708">
      <w:r w:rsidRPr="009D6708">
        <w:t xml:space="preserve">S predlogom Zakona o izvajanju uredbe (EU) o zaščiti geografskih označb obrtnih in industrijskih izdelkov se v ta namen zlasti: </w:t>
      </w:r>
    </w:p>
    <w:p w14:paraId="3E49B0FC" w14:textId="77777777" w:rsidR="009D6708" w:rsidRPr="009D6708" w:rsidRDefault="009D6708" w:rsidP="009D6708"/>
    <w:p w14:paraId="2C178359" w14:textId="688752EF" w:rsidR="009D6708" w:rsidRPr="009D6708" w:rsidRDefault="009D6708" w:rsidP="009D6708">
      <w:r w:rsidRPr="009D6708">
        <w:t>-</w:t>
      </w:r>
      <w:r>
        <w:t xml:space="preserve"> </w:t>
      </w:r>
      <w:r w:rsidRPr="009D6708">
        <w:t>določata pristojna organa za izvajanje postopkov registracije in nadzora nad Uredbo (EU) 2023/2411</w:t>
      </w:r>
    </w:p>
    <w:p w14:paraId="1D16B1F8" w14:textId="605A4714" w:rsidR="009D6708" w:rsidRPr="009D6708" w:rsidRDefault="009D6708" w:rsidP="009D6708">
      <w:r w:rsidRPr="009D6708">
        <w:t>-</w:t>
      </w:r>
      <w:r>
        <w:t xml:space="preserve"> </w:t>
      </w:r>
      <w:r w:rsidRPr="009D6708">
        <w:t>podrobneje opredeljujejo pravila nacionalne faze postopka registracije geografskih označb</w:t>
      </w:r>
    </w:p>
    <w:p w14:paraId="0AB63942" w14:textId="130D1230" w:rsidR="009D6708" w:rsidRPr="009D6708" w:rsidRDefault="009D6708" w:rsidP="009D6708">
      <w:r w:rsidRPr="009D6708">
        <w:t>-</w:t>
      </w:r>
      <w:r>
        <w:t xml:space="preserve"> </w:t>
      </w:r>
      <w:r w:rsidRPr="009D6708">
        <w:t>določajo pravila ugovornega postopka zoper zahtevek za registracijo geografske označbe v nacionalni fazi</w:t>
      </w:r>
    </w:p>
    <w:p w14:paraId="0BBF5B5E" w14:textId="6EC37033" w:rsidR="009D6708" w:rsidRPr="009D6708" w:rsidRDefault="009D6708" w:rsidP="009D6708">
      <w:r w:rsidRPr="009D6708">
        <w:t>-</w:t>
      </w:r>
      <w:r>
        <w:t xml:space="preserve"> </w:t>
      </w:r>
      <w:r w:rsidRPr="009D6708">
        <w:t>določa začasna nacionalna zaščita geografskih označb ter obseg varstva, ki ga zagotavlja</w:t>
      </w:r>
    </w:p>
    <w:p w14:paraId="4720D614" w14:textId="4E71D1BD" w:rsidR="009D6708" w:rsidRPr="009D6708" w:rsidRDefault="009D6708" w:rsidP="009D6708">
      <w:r w:rsidRPr="009D6708">
        <w:t>-</w:t>
      </w:r>
      <w:r>
        <w:t xml:space="preserve"> </w:t>
      </w:r>
      <w:r w:rsidRPr="009D6708">
        <w:t xml:space="preserve">določa preverjanje skladnosti izdelka s specifikacijo geografske označbe na podlagi </w:t>
      </w:r>
      <w:proofErr w:type="spellStart"/>
      <w:r w:rsidRPr="009D6708">
        <w:t>samoizjave</w:t>
      </w:r>
      <w:proofErr w:type="spellEnd"/>
      <w:r w:rsidRPr="009D6708">
        <w:t xml:space="preserve"> proizvajalcev</w:t>
      </w:r>
    </w:p>
    <w:p w14:paraId="51C18831" w14:textId="23B17064" w:rsidR="009D6708" w:rsidRPr="009D6708" w:rsidRDefault="009D6708" w:rsidP="009D6708">
      <w:r w:rsidRPr="009D6708">
        <w:t>-</w:t>
      </w:r>
      <w:r>
        <w:t xml:space="preserve"> </w:t>
      </w:r>
      <w:r w:rsidRPr="009D6708">
        <w:t>opredeljujejo inšpekcijska pooblastila in ukrepi ter</w:t>
      </w:r>
    </w:p>
    <w:p w14:paraId="0892B238" w14:textId="264C327A" w:rsidR="009D6708" w:rsidRPr="009D6708" w:rsidRDefault="009D6708" w:rsidP="009D6708">
      <w:r w:rsidRPr="009D6708">
        <w:t>-</w:t>
      </w:r>
      <w:r>
        <w:t xml:space="preserve"> </w:t>
      </w:r>
      <w:r w:rsidRPr="009D6708">
        <w:t xml:space="preserve">določajo </w:t>
      </w:r>
      <w:proofErr w:type="spellStart"/>
      <w:r w:rsidRPr="009D6708">
        <w:t>prekrškovne</w:t>
      </w:r>
      <w:proofErr w:type="spellEnd"/>
      <w:r w:rsidRPr="009D6708">
        <w:t xml:space="preserve"> sankcije.</w:t>
      </w:r>
    </w:p>
    <w:p w14:paraId="7ECBCFD4" w14:textId="77777777" w:rsidR="009D6708" w:rsidRPr="009D6708" w:rsidRDefault="009D6708" w:rsidP="009D6708"/>
    <w:p w14:paraId="6BF0EEC6" w14:textId="77777777" w:rsidR="009D6708" w:rsidRPr="009D6708" w:rsidRDefault="009D6708" w:rsidP="009D6708">
      <w:r w:rsidRPr="009D6708">
        <w:t xml:space="preserve">Uredba (EU) 2023/2411 se bo začela uporabljati 1. decembra 2025. Vzpostavlja harmonizirano varstvo geografskih označb obrtnih in industrijskih izdelkov na ravni Evropske unije ter ukinja nacionalne sisteme varstva geografskih označb. </w:t>
      </w:r>
    </w:p>
    <w:p w14:paraId="15051E63" w14:textId="77777777" w:rsidR="009D6708" w:rsidRPr="009D6708" w:rsidRDefault="009D6708" w:rsidP="009D6708"/>
    <w:p w14:paraId="006B8A92" w14:textId="44F622D4" w:rsidR="009D6708" w:rsidRPr="009D6708" w:rsidRDefault="009D6708" w:rsidP="009D6708">
      <w:r w:rsidRPr="009D6708">
        <w:t>Mi</w:t>
      </w:r>
      <w:r>
        <w:t>n</w:t>
      </w:r>
      <w:r w:rsidRPr="009D6708">
        <w:t xml:space="preserve">istrstvo za gospodarstvo, turizem in šport je 12. marca 2025 predlog zakona objavilo na spletnem portalu e-demokracija. Mnenja, predloge in pripombe zainteresirane strokovne in druge javnosti je bilo mogoče sporočiti v času od 12. marca 2025 do 11. aprila 2025. </w:t>
      </w:r>
    </w:p>
    <w:p w14:paraId="45563605" w14:textId="77777777" w:rsidR="009D6708" w:rsidRPr="009D6708" w:rsidRDefault="009D6708" w:rsidP="009D6708"/>
    <w:p w14:paraId="176325AD" w14:textId="77777777" w:rsidR="009D6708" w:rsidRPr="009D6708" w:rsidRDefault="009D6708" w:rsidP="009D6708">
      <w:r w:rsidRPr="009D6708">
        <w:t>Vir: Ministrstvo za gospodarstvo, turizem in šport</w:t>
      </w:r>
    </w:p>
    <w:p w14:paraId="67CA5909" w14:textId="77777777" w:rsidR="00813B32" w:rsidRPr="006F2D44" w:rsidRDefault="00813B32" w:rsidP="00813B32">
      <w:pPr>
        <w:rPr>
          <w:color w:val="FF0000"/>
        </w:rPr>
      </w:pPr>
    </w:p>
    <w:p w14:paraId="1615667D" w14:textId="0492EEE6" w:rsidR="004C67A4" w:rsidRPr="004C67A4" w:rsidRDefault="004C67A4" w:rsidP="004C67A4">
      <w:pPr>
        <w:pStyle w:val="Naslov2"/>
      </w:pPr>
      <w:r w:rsidRPr="004C67A4">
        <w:t>Vlada potrdila spremembe zakonov s področja investicijskih skladov</w:t>
      </w:r>
    </w:p>
    <w:p w14:paraId="5CC6C51C" w14:textId="77777777" w:rsidR="004C67A4" w:rsidRPr="004C67A4" w:rsidRDefault="004C67A4" w:rsidP="004C67A4">
      <w:r w:rsidRPr="004C67A4">
        <w:t>Glavni cilj predlaganih novel je uskladitev slovenske zakonodaje z evropskim pravnim redom na področju upravljanja in obvladovanja operativnih tveganj povezanih z informacijsko in komunikacijsko tehnologijo pri upravljavcih alternativnih investicijskih skladov in družbah za upravljanje investicijskih skladov ter vzpostavitev enotnega pristopa k digitalni operativni odpornosti v finančnem sektorju.</w:t>
      </w:r>
    </w:p>
    <w:p w14:paraId="5084AE9E" w14:textId="77777777" w:rsidR="004C67A4" w:rsidRPr="004C67A4" w:rsidRDefault="004C67A4" w:rsidP="004C67A4"/>
    <w:p w14:paraId="0D2BCF60" w14:textId="77777777" w:rsidR="004C67A4" w:rsidRPr="004C67A4" w:rsidRDefault="004C67A4" w:rsidP="004C67A4">
      <w:r w:rsidRPr="004C67A4">
        <w:t>Ključna vsebinska sprememba se nanaša na dopolnitev določb Zakona o upravljavcih alternativnih investicijskih skladov glede zahtev za nadzorno in varnostno ureditev za elektronsko obdelavo podatkov, ter določb Zakona o investicijskih skladih in družbah za upravljanje glede zahtev za upravne in računovodske postopke ter informacijske sisteme. Po novem bodo morali biti informacijski sistemi upravljavcev alternativnih investicijskih skladov vzpostavljeni in upravljani v skladu z evropsko uredbo, ki celovito ureja področje digitalne operativne odpornosti v finančnem sektorju. Ta sprememba bo zagotovila, da bodo upravljavci vzpostavili ustrezne sisteme in postopke za obvladovanje tveganj, povezanih z informacijsko in komunikacijsko tehnologijo (IKT).</w:t>
      </w:r>
    </w:p>
    <w:p w14:paraId="64BF3F89" w14:textId="77777777" w:rsidR="004C67A4" w:rsidRPr="004C67A4" w:rsidRDefault="004C67A4" w:rsidP="004C67A4"/>
    <w:p w14:paraId="17F54450" w14:textId="77777777" w:rsidR="004C67A4" w:rsidRPr="004C67A4" w:rsidRDefault="004C67A4" w:rsidP="004C67A4">
      <w:r w:rsidRPr="004C67A4">
        <w:t xml:space="preserve">Cilj sprememb je vzpostavitev enotnega pristopa k upravljanju tveganj IKT v finančnem sektorju. Doslej so bile zahteve na tem področju razpršene po različnih predpisih in niso bile vedno celovite. Z novimi določbami se vzpostavlja enotni in celoviti okvir za obvladovanje teh tveganj, kar bo prispevalo k večji digitalni odpornosti upravljavcev alternativnih investicijskih skladov in družb za upravljanje investicijskih skladov. </w:t>
      </w:r>
    </w:p>
    <w:p w14:paraId="374A66DD" w14:textId="77777777" w:rsidR="004C67A4" w:rsidRPr="004C67A4" w:rsidRDefault="004C67A4" w:rsidP="004C67A4"/>
    <w:p w14:paraId="3C58EFCC" w14:textId="77777777" w:rsidR="004C67A4" w:rsidRPr="004C67A4" w:rsidRDefault="004C67A4" w:rsidP="004C67A4">
      <w:r w:rsidRPr="004C67A4">
        <w:t xml:space="preserve">Predlagana ureditev vzpostavlja tudi minimalne zahteve za zagotavljanje kibernetske varnosti, ki jih morajo izpolnjevati upravljavci alternativnih investicijskih skladov in družbe za upravljanje investicijskih skladov. Te zahteve so določene v evropski uredbi, na katero se sklicujeta predloga zakonov. S tem se zagotavlja pravna jasnost glede potrebnih ukrepov za zagotavljanje kibernetske varnosti in operativne odpornosti informacijskih sistemov. </w:t>
      </w:r>
    </w:p>
    <w:p w14:paraId="3AF431D6" w14:textId="77777777" w:rsidR="004C67A4" w:rsidRPr="004C67A4" w:rsidRDefault="004C67A4" w:rsidP="004C67A4"/>
    <w:p w14:paraId="0B02DFB5" w14:textId="4528B895" w:rsidR="00D00D4C" w:rsidRPr="004C67A4" w:rsidRDefault="004C67A4" w:rsidP="004C67A4">
      <w:pPr>
        <w:rPr>
          <w:color w:val="000000" w:themeColor="text1"/>
        </w:rPr>
      </w:pPr>
      <w:r w:rsidRPr="004C67A4">
        <w:lastRenderedPageBreak/>
        <w:t xml:space="preserve">Vse te spremembe bodo tako prispevale k večji varnosti in zanesljivosti poslovanja upravljavcev alternativnih investicijskih skladov ter družb za upravljanje in boljšemu obvladovanju tveganj, povezanih z digitalizacijo finančnega sektorja.  </w:t>
      </w:r>
    </w:p>
    <w:p w14:paraId="451E7749" w14:textId="28DBF945" w:rsidR="00813B32" w:rsidRPr="00D00D4C" w:rsidRDefault="00D00D4C" w:rsidP="00D00D4C">
      <w:pPr>
        <w:pStyle w:val="Vir"/>
      </w:pPr>
      <w:r w:rsidRPr="00D00D4C">
        <w:t>Vir: Ministrstvo za finance</w:t>
      </w:r>
    </w:p>
    <w:p w14:paraId="330471DC" w14:textId="508E026F" w:rsidR="00F52C67" w:rsidRPr="00F52C67" w:rsidRDefault="00F52C67" w:rsidP="00F52C67">
      <w:pPr>
        <w:pStyle w:val="Naslov2"/>
      </w:pPr>
      <w:r w:rsidRPr="00F52C67">
        <w:t>Predlog Zakona o spremembah in dopolnitvah Zakona o uvajanju naprav za proizvodnjo električne energije iz obnovljivih virov energije</w:t>
      </w:r>
    </w:p>
    <w:p w14:paraId="6A7CEA81" w14:textId="77777777" w:rsidR="00F52C67" w:rsidRPr="00F52C67" w:rsidRDefault="00F52C67" w:rsidP="00F52C67">
      <w:pPr>
        <w:rPr>
          <w:color w:val="000000" w:themeColor="text1"/>
        </w:rPr>
      </w:pPr>
      <w:r w:rsidRPr="00F52C67">
        <w:rPr>
          <w:color w:val="000000" w:themeColor="text1"/>
        </w:rPr>
        <w:t xml:space="preserve">Vlada je določila besedilo predloga Zakona o spremembah in dopolnitvah Zakona o uvajanju naprav za proizvodnjo električne energije iz obnovljivih virov energije in ga pošlje Državnemu zboru Republike Slovenije v obravnavo in sprejetje po skrajšanem zakonodajnem postopku. </w:t>
      </w:r>
    </w:p>
    <w:p w14:paraId="553D46F4" w14:textId="77777777" w:rsidR="00F52C67" w:rsidRPr="00F52C67" w:rsidRDefault="00F52C67" w:rsidP="00F52C67">
      <w:pPr>
        <w:rPr>
          <w:color w:val="000000" w:themeColor="text1"/>
        </w:rPr>
      </w:pPr>
    </w:p>
    <w:p w14:paraId="2AD7F4A8" w14:textId="77777777" w:rsidR="00F52C67" w:rsidRPr="00F52C67" w:rsidRDefault="00F52C67" w:rsidP="00F52C67">
      <w:pPr>
        <w:rPr>
          <w:color w:val="000000" w:themeColor="text1"/>
        </w:rPr>
      </w:pPr>
      <w:r w:rsidRPr="00F52C67">
        <w:rPr>
          <w:color w:val="000000" w:themeColor="text1"/>
        </w:rPr>
        <w:t>Predlaga se sprejem po skrajšanem zakonodajnem postopku, saj so izpolnjeni pogoji iz prve in tretje alineje prvega odstavka 142. člena Poslovnika Državnega zbora – gre za (1) manj zahtevne uskladitve zakona z drugimi zakoni ali s pravom Evropske unije in (2) manj zahtevne spremembe in dopolnitve zakona.</w:t>
      </w:r>
    </w:p>
    <w:p w14:paraId="39D187BB" w14:textId="77777777" w:rsidR="00F52C67" w:rsidRPr="00F52C67" w:rsidRDefault="00F52C67" w:rsidP="00F52C67">
      <w:pPr>
        <w:rPr>
          <w:color w:val="000000" w:themeColor="text1"/>
        </w:rPr>
      </w:pPr>
      <w:r w:rsidRPr="00F52C67">
        <w:rPr>
          <w:color w:val="000000" w:themeColor="text1"/>
        </w:rPr>
        <w:t xml:space="preserve">Predlog zakona se namreč sprejema zaradi uskladitve z novo Direktivo (EU) 2023/2413 Evropskega parlamenta in Sveta z dne 18. oktobra 2023 o spremembi Direktive (EU) 2018/2001, Uredbe (EU) 2018/1999 in Direktive 98/70/ES glede spodbujanja energije iz obnovljivih virov ter razveljavitvi Direktive Sveta (EU) 2015/652 (direktiva 2023/2413/EU), in sicer gre za prenos členov, ki se nanašajo na izdelavo kartiranja območij, potrebnih za nacionalne prispevke k skupnemu cilju Unije glede obnovljivih virov energije za leto 2030, določitev območij za pospešeno uvajanje obnovljivih virov energije, sodelovane javnosti pri določevanju teh območij ter izjeme pri presoji sprejemljivosti na naravo in presoje vplivov na okolje in v katerih so pogoji in rešitve jasne in ne dopuščajo večjih nacionalnih izjem. Predlog zakona določa, v katerih primerih so nekateri posegi na območjih za pospešeno uvajanje OVE izvzeti iz </w:t>
      </w:r>
      <w:proofErr w:type="spellStart"/>
      <w:r w:rsidRPr="00F52C67">
        <w:rPr>
          <w:color w:val="000000" w:themeColor="text1"/>
        </w:rPr>
        <w:t>okoljskih</w:t>
      </w:r>
      <w:proofErr w:type="spellEnd"/>
      <w:r w:rsidRPr="00F52C67">
        <w:rPr>
          <w:color w:val="000000" w:themeColor="text1"/>
        </w:rPr>
        <w:t xml:space="preserve"> presoj in kako se izvede preveritev, da so ti posegi skladni s pravili in ukrepi na območjih za pospešeno uvajanje OVE. Predlog zakona tudi določa, da členi, ki so urejali obvezno postavitev </w:t>
      </w:r>
      <w:proofErr w:type="spellStart"/>
      <w:r w:rsidRPr="00F52C67">
        <w:rPr>
          <w:color w:val="000000" w:themeColor="text1"/>
        </w:rPr>
        <w:t>fotonapetostnih</w:t>
      </w:r>
      <w:proofErr w:type="spellEnd"/>
      <w:r w:rsidRPr="00F52C67">
        <w:rPr>
          <w:color w:val="000000" w:themeColor="text1"/>
        </w:rPr>
        <w:t xml:space="preserve"> naprav na stavbah in parkiriščih, prenehajo veljati, a ostajajo v veljavi do sprejema novega Zakona o spodbujanju rabe obnovljivih virov energije, v katerega se bo prenesla ta vsebina. Dodane so še manjše izboljšave določenih členov, brez večjih vsebinskih sprememb. </w:t>
      </w:r>
    </w:p>
    <w:p w14:paraId="56FB5A3E" w14:textId="1CC2C326" w:rsidR="00F52C67" w:rsidRPr="00F52C67" w:rsidRDefault="00F52C67" w:rsidP="00F52C67">
      <w:pPr>
        <w:rPr>
          <w:color w:val="000000" w:themeColor="text1"/>
        </w:rPr>
      </w:pPr>
      <w:r w:rsidRPr="00F52C67">
        <w:rPr>
          <w:color w:val="000000" w:themeColor="text1"/>
        </w:rPr>
        <w:t>S predlogom zakona se ne uvajajo večje sistemske novosti, uvaja se le preveritev, ali neka naprava ustreza pravilom in ukrepom na prednostnem območju uvajanja OVE, pri čemer pa se v čim večji meri uporabijo že obstoječi instituti s področja graditve in presoje vplivov na okolje.</w:t>
      </w:r>
    </w:p>
    <w:p w14:paraId="17E03A76" w14:textId="1338C6C5" w:rsidR="007A4A2D" w:rsidRPr="007A4A2D" w:rsidRDefault="00F52C67" w:rsidP="00C757A5">
      <w:pPr>
        <w:pStyle w:val="Vir"/>
      </w:pPr>
      <w:r w:rsidRPr="00F52C67">
        <w:t>Vir: Ministrstvo za okolje, podnebje in energijo</w:t>
      </w:r>
    </w:p>
    <w:p w14:paraId="45D31185" w14:textId="573D5847" w:rsidR="00A07336" w:rsidRPr="00A07336" w:rsidRDefault="00A07336" w:rsidP="00A07336">
      <w:pPr>
        <w:pStyle w:val="Naslov2"/>
      </w:pPr>
      <w:r w:rsidRPr="00A07336">
        <w:t xml:space="preserve">Spremenjena in dopolnjena Uredba o zelenem javnem naročanju </w:t>
      </w:r>
    </w:p>
    <w:p w14:paraId="28CE52C2" w14:textId="77777777" w:rsidR="00A07336" w:rsidRPr="00A07336" w:rsidRDefault="00A07336" w:rsidP="00A07336">
      <w:pPr>
        <w:rPr>
          <w:color w:val="000000" w:themeColor="text1"/>
        </w:rPr>
      </w:pPr>
      <w:r w:rsidRPr="00A07336">
        <w:rPr>
          <w:color w:val="000000" w:themeColor="text1"/>
        </w:rPr>
        <w:t>Vlada Republike Slovenije je izdala Uredbo o spremembah in dopolnitvah Uredbe o zelenem javnem naročanju in jo objavi v Uradnem listu.</w:t>
      </w:r>
    </w:p>
    <w:p w14:paraId="0E499A98" w14:textId="77777777" w:rsidR="00A07336" w:rsidRPr="00A07336" w:rsidRDefault="00A07336" w:rsidP="00A07336">
      <w:pPr>
        <w:rPr>
          <w:color w:val="000000" w:themeColor="text1"/>
        </w:rPr>
      </w:pPr>
    </w:p>
    <w:p w14:paraId="38BC82F3" w14:textId="77777777" w:rsidR="00A07336" w:rsidRPr="00A07336" w:rsidRDefault="00A07336" w:rsidP="00A07336">
      <w:pPr>
        <w:rPr>
          <w:color w:val="000000" w:themeColor="text1"/>
        </w:rPr>
      </w:pPr>
      <w:r w:rsidRPr="00A07336">
        <w:rPr>
          <w:color w:val="000000" w:themeColor="text1"/>
        </w:rPr>
        <w:t>S predlagano spremembo se v slovenski pravni red prenaša del 7. člena in del Priloge IV ter del Priloge XIV Direktive (EU) 2023/1791 Evropskega parlamenta in Sveta z dne 13. septembra 2023 o energetski učinkovitosti in spremembi Uredbe (EU) 2023/955 (prenovitev). Direktiva nalaga, da morajo naročniki kupovati blago, storitve in gradnje le z visoko energetsko učinkovitostjo v skladu z zahtevami iz priloge IV k tej direktivi.</w:t>
      </w:r>
    </w:p>
    <w:p w14:paraId="32F873ED" w14:textId="77777777" w:rsidR="00A07336" w:rsidRPr="00A07336" w:rsidRDefault="00A07336" w:rsidP="00A07336">
      <w:pPr>
        <w:rPr>
          <w:color w:val="000000" w:themeColor="text1"/>
        </w:rPr>
      </w:pPr>
    </w:p>
    <w:p w14:paraId="6905774C" w14:textId="16FBA6F5" w:rsidR="00A07336" w:rsidRPr="00A07336" w:rsidRDefault="00A07336" w:rsidP="00A07336">
      <w:pPr>
        <w:rPr>
          <w:color w:val="000000" w:themeColor="text1"/>
        </w:rPr>
      </w:pPr>
      <w:r w:rsidRPr="00A07336">
        <w:rPr>
          <w:color w:val="000000" w:themeColor="text1"/>
        </w:rPr>
        <w:t xml:space="preserve">Dodajo se novi </w:t>
      </w:r>
      <w:proofErr w:type="spellStart"/>
      <w:r w:rsidRPr="00A07336">
        <w:rPr>
          <w:color w:val="000000" w:themeColor="text1"/>
        </w:rPr>
        <w:t>okoljski</w:t>
      </w:r>
      <w:proofErr w:type="spellEnd"/>
      <w:r w:rsidRPr="00A07336">
        <w:rPr>
          <w:color w:val="000000" w:themeColor="text1"/>
        </w:rPr>
        <w:t xml:space="preserve"> vidiki in cilji zelenega javnega naročanja kot je spodbujanje prenovljenih proizvodov ter vidik trajnosti in vidik krožnega gospodarstva. Dodajajo se nekateri novi predmeti, za katere je obvezno zeleno javno naročanje, dodatno pa se povečujejo deleži pri različnih, že obstoječih predmetih javnega naročanja, pri katerih je obvezno upoštevanje </w:t>
      </w:r>
      <w:proofErr w:type="spellStart"/>
      <w:r w:rsidRPr="00A07336">
        <w:rPr>
          <w:color w:val="000000" w:themeColor="text1"/>
        </w:rPr>
        <w:t>okoljskih</w:t>
      </w:r>
      <w:proofErr w:type="spellEnd"/>
      <w:r w:rsidRPr="00A07336">
        <w:rPr>
          <w:color w:val="000000" w:themeColor="text1"/>
        </w:rPr>
        <w:t xml:space="preserve"> vidikov. Pri nekaterih </w:t>
      </w:r>
      <w:r w:rsidRPr="00A07336">
        <w:rPr>
          <w:color w:val="000000" w:themeColor="text1"/>
        </w:rPr>
        <w:lastRenderedPageBreak/>
        <w:t>predmetih javnega naročanja se zaradi sprememb v terminologiji na trgu spreminjajo tudi poimenovanja.</w:t>
      </w:r>
    </w:p>
    <w:p w14:paraId="44B04394" w14:textId="4F40CF55" w:rsidR="00813B32" w:rsidRDefault="00A07336" w:rsidP="00A07336">
      <w:pPr>
        <w:pStyle w:val="Vir"/>
      </w:pPr>
      <w:r w:rsidRPr="00A07336">
        <w:t>Vir: Ministrstvo za javno upravo</w:t>
      </w:r>
    </w:p>
    <w:p w14:paraId="77DA1373" w14:textId="61247843" w:rsidR="00A014F8" w:rsidRPr="00A014F8" w:rsidRDefault="00A014F8" w:rsidP="00A014F8">
      <w:pPr>
        <w:pStyle w:val="Naslov2"/>
      </w:pPr>
      <w:r w:rsidRPr="00A014F8">
        <w:t>Uredba o oblikovanju cen določenih naftnih derivatov</w:t>
      </w:r>
    </w:p>
    <w:p w14:paraId="36BA452E" w14:textId="77777777" w:rsidR="00A014F8" w:rsidRPr="00A014F8" w:rsidRDefault="00A014F8" w:rsidP="00A014F8">
      <w:pPr>
        <w:rPr>
          <w:color w:val="000000" w:themeColor="text1"/>
        </w:rPr>
      </w:pPr>
      <w:r w:rsidRPr="00A014F8">
        <w:rPr>
          <w:color w:val="000000" w:themeColor="text1"/>
        </w:rPr>
        <w:t>Vlada je izdala Uredbo o oblikovanju cen določenih naftnih derivatov in jo objavi v Uradnem listu Republike Slovenije.</w:t>
      </w:r>
    </w:p>
    <w:p w14:paraId="22FCBCE5" w14:textId="77777777" w:rsidR="00A014F8" w:rsidRPr="00A014F8" w:rsidRDefault="00A014F8" w:rsidP="00A014F8">
      <w:pPr>
        <w:rPr>
          <w:color w:val="000000" w:themeColor="text1"/>
        </w:rPr>
      </w:pPr>
    </w:p>
    <w:p w14:paraId="54E76618" w14:textId="77777777" w:rsidR="00A014F8" w:rsidRPr="00A014F8" w:rsidRDefault="00A014F8" w:rsidP="00A014F8">
      <w:pPr>
        <w:rPr>
          <w:color w:val="000000" w:themeColor="text1"/>
        </w:rPr>
      </w:pPr>
      <w:r w:rsidRPr="00A014F8">
        <w:rPr>
          <w:color w:val="000000" w:themeColor="text1"/>
        </w:rPr>
        <w:t xml:space="preserve">Uredba določa mehanizem oblikovanja cen določenih naftnih derivatov, sestavine, ki jih morajo upoštevati podjetja, ki se ukvarjajo z dejavnostjo prodaje teh naftnih derivatov (distributerji), in merila, po katerih se morajo oblikovati cene ali njihove sestavine. </w:t>
      </w:r>
    </w:p>
    <w:p w14:paraId="4C449CCE" w14:textId="77777777" w:rsidR="00A014F8" w:rsidRPr="00A014F8" w:rsidRDefault="00A014F8" w:rsidP="00A014F8">
      <w:pPr>
        <w:rPr>
          <w:color w:val="000000" w:themeColor="text1"/>
        </w:rPr>
      </w:pPr>
      <w:r w:rsidRPr="00A014F8">
        <w:rPr>
          <w:color w:val="000000" w:themeColor="text1"/>
        </w:rPr>
        <w:t>Mehanizem oblikovanja cen naftnih derivatov, sestavine, ki jih morajo upoštevati distributerji, in merila, po katerih se morajo oblikovati cene ali njihove sestavine, navedene v uredbi, se  uporabljajo za oblikovanje cen naftnih derivatov, ki se prodajajo na vseh bencinskih servisih v Republiki Sloveniji.</w:t>
      </w:r>
    </w:p>
    <w:p w14:paraId="7F406EDD" w14:textId="77777777" w:rsidR="00A014F8" w:rsidRPr="00A014F8" w:rsidRDefault="00A014F8" w:rsidP="00A014F8">
      <w:pPr>
        <w:rPr>
          <w:color w:val="000000" w:themeColor="text1"/>
        </w:rPr>
      </w:pPr>
    </w:p>
    <w:p w14:paraId="65EA00EE" w14:textId="77777777" w:rsidR="00A014F8" w:rsidRPr="00A014F8" w:rsidRDefault="00A014F8" w:rsidP="00A014F8">
      <w:pPr>
        <w:rPr>
          <w:color w:val="000000" w:themeColor="text1"/>
        </w:rPr>
      </w:pPr>
      <w:r w:rsidRPr="00A014F8">
        <w:rPr>
          <w:color w:val="000000" w:themeColor="text1"/>
        </w:rPr>
        <w:t xml:space="preserve">Cena neosvinčenega 95-oktanskega bencina in dizelskega goriva se izračunava na podlagi metodologije, ki temelji na gibanju cen naftnih derivatov na svetovnem trgu (Vir: PLATT'S </w:t>
      </w:r>
      <w:proofErr w:type="spellStart"/>
      <w:r w:rsidRPr="00A014F8">
        <w:rPr>
          <w:color w:val="000000" w:themeColor="text1"/>
        </w:rPr>
        <w:t>European</w:t>
      </w:r>
      <w:proofErr w:type="spellEnd"/>
      <w:r w:rsidRPr="00A014F8">
        <w:rPr>
          <w:color w:val="000000" w:themeColor="text1"/>
        </w:rPr>
        <w:t xml:space="preserve"> </w:t>
      </w:r>
      <w:proofErr w:type="spellStart"/>
      <w:r w:rsidRPr="00A014F8">
        <w:rPr>
          <w:color w:val="000000" w:themeColor="text1"/>
        </w:rPr>
        <w:t>Marketscan</w:t>
      </w:r>
      <w:proofErr w:type="spellEnd"/>
      <w:r w:rsidRPr="00A014F8">
        <w:rPr>
          <w:color w:val="000000" w:themeColor="text1"/>
        </w:rPr>
        <w:t xml:space="preserve">) in gibanju tečaja USD/eur. Tako dobljeni modelski ceni mineralnega naftnega derivata se nato doda še dodatek za </w:t>
      </w:r>
      <w:proofErr w:type="spellStart"/>
      <w:r w:rsidRPr="00A014F8">
        <w:rPr>
          <w:color w:val="000000" w:themeColor="text1"/>
        </w:rPr>
        <w:t>biokomponento</w:t>
      </w:r>
      <w:proofErr w:type="spellEnd"/>
      <w:r w:rsidRPr="00A014F8">
        <w:rPr>
          <w:color w:val="000000" w:themeColor="text1"/>
        </w:rPr>
        <w:t xml:space="preserve"> v eurih/liter (</w:t>
      </w:r>
      <w:proofErr w:type="spellStart"/>
      <w:r w:rsidRPr="00A014F8">
        <w:rPr>
          <w:color w:val="000000" w:themeColor="text1"/>
        </w:rPr>
        <w:t>Δt</w:t>
      </w:r>
      <w:proofErr w:type="spellEnd"/>
      <w:r w:rsidRPr="00A014F8">
        <w:rPr>
          <w:color w:val="000000" w:themeColor="text1"/>
        </w:rPr>
        <w:t xml:space="preserve"> (</w:t>
      </w:r>
      <w:proofErr w:type="spellStart"/>
      <w:r w:rsidRPr="00A014F8">
        <w:rPr>
          <w:color w:val="000000" w:themeColor="text1"/>
        </w:rPr>
        <w:t>Bio</w:t>
      </w:r>
      <w:proofErr w:type="spellEnd"/>
      <w:r w:rsidRPr="00A014F8">
        <w:rPr>
          <w:color w:val="000000" w:themeColor="text1"/>
        </w:rPr>
        <w:t xml:space="preserve">-)), ki se izračuna posebej za mineralne bencine in posebej za mineralni dizel. Modelske cene se izračunavajo na podlagi 14-dnevnih povprečij cen mineralnih naftnih derivatov in 14-dnevnega povprečja cen </w:t>
      </w:r>
      <w:proofErr w:type="spellStart"/>
      <w:r w:rsidRPr="00A014F8">
        <w:rPr>
          <w:color w:val="000000" w:themeColor="text1"/>
        </w:rPr>
        <w:t>biogoriv</w:t>
      </w:r>
      <w:proofErr w:type="spellEnd"/>
      <w:r w:rsidRPr="00A014F8">
        <w:rPr>
          <w:color w:val="000000" w:themeColor="text1"/>
        </w:rPr>
        <w:t>. S to uredbo se določa najvišja dovoljena višina marže v maloprodaji na vseh bencinskih servisih za dizel 0,0983 eura/liter, za NMB-95 0,0994 eura/liter in za KOEL 0,08 eura/liter.</w:t>
      </w:r>
    </w:p>
    <w:p w14:paraId="5D3292FC" w14:textId="77777777" w:rsidR="00A014F8" w:rsidRPr="00A014F8" w:rsidRDefault="00A014F8" w:rsidP="00A014F8">
      <w:pPr>
        <w:rPr>
          <w:color w:val="000000" w:themeColor="text1"/>
        </w:rPr>
      </w:pPr>
    </w:p>
    <w:p w14:paraId="783DB64B" w14:textId="77777777" w:rsidR="00A014F8" w:rsidRPr="00A014F8" w:rsidRDefault="00A014F8" w:rsidP="00A014F8">
      <w:pPr>
        <w:rPr>
          <w:color w:val="000000" w:themeColor="text1"/>
        </w:rPr>
      </w:pPr>
      <w:r w:rsidRPr="00A014F8">
        <w:rPr>
          <w:color w:val="000000" w:themeColor="text1"/>
        </w:rPr>
        <w:t xml:space="preserve">V primeru, da se z Uredbo ne bi oblikovala najvišja cena na trgu, bi se drobnoprodajne cene bencina, plinskega olja za pogon in ogrevanje zvišale, kar lahko vpliva na konkurenčnost podjetij na mednarodnih trgih oz. kar lahko vpliva na socialni položaj končnih potrošnikov. </w:t>
      </w:r>
    </w:p>
    <w:p w14:paraId="4D6A60EC" w14:textId="44795362" w:rsidR="00A014F8" w:rsidRPr="00A014F8" w:rsidRDefault="00A014F8" w:rsidP="00A014F8">
      <w:pPr>
        <w:rPr>
          <w:color w:val="000000" w:themeColor="text1"/>
        </w:rPr>
      </w:pPr>
      <w:r w:rsidRPr="00A014F8">
        <w:rPr>
          <w:color w:val="000000" w:themeColor="text1"/>
        </w:rPr>
        <w:t>Uredba začne veljati z regulativnim obdobjem, ki se začne 17. junija 2025, in velja šest mesecev.</w:t>
      </w:r>
    </w:p>
    <w:p w14:paraId="610464CC" w14:textId="251FE44D" w:rsidR="00396FAC" w:rsidRPr="007E7018" w:rsidRDefault="00A014F8" w:rsidP="007E7018">
      <w:pPr>
        <w:pStyle w:val="Vir"/>
      </w:pPr>
      <w:r w:rsidRPr="00A014F8">
        <w:t>Vir: Ministrstvo za okolje, podnebje in energijo</w:t>
      </w:r>
    </w:p>
    <w:p w14:paraId="4BA03EC4" w14:textId="34C5FC2B" w:rsidR="00603729" w:rsidRPr="00603729" w:rsidRDefault="00603729" w:rsidP="00603729">
      <w:pPr>
        <w:pStyle w:val="Naslov2"/>
      </w:pPr>
      <w:r w:rsidRPr="00603729">
        <w:t>Vlada z novo uredbo odpravlja neenakopravno obravnavo imetnikov vodnih pravic</w:t>
      </w:r>
    </w:p>
    <w:p w14:paraId="5D94C329" w14:textId="56201332" w:rsidR="00603729" w:rsidRPr="00603729" w:rsidRDefault="00603729" w:rsidP="00603729">
      <w:pPr>
        <w:rPr>
          <w:color w:val="000000" w:themeColor="text1"/>
        </w:rPr>
      </w:pPr>
      <w:r w:rsidRPr="00603729">
        <w:rPr>
          <w:color w:val="000000" w:themeColor="text1"/>
        </w:rPr>
        <w:t>Vlada je sprejela uredbo, ki odpravlja neenakopravno obravnavo med imetniki vodnih pravic. Sprejem uredbe ne bo vplival na ceno pitne vode.</w:t>
      </w:r>
    </w:p>
    <w:p w14:paraId="2F0FF38E" w14:textId="77777777" w:rsidR="00603729" w:rsidRPr="00603729" w:rsidRDefault="00603729" w:rsidP="00603729">
      <w:pPr>
        <w:rPr>
          <w:color w:val="000000" w:themeColor="text1"/>
        </w:rPr>
      </w:pPr>
      <w:r w:rsidRPr="00603729">
        <w:rPr>
          <w:color w:val="000000" w:themeColor="text1"/>
        </w:rPr>
        <w:t xml:space="preserve">Vodna pravica je lahko podeljena s koncesijsko pogodbo ali vodnim dovoljenjem. Zakon o vodah, sprejet leta 2002, je določil, da se za vsako rabo vode plačuje plačilo za vodno pravico in vodno povračilo. Ta določba zakona se je uveljavila le za imetnike vodne pravice, ki so imeli sklenjene koncesijske pogodbe za rabo vode, medtem ko se za imetnike vodnih dovoljenj ni uveljavljala. S tem je prišlo do neenakopravnega položaja imetnikov vodnih pravic, ki ga ta uredba odpravlja. </w:t>
      </w:r>
    </w:p>
    <w:p w14:paraId="11FF6B80" w14:textId="77777777" w:rsidR="00603729" w:rsidRPr="00603729" w:rsidRDefault="00603729" w:rsidP="00603729">
      <w:pPr>
        <w:rPr>
          <w:color w:val="000000" w:themeColor="text1"/>
        </w:rPr>
      </w:pPr>
      <w:r w:rsidRPr="00603729">
        <w:rPr>
          <w:color w:val="000000" w:themeColor="text1"/>
        </w:rPr>
        <w:t xml:space="preserve">Na neenakost so večkrat opozorili Računsko sodišče, Komisija za preprečevanje korupcije, Evropska komisija, kot tudi nekateri imetniki vodnih pravic. Z novo uredbo tako zagotavljamo enakopravno obravnavo vseh subjektov, ki za svojo dejavnost rabijo vodo. </w:t>
      </w:r>
    </w:p>
    <w:p w14:paraId="0ECBC9F8" w14:textId="77777777" w:rsidR="00603729" w:rsidRPr="00603729" w:rsidRDefault="00603729" w:rsidP="00603729">
      <w:pPr>
        <w:rPr>
          <w:color w:val="000000" w:themeColor="text1"/>
        </w:rPr>
      </w:pPr>
      <w:r w:rsidRPr="00603729">
        <w:rPr>
          <w:color w:val="000000" w:themeColor="text1"/>
        </w:rPr>
        <w:t>Vsa sredstva iz naslova rabe voda (</w:t>
      </w:r>
      <w:proofErr w:type="spellStart"/>
      <w:r w:rsidRPr="00603729">
        <w:rPr>
          <w:color w:val="000000" w:themeColor="text1"/>
        </w:rPr>
        <w:t>koncesnina</w:t>
      </w:r>
      <w:proofErr w:type="spellEnd"/>
      <w:r w:rsidRPr="00603729">
        <w:rPr>
          <w:color w:val="000000" w:themeColor="text1"/>
        </w:rPr>
        <w:t xml:space="preserve">, </w:t>
      </w:r>
      <w:proofErr w:type="spellStart"/>
      <w:r w:rsidRPr="00603729">
        <w:rPr>
          <w:color w:val="000000" w:themeColor="text1"/>
        </w:rPr>
        <w:t>dovolnina</w:t>
      </w:r>
      <w:proofErr w:type="spellEnd"/>
      <w:r w:rsidRPr="00603729">
        <w:rPr>
          <w:color w:val="000000" w:themeColor="text1"/>
        </w:rPr>
        <w:t xml:space="preserve"> in vodno povračilo) so namenjena varovanju vodnih virov, urejanju voda, zmanjševanju poplavne ogroženosti, izboljšanju oskrbe s pitno vodo ter odvajanju in čiščenju odpadnih voda. Hkrati uredba spodbuja odgovorno in trajnostno rabo vode. </w:t>
      </w:r>
    </w:p>
    <w:p w14:paraId="6ECF460A" w14:textId="55594A90" w:rsidR="00603729" w:rsidRPr="00603729" w:rsidRDefault="00603729" w:rsidP="00603729">
      <w:pPr>
        <w:rPr>
          <w:color w:val="000000" w:themeColor="text1"/>
        </w:rPr>
      </w:pPr>
      <w:r w:rsidRPr="00603729">
        <w:rPr>
          <w:color w:val="000000" w:themeColor="text1"/>
        </w:rPr>
        <w:t>Področje oskrbe prebivalstva s pitno vodo ostaja nespremenjeno.</w:t>
      </w:r>
    </w:p>
    <w:p w14:paraId="45909139" w14:textId="3943A738" w:rsidR="00603729" w:rsidRPr="00707EDB" w:rsidRDefault="00603729" w:rsidP="00707EDB">
      <w:pPr>
        <w:pStyle w:val="Vir"/>
      </w:pPr>
      <w:r w:rsidRPr="00707EDB">
        <w:t>Vir:</w:t>
      </w:r>
      <w:r w:rsidR="00707EDB" w:rsidRPr="00707EDB">
        <w:t xml:space="preserve"> Ministrstvo za naravne vire in prostor</w:t>
      </w:r>
    </w:p>
    <w:p w14:paraId="477787D9" w14:textId="6E7C086E" w:rsidR="00FE34A3" w:rsidRPr="00FE34A3" w:rsidRDefault="00FE34A3" w:rsidP="00FE34A3">
      <w:pPr>
        <w:pStyle w:val="Naslov2"/>
        <w:rPr>
          <w:color w:val="FF0000"/>
        </w:rPr>
      </w:pPr>
      <w:r>
        <w:lastRenderedPageBreak/>
        <w:t>Sprejete spremembe Uredbe o upravljanju kakovosti kopalnih voda</w:t>
      </w:r>
    </w:p>
    <w:p w14:paraId="62CA0B03" w14:textId="4DBA5EE5" w:rsidR="00FE34A3" w:rsidRDefault="00FE34A3" w:rsidP="00FE34A3">
      <w:r>
        <w:t>Vlada je izdala Uredbo o spremembah in dopolnitvah Uredbe o upravljanju kakovosti kopalnih voda. Z njo določamo 49 lokacij, na katerih bo država redno spremljala kakovost vode. Na teh lokacijah bo obveščala kopalce o kakovosti vode in zagotavljala ukrepe, če se kakovost zmanjša. V tem primeru bo prioritetno ukrepala za izboljšanje kakovosti.</w:t>
      </w:r>
    </w:p>
    <w:p w14:paraId="3FF1ED2F" w14:textId="00C3636D" w:rsidR="00CB6E8F" w:rsidRPr="00202CA6" w:rsidRDefault="00534EC5" w:rsidP="00202CA6">
      <w:pPr>
        <w:pStyle w:val="Vir"/>
      </w:pPr>
      <w:r w:rsidRPr="00534EC5">
        <w:t>Vir: Ministrstvo za naravne vire in prostor</w:t>
      </w:r>
    </w:p>
    <w:p w14:paraId="3BEF7D70" w14:textId="7552867B" w:rsidR="008708E2" w:rsidRPr="008708E2" w:rsidRDefault="008708E2" w:rsidP="008708E2">
      <w:pPr>
        <w:pStyle w:val="Naslov2"/>
      </w:pPr>
      <w:r w:rsidRPr="008708E2">
        <w:t>Vlada se je seznanila s tretjim poročilom o delovanju Delovne skupine Vlade Republike Slovenije za koordinacijo pripravljalnih aktivnosti na projektu JEK2</w:t>
      </w:r>
    </w:p>
    <w:p w14:paraId="7CF82390" w14:textId="77777777" w:rsidR="008708E2" w:rsidRPr="008708E2" w:rsidRDefault="008708E2" w:rsidP="008708E2">
      <w:pPr>
        <w:rPr>
          <w:color w:val="000000" w:themeColor="text1"/>
        </w:rPr>
      </w:pPr>
      <w:r w:rsidRPr="008708E2">
        <w:rPr>
          <w:color w:val="000000" w:themeColor="text1"/>
        </w:rPr>
        <w:t xml:space="preserve">Prioriteta vladne delovne skupine ostajajo pripravljalne aktivnosti, s katerimi se projekt JEK2 pripravi do končne investicijske odločitve. Sklopi prioritetnih pripravljalnih aktivnosti obsegajo umeščanje v prostor in pripravo modela financiranja. </w:t>
      </w:r>
    </w:p>
    <w:p w14:paraId="5679540E" w14:textId="77777777" w:rsidR="008708E2" w:rsidRPr="008708E2" w:rsidRDefault="008708E2" w:rsidP="008708E2">
      <w:pPr>
        <w:rPr>
          <w:color w:val="000000" w:themeColor="text1"/>
        </w:rPr>
      </w:pPr>
    </w:p>
    <w:p w14:paraId="079A89F6" w14:textId="77777777" w:rsidR="008708E2" w:rsidRPr="008708E2" w:rsidRDefault="008708E2" w:rsidP="008708E2">
      <w:pPr>
        <w:rPr>
          <w:color w:val="000000" w:themeColor="text1"/>
        </w:rPr>
      </w:pPr>
      <w:r w:rsidRPr="008708E2">
        <w:rPr>
          <w:color w:val="000000" w:themeColor="text1"/>
        </w:rPr>
        <w:t xml:space="preserve">Znotraj delovne skupine je bila ustanovljena Ožja delovna skupina za pripravo modela financiranja JEK2. Ožja delovna skupina je sestavljena iz predstavnikov MF, MOPE, KPV in GEN energije, njen namen in glavne naloge pa so preučitev različnih modelov financiranja, podaja predloga najbolj optimalnega modela financiranja JEK2 ter priprava pripadajočih zakonskih vsebin. </w:t>
      </w:r>
    </w:p>
    <w:p w14:paraId="4EAB52EC" w14:textId="77777777" w:rsidR="008708E2" w:rsidRPr="008708E2" w:rsidRDefault="008708E2" w:rsidP="008708E2">
      <w:pPr>
        <w:rPr>
          <w:color w:val="000000" w:themeColor="text1"/>
        </w:rPr>
      </w:pPr>
    </w:p>
    <w:p w14:paraId="1D98F630" w14:textId="77777777" w:rsidR="008708E2" w:rsidRPr="008708E2" w:rsidRDefault="008708E2" w:rsidP="008708E2">
      <w:pPr>
        <w:rPr>
          <w:color w:val="000000" w:themeColor="text1"/>
        </w:rPr>
      </w:pPr>
      <w:r w:rsidRPr="008708E2">
        <w:rPr>
          <w:color w:val="000000" w:themeColor="text1"/>
        </w:rPr>
        <w:t xml:space="preserve">Na eni izmed sej delovne skupine je bil s strani Regionalne razvojne agencije Posavje predstavljen vpliv projekta JEK2 na razvojne potrebe regije Posavje. Posebej so bili izpostavljeni pričakovani gospodarski in družbeni učinki projekta JEK2 na regijo ter potreba po pripravi Zakona o razvojnih potrebah regije Posavje ob sprejemanju državnega prostorskega načrta za projekt JEK2. Med drugim je bil poudarjen tudi pomen usklajenega sodelovanja med državo, lokalnimi skupnostmi in energetskim sektorjem pri nadaljnjem razvoju projekta. </w:t>
      </w:r>
    </w:p>
    <w:p w14:paraId="102949BC" w14:textId="77777777" w:rsidR="008708E2" w:rsidRPr="008708E2" w:rsidRDefault="008708E2" w:rsidP="008708E2">
      <w:pPr>
        <w:rPr>
          <w:color w:val="000000" w:themeColor="text1"/>
        </w:rPr>
      </w:pPr>
    </w:p>
    <w:p w14:paraId="1AFE70EA" w14:textId="77777777" w:rsidR="008708E2" w:rsidRPr="008708E2" w:rsidRDefault="008708E2" w:rsidP="008708E2">
      <w:pPr>
        <w:rPr>
          <w:color w:val="000000" w:themeColor="text1"/>
        </w:rPr>
      </w:pPr>
      <w:r w:rsidRPr="008708E2">
        <w:rPr>
          <w:color w:val="000000" w:themeColor="text1"/>
        </w:rPr>
        <w:t xml:space="preserve">Vlada Republike Slovenije je tako naložila Ministrstvu za kohezijo in regionalni razvoj, da pripravi strokovne podlage in zakonske vsebine za pripravo predloga Zakona o razvojnih potrebah regije Posavje ter o njih seznani vlado. </w:t>
      </w:r>
    </w:p>
    <w:p w14:paraId="2E3E7CA7" w14:textId="77777777" w:rsidR="008708E2" w:rsidRPr="008708E2" w:rsidRDefault="008708E2" w:rsidP="008708E2">
      <w:pPr>
        <w:rPr>
          <w:color w:val="000000" w:themeColor="text1"/>
        </w:rPr>
      </w:pPr>
    </w:p>
    <w:p w14:paraId="095CA452" w14:textId="0341887A" w:rsidR="008708E2" w:rsidRPr="008708E2" w:rsidRDefault="008708E2" w:rsidP="008708E2">
      <w:pPr>
        <w:rPr>
          <w:color w:val="000000" w:themeColor="text1"/>
        </w:rPr>
      </w:pPr>
      <w:r w:rsidRPr="008708E2">
        <w:rPr>
          <w:color w:val="000000" w:themeColor="text1"/>
        </w:rPr>
        <w:t>Priprava takšnega zakona je potrebna in utemeljena, saj država in regije trenutno pripravljajo razvojne prostorske načrte, ki bodo pomembno vplivali na prihodnjo prostorsko in infrastrukturno ureditev, poleg tega pa se začenja priprava državnega prostorskega načrta za JEK2. Zaradi usklajenosti in sočasnosti teh procesov je zdaj primeren trenutek, da se vzporedno z razvojnimi načrti prične tudi priprava razvojnega zakona, ki bo dolgoročno podprl celovit razvoj regije Posavje in zagotovil enakomeren ter pravičen izkoristek priložnosti, ki jih prinaša projekt JEK2.</w:t>
      </w:r>
    </w:p>
    <w:p w14:paraId="19DE3A52" w14:textId="46445EB3" w:rsidR="00CC02D1" w:rsidRPr="00CC02D1" w:rsidRDefault="008708E2" w:rsidP="00272247">
      <w:pPr>
        <w:pStyle w:val="Vir"/>
      </w:pPr>
      <w:r w:rsidRPr="008708E2">
        <w:t>Vir: Kabinet predsednika vlade</w:t>
      </w:r>
    </w:p>
    <w:p w14:paraId="22D4153E" w14:textId="1842C84C" w:rsidR="00695021" w:rsidRPr="00695021" w:rsidRDefault="00695021" w:rsidP="00695021">
      <w:pPr>
        <w:pStyle w:val="Naslov2"/>
      </w:pPr>
      <w:r w:rsidRPr="00695021">
        <w:t>Vlada sprejela pismo o nameri za gradnjo žičniške naprave oz. žičniških naprav med Bovcem in Kaninom</w:t>
      </w:r>
    </w:p>
    <w:p w14:paraId="48E69CDD" w14:textId="77777777" w:rsidR="00695021" w:rsidRPr="00695021" w:rsidRDefault="00695021" w:rsidP="00695021">
      <w:r w:rsidRPr="00695021">
        <w:t>Vlada Republike Slovenije je sprejela pismo o nameri za gradnjo žičniške naprave oz. žičniških naprav med Bovcem in Kaninom in za podpis pooblastila Mateja Arčona, podpredsednika Vlade Republike Slovenije. Občino Bovec se s pismom o nameri seznani s pogoji, pod katerimi Republika Slovenija lahko izvede investicijo gradnje žičniške naprave oziroma žičniških naprav za dostop na Kanin, vse z namenom vzpostavitve razmer za ponovno obratovanje smučišča Kanin.</w:t>
      </w:r>
    </w:p>
    <w:p w14:paraId="521C9EBB" w14:textId="77777777" w:rsidR="00695021" w:rsidRPr="00695021" w:rsidRDefault="00695021" w:rsidP="00695021"/>
    <w:p w14:paraId="2F023A9C" w14:textId="77777777" w:rsidR="00695021" w:rsidRPr="00695021" w:rsidRDefault="00695021" w:rsidP="00695021">
      <w:r w:rsidRPr="00695021">
        <w:t xml:space="preserve">Smučišče Kanin je najvišje ležeče smučišče v Sloveniji in je povezano z Italijanskim smučiščem </w:t>
      </w:r>
      <w:proofErr w:type="spellStart"/>
      <w:r w:rsidRPr="00695021">
        <w:t>Sella</w:t>
      </w:r>
      <w:proofErr w:type="spellEnd"/>
      <w:r w:rsidRPr="00695021">
        <w:t xml:space="preserve"> </w:t>
      </w:r>
      <w:proofErr w:type="spellStart"/>
      <w:r w:rsidRPr="00695021">
        <w:t>Nevea</w:t>
      </w:r>
      <w:proofErr w:type="spellEnd"/>
      <w:r w:rsidRPr="00695021">
        <w:t xml:space="preserve">. Od oktobra 2023 žičniške naprave in smučišče ne obratujejo. Glavni razlog za </w:t>
      </w:r>
      <w:proofErr w:type="spellStart"/>
      <w:r w:rsidRPr="00695021">
        <w:t>neobratovanje</w:t>
      </w:r>
      <w:proofErr w:type="spellEnd"/>
      <w:r w:rsidRPr="00695021">
        <w:t xml:space="preserve"> je tehnična </w:t>
      </w:r>
      <w:proofErr w:type="spellStart"/>
      <w:r w:rsidRPr="00695021">
        <w:t>neizpravnost</w:t>
      </w:r>
      <w:proofErr w:type="spellEnd"/>
      <w:r w:rsidRPr="00695021">
        <w:t xml:space="preserve"> krožno kabinske žičnice Kanin, ki je ključna za dostop na smučišče iz Bovca. </w:t>
      </w:r>
      <w:r w:rsidRPr="00695021">
        <w:lastRenderedPageBreak/>
        <w:t xml:space="preserve">Naprava je zgrajena v treh odsekih in je stara 51 let. Na smučišču Kanin je postavljenih pet žičniških naprav, ki jim je že potekla veljavnost dovoljenj za obratovanje. S smučiščem trenutno upravlja družba Sončni Kanin d. o. o., katere ustanoviteljica je Občina Bovec. </w:t>
      </w:r>
    </w:p>
    <w:p w14:paraId="038F41E0" w14:textId="77777777" w:rsidR="00695021" w:rsidRPr="00695021" w:rsidRDefault="00695021" w:rsidP="00695021"/>
    <w:p w14:paraId="29DEE1A1" w14:textId="77777777" w:rsidR="00695021" w:rsidRPr="00695021" w:rsidRDefault="00695021" w:rsidP="00695021">
      <w:r w:rsidRPr="00695021">
        <w:t xml:space="preserve">Občina Bovec se je po ustavitvi obratovanja krožno kabinske žičnice s prošnjo za pomoč obrnila na Ministrstvo za infrastrukturo ter Ministrstvo za gospodarstvo, turizem in šport. Prejeta je bila tudi vloga promotorja za izvedbo javno-zasebnega partnerstva, ki je bila ocenjena kot neustrezna in zato zavrnjena. </w:t>
      </w:r>
    </w:p>
    <w:p w14:paraId="66829A41" w14:textId="77777777" w:rsidR="00695021" w:rsidRPr="00695021" w:rsidRDefault="00695021" w:rsidP="00695021"/>
    <w:p w14:paraId="3B64955E" w14:textId="77777777" w:rsidR="00695021" w:rsidRPr="00695021" w:rsidRDefault="00695021" w:rsidP="00695021">
      <w:r w:rsidRPr="00695021">
        <w:t xml:space="preserve">Ker individualno reševanje problematike zamenjave starejših žičniških naprav z novimi z vidika državnih pomoči ni dopustno, Vlada s sprejemom pisma o nameri Občini Bovec predlaga, da po pridobitvi pravnomočnega gradbenega dovoljenja za gradnjo žičniške naprave oziroma žičniških naprav med Bovcem in Kaninom Občina Bovec le-tega prenese na Republiko Slovenijo. Občina Bovec mora v roku enega leta po podpisu pisma o nameri pridobiti pravnomočno gradbeno dovoljenje in ga prenesti na državo. Pred prenosom </w:t>
      </w:r>
      <w:proofErr w:type="spellStart"/>
      <w:r w:rsidRPr="00695021">
        <w:t>investitorstva</w:t>
      </w:r>
      <w:proofErr w:type="spellEnd"/>
      <w:r w:rsidRPr="00695021">
        <w:t xml:space="preserve"> na Republiko Slovenijo mora Vlado seznaniti s pogodbo z investitorjem o obnovi oziroma izgradnji ostalih žičniških naprav na Kaninu ter posredovati dokazila o investitorjevi finančni, organizacijski, kadrovski in strokovni sposobnosti izvedbe investicije in v nadaljevanju upravljanja z žičniškimi napravami in smučiščem. </w:t>
      </w:r>
    </w:p>
    <w:p w14:paraId="1CC30441" w14:textId="77777777" w:rsidR="00695021" w:rsidRPr="00695021" w:rsidRDefault="00695021" w:rsidP="00695021"/>
    <w:p w14:paraId="51885B1B" w14:textId="3C077A35" w:rsidR="00695021" w:rsidRPr="00695021" w:rsidRDefault="00695021" w:rsidP="00695021">
      <w:r w:rsidRPr="00695021">
        <w:t xml:space="preserve">Vlada bo po prijavi spremembe investitorja izvedla aktivnosti za izgradnjo žičniške povezave med Bovcem in Kaninom za ponovno obratovanje smučišča, ki je povezano z italijanskim smučiščem </w:t>
      </w:r>
      <w:proofErr w:type="spellStart"/>
      <w:r w:rsidRPr="00695021">
        <w:t>Sella</w:t>
      </w:r>
      <w:proofErr w:type="spellEnd"/>
      <w:r w:rsidRPr="00695021">
        <w:t xml:space="preserve"> </w:t>
      </w:r>
      <w:proofErr w:type="spellStart"/>
      <w:r w:rsidRPr="00695021">
        <w:t>Nevea</w:t>
      </w:r>
      <w:proofErr w:type="spellEnd"/>
      <w:r w:rsidRPr="00695021">
        <w:t xml:space="preserve">, z namenom pospeševanje razvoja turizma, rekreativnih dejavnosti in gospodarskega ter družbenega razvoja območja Bovca z okolico. </w:t>
      </w:r>
    </w:p>
    <w:p w14:paraId="4CFE5E3D" w14:textId="05E80EDC" w:rsidR="00742BE6" w:rsidRDefault="00695021" w:rsidP="00695021">
      <w:pPr>
        <w:pStyle w:val="Vir"/>
      </w:pPr>
      <w:r w:rsidRPr="00695021">
        <w:t>Vir: Ministrstvo za infrastrukturo</w:t>
      </w:r>
    </w:p>
    <w:p w14:paraId="11E07BF3" w14:textId="3284F05F" w:rsidR="00CB5580" w:rsidRPr="00CB5580" w:rsidRDefault="00CB5580" w:rsidP="00CB5580">
      <w:pPr>
        <w:pStyle w:val="Naslov2"/>
      </w:pPr>
      <w:r w:rsidRPr="00CB5580">
        <w:t>Minister Boštjan Poklukar zavrača očitke v interpelaciji</w:t>
      </w:r>
    </w:p>
    <w:p w14:paraId="4EA40231" w14:textId="77777777" w:rsidR="00CB5580" w:rsidRPr="00CB5580" w:rsidRDefault="00CB5580" w:rsidP="00CB5580">
      <w:r w:rsidRPr="00CB5580">
        <w:t>Vlada Republike Slovenije se je seznanila z odgovorom na interpelacijo o delu in odgovornosti ministra za notranje zadeve Boštjana Poklukarja, ki je bila 30. maja 2025 vložena zoper ministra za notranje zadeve Boštjana Poklukarja, in podprla odgovor ministra.</w:t>
      </w:r>
    </w:p>
    <w:p w14:paraId="04F4EA98" w14:textId="77777777" w:rsidR="00CB5580" w:rsidRPr="00CB5580" w:rsidRDefault="00CB5580" w:rsidP="00CB5580"/>
    <w:p w14:paraId="079BDA2D" w14:textId="525798EC" w:rsidR="00CB5580" w:rsidRPr="00CB5580" w:rsidRDefault="00CB5580" w:rsidP="00CB5580">
      <w:r w:rsidRPr="00CB5580">
        <w:t>Minister za notranje zadeve v celoti in odločno zavrača očitke v interpelaciji.</w:t>
      </w:r>
    </w:p>
    <w:p w14:paraId="46E97BB2" w14:textId="05928814" w:rsidR="00214F5E" w:rsidRPr="00214F5E" w:rsidRDefault="00CB5580" w:rsidP="00CB5580">
      <w:pPr>
        <w:pStyle w:val="Vir"/>
      </w:pPr>
      <w:r w:rsidRPr="00CB5580">
        <w:t>Vir: Ministrstvo za notranje zadeve</w:t>
      </w:r>
    </w:p>
    <w:p w14:paraId="36969FED" w14:textId="156DAE72" w:rsidR="00985077" w:rsidRPr="00985077" w:rsidRDefault="00985077" w:rsidP="00985077">
      <w:pPr>
        <w:pStyle w:val="Naslov2"/>
      </w:pPr>
      <w:r>
        <w:t>I</w:t>
      </w:r>
      <w:r w:rsidRPr="00985077">
        <w:t>menovanj</w:t>
      </w:r>
      <w:r>
        <w:t>e</w:t>
      </w:r>
      <w:r w:rsidRPr="00985077">
        <w:t xml:space="preserve"> vršilca dolžnosti generalnega sekretarja v Ministrstvu za digitalno preobrazbo</w:t>
      </w:r>
    </w:p>
    <w:p w14:paraId="4B822189" w14:textId="503A59BF" w:rsidR="00985077" w:rsidRPr="00985077" w:rsidRDefault="00985077" w:rsidP="00985077">
      <w:pPr>
        <w:rPr>
          <w:color w:val="000000" w:themeColor="text1"/>
        </w:rPr>
      </w:pPr>
      <w:r w:rsidRPr="00985077">
        <w:rPr>
          <w:color w:val="000000" w:themeColor="text1"/>
        </w:rPr>
        <w:t xml:space="preserve">Vlada Republike Slovenije je imenovala Žarka </w:t>
      </w:r>
      <w:proofErr w:type="spellStart"/>
      <w:r w:rsidRPr="00985077">
        <w:rPr>
          <w:color w:val="000000" w:themeColor="text1"/>
        </w:rPr>
        <w:t>Bogunoviča</w:t>
      </w:r>
      <w:proofErr w:type="spellEnd"/>
      <w:r w:rsidRPr="00985077">
        <w:rPr>
          <w:color w:val="000000" w:themeColor="text1"/>
        </w:rPr>
        <w:t xml:space="preserve"> za vršilca dolžnosti generalnega sekretarja na Ministrstvu za digitalno preobrazbo, in sicer z dnem 18. 6. 2025, do imenovanja generalnega sekretarja po predhodno izvedenem javnem natečaju, vendar največ za šest mesecev, to je najdlje do 17. 12. 2025. Gospod </w:t>
      </w:r>
      <w:proofErr w:type="spellStart"/>
      <w:r w:rsidRPr="00985077">
        <w:rPr>
          <w:color w:val="000000" w:themeColor="text1"/>
        </w:rPr>
        <w:t>Bogunovič</w:t>
      </w:r>
      <w:proofErr w:type="spellEnd"/>
      <w:r w:rsidRPr="00985077">
        <w:rPr>
          <w:color w:val="000000" w:themeColor="text1"/>
        </w:rPr>
        <w:t xml:space="preserve"> je po izobrazbi pravnik z večletnimi izkušnjami z delovanjem v državni upravi.</w:t>
      </w:r>
    </w:p>
    <w:p w14:paraId="5A4D67D3" w14:textId="77777777" w:rsidR="00985077" w:rsidRPr="00985077" w:rsidRDefault="00985077" w:rsidP="00985077">
      <w:pPr>
        <w:rPr>
          <w:color w:val="000000" w:themeColor="text1"/>
        </w:rPr>
      </w:pPr>
    </w:p>
    <w:p w14:paraId="335C6758" w14:textId="6694E86F" w:rsidR="00CB6E8F" w:rsidRPr="00985077" w:rsidRDefault="00985077" w:rsidP="00985077">
      <w:pPr>
        <w:rPr>
          <w:color w:val="000000" w:themeColor="text1"/>
        </w:rPr>
      </w:pPr>
      <w:r w:rsidRPr="00985077">
        <w:rPr>
          <w:color w:val="000000" w:themeColor="text1"/>
        </w:rPr>
        <w:t>Vir: Ministrstvo za digitalno preobrazbo</w:t>
      </w:r>
    </w:p>
    <w:p w14:paraId="7AF560E0" w14:textId="77777777" w:rsidR="00CB6E8F" w:rsidRPr="00CB6E8F" w:rsidRDefault="00CB6E8F" w:rsidP="00CB6E8F">
      <w:pPr>
        <w:rPr>
          <w:color w:val="FF0000"/>
        </w:rPr>
      </w:pPr>
    </w:p>
    <w:p w14:paraId="59A08FEB" w14:textId="2B1F4530" w:rsidR="00203E6B" w:rsidRPr="00203E6B" w:rsidRDefault="00203E6B" w:rsidP="00203E6B">
      <w:pPr>
        <w:pStyle w:val="Naslov2"/>
      </w:pPr>
      <w:r w:rsidRPr="00203E6B">
        <w:t>Vlada imenovala predstavnike ustanovitelja v sveta javnih vzgojno-izobraževalnih zavodov</w:t>
      </w:r>
    </w:p>
    <w:p w14:paraId="386F34E2" w14:textId="77777777" w:rsidR="00203E6B" w:rsidRPr="00203E6B" w:rsidRDefault="00203E6B" w:rsidP="00203E6B">
      <w:r w:rsidRPr="00203E6B">
        <w:t>Vlada je v svet javnega vzgojno-izobraževalnega zavoda Biotehniški center Naklo za preostanek mandata sveta od 13. 6. 2025 do 9. 4. 2029, kot predstavnika ustanovitelja imenovala dr. Eriko Rustja in Darka Malija.</w:t>
      </w:r>
    </w:p>
    <w:p w14:paraId="1D4C9C3E" w14:textId="77777777" w:rsidR="00203E6B" w:rsidRPr="00203E6B" w:rsidRDefault="00203E6B" w:rsidP="00203E6B"/>
    <w:p w14:paraId="2D0491A9" w14:textId="24204A58" w:rsidR="00203E6B" w:rsidRPr="00203E6B" w:rsidRDefault="00203E6B" w:rsidP="00203E6B">
      <w:r w:rsidRPr="00203E6B">
        <w:lastRenderedPageBreak/>
        <w:t>V svet javnega vzgojno-izobraževalnega zavoda Srednja šola za farmacijo, kozmetiko in zdravstvo pa je za preostanek mandata se od 13. 6. 2025 do 16. 4. 2029, kot predstavnika ustanovitelja imenovala dr. Benjamina Kralja in Simono Cilenšek.</w:t>
      </w:r>
    </w:p>
    <w:p w14:paraId="4AF82C8A" w14:textId="3BA52FD6" w:rsidR="00CB6E8F" w:rsidRPr="000214C4" w:rsidRDefault="00203E6B" w:rsidP="000214C4">
      <w:pPr>
        <w:pStyle w:val="Vir"/>
      </w:pPr>
      <w:r w:rsidRPr="00203E6B">
        <w:t>Vir: Ministrstvo za vzgojo in izobraževanje</w:t>
      </w:r>
    </w:p>
    <w:p w14:paraId="1400A5EF" w14:textId="44264A84" w:rsidR="00B72A7C" w:rsidRPr="00B72A7C" w:rsidRDefault="00B72A7C" w:rsidP="00B72A7C">
      <w:pPr>
        <w:pStyle w:val="Naslov2"/>
      </w:pPr>
      <w:r w:rsidRPr="00B72A7C">
        <w:t>Vlada v Svet zavoda Narodna in univerzitetna knjižnica za mandatno dobo štirih let imenovala štiri predstavnike ustanovitelja</w:t>
      </w:r>
    </w:p>
    <w:p w14:paraId="71490976" w14:textId="04B643F7" w:rsidR="00B72A7C" w:rsidRPr="00B72A7C" w:rsidRDefault="00B72A7C" w:rsidP="00B72A7C">
      <w:pPr>
        <w:rPr>
          <w:color w:val="000000" w:themeColor="text1"/>
        </w:rPr>
      </w:pPr>
      <w:r w:rsidRPr="00B72A7C">
        <w:rPr>
          <w:color w:val="000000" w:themeColor="text1"/>
        </w:rPr>
        <w:t xml:space="preserve">Vlada </w:t>
      </w:r>
      <w:r>
        <w:rPr>
          <w:color w:val="000000" w:themeColor="text1"/>
        </w:rPr>
        <w:t>je</w:t>
      </w:r>
      <w:r w:rsidRPr="00B72A7C">
        <w:rPr>
          <w:color w:val="000000" w:themeColor="text1"/>
        </w:rPr>
        <w:t xml:space="preserve"> imenovala štiri nove predstavnike ustanovitelja v Svet javnega zavoda Narodna in univerzitetna knjižnica za mandatno dobo štirih let, s pričetkom 12. maja 2025, z možnostjo ponovnega imenovanja.</w:t>
      </w:r>
    </w:p>
    <w:p w14:paraId="19FCD833" w14:textId="77777777" w:rsidR="00B72A7C" w:rsidRPr="00B72A7C" w:rsidRDefault="00B72A7C" w:rsidP="00B72A7C">
      <w:pPr>
        <w:rPr>
          <w:color w:val="000000" w:themeColor="text1"/>
        </w:rPr>
      </w:pPr>
    </w:p>
    <w:p w14:paraId="13FED866" w14:textId="77777777" w:rsidR="00B72A7C" w:rsidRPr="00B72A7C" w:rsidRDefault="00B72A7C" w:rsidP="00B72A7C">
      <w:pPr>
        <w:rPr>
          <w:color w:val="000000" w:themeColor="text1"/>
        </w:rPr>
      </w:pPr>
      <w:r w:rsidRPr="00B72A7C">
        <w:rPr>
          <w:color w:val="000000" w:themeColor="text1"/>
        </w:rPr>
        <w:t xml:space="preserve">Za člane sveta so bili imenovani dr. Maja Jančič Bogataj, mag. </w:t>
      </w:r>
      <w:proofErr w:type="spellStart"/>
      <w:r w:rsidRPr="00B72A7C">
        <w:rPr>
          <w:color w:val="000000" w:themeColor="text1"/>
        </w:rPr>
        <w:t>Priscila</w:t>
      </w:r>
      <w:proofErr w:type="spellEnd"/>
      <w:r w:rsidRPr="00B72A7C">
        <w:rPr>
          <w:color w:val="000000" w:themeColor="text1"/>
        </w:rPr>
        <w:t xml:space="preserve"> Gulič Pirnat, Nadja Pfeifer in dr. Mojca Kotar.</w:t>
      </w:r>
    </w:p>
    <w:p w14:paraId="32C0798D" w14:textId="77777777" w:rsidR="00B72A7C" w:rsidRPr="00B72A7C" w:rsidRDefault="00B72A7C" w:rsidP="00B72A7C">
      <w:pPr>
        <w:rPr>
          <w:color w:val="000000" w:themeColor="text1"/>
        </w:rPr>
      </w:pPr>
    </w:p>
    <w:p w14:paraId="1D03EE6A" w14:textId="77777777" w:rsidR="00B72A7C" w:rsidRPr="00B72A7C" w:rsidRDefault="00B72A7C" w:rsidP="00B72A7C">
      <w:pPr>
        <w:rPr>
          <w:color w:val="000000" w:themeColor="text1"/>
        </w:rPr>
      </w:pPr>
      <w:r w:rsidRPr="00B72A7C">
        <w:rPr>
          <w:color w:val="000000" w:themeColor="text1"/>
        </w:rPr>
        <w:t>Svet javnega zavoda Narodna in univerzitetna knjižnica sestavlja pet članov. Štiri članice in člane imenuje Vlada RS izmed strokovnjakov s področja knjižnice, financ in pravnih zadev. Dva člana sta imenovana na predlog ministrstva, pristojnega za kulturo, en član na predlog ministrstva, pristojnega za visoko šolstvo in znanost, en član pa na predlog Univerze v Ljubljani. Eden od članov sveta se izvoli na neposrednih tajnih volitvah med zaposlenimi v knjižnici.</w:t>
      </w:r>
    </w:p>
    <w:p w14:paraId="3ADE2A55" w14:textId="77777777" w:rsidR="00B72A7C" w:rsidRPr="00B72A7C" w:rsidRDefault="00B72A7C" w:rsidP="00B72A7C">
      <w:pPr>
        <w:rPr>
          <w:color w:val="000000" w:themeColor="text1"/>
        </w:rPr>
      </w:pPr>
    </w:p>
    <w:p w14:paraId="780ABFD7" w14:textId="77777777" w:rsidR="00B72A7C" w:rsidRPr="00B72A7C" w:rsidRDefault="00B72A7C" w:rsidP="00B72A7C">
      <w:pPr>
        <w:rPr>
          <w:color w:val="000000" w:themeColor="text1"/>
        </w:rPr>
      </w:pPr>
      <w:r w:rsidRPr="00B72A7C">
        <w:rPr>
          <w:color w:val="000000" w:themeColor="text1"/>
        </w:rPr>
        <w:t>Vsi predlagani kandidati so podali soglasje za imenovanje in izpolnjujejo vse pogoje za to funkcijo.</w:t>
      </w:r>
    </w:p>
    <w:p w14:paraId="4F6E8774" w14:textId="77777777" w:rsidR="00B72A7C" w:rsidRPr="00B72A7C" w:rsidRDefault="00B72A7C" w:rsidP="00B72A7C">
      <w:pPr>
        <w:rPr>
          <w:color w:val="000000" w:themeColor="text1"/>
        </w:rPr>
      </w:pPr>
    </w:p>
    <w:p w14:paraId="5E4F39CA" w14:textId="77777777" w:rsidR="00B72A7C" w:rsidRPr="00B72A7C" w:rsidRDefault="00B72A7C" w:rsidP="00B72A7C">
      <w:pPr>
        <w:rPr>
          <w:color w:val="000000" w:themeColor="text1"/>
        </w:rPr>
      </w:pPr>
      <w:r w:rsidRPr="00B72A7C">
        <w:rPr>
          <w:color w:val="000000" w:themeColor="text1"/>
        </w:rPr>
        <w:t xml:space="preserve">Dr. Maja Bogataj Jančič je doktorirala na Pravni fakulteti v Ljubljani (avtorsko pravo, 2006), na Harvardu </w:t>
      </w:r>
      <w:proofErr w:type="spellStart"/>
      <w:r w:rsidRPr="00B72A7C">
        <w:rPr>
          <w:color w:val="000000" w:themeColor="text1"/>
        </w:rPr>
        <w:t>Law</w:t>
      </w:r>
      <w:proofErr w:type="spellEnd"/>
      <w:r w:rsidRPr="00B72A7C">
        <w:rPr>
          <w:color w:val="000000" w:themeColor="text1"/>
        </w:rPr>
        <w:t xml:space="preserve"> </w:t>
      </w:r>
      <w:proofErr w:type="spellStart"/>
      <w:r w:rsidRPr="00B72A7C">
        <w:rPr>
          <w:color w:val="000000" w:themeColor="text1"/>
        </w:rPr>
        <w:t>School</w:t>
      </w:r>
      <w:proofErr w:type="spellEnd"/>
      <w:r w:rsidRPr="00B72A7C">
        <w:rPr>
          <w:color w:val="000000" w:themeColor="text1"/>
        </w:rPr>
        <w:t xml:space="preserve"> (pravo, 2000) in na Pravni fakulteti v Torinu (intelektualna lastnina, 2004). Njeno področje dela je raziskovanje, pravno svetovanje in izobraževanje na področju avtorskih pravic, pri čemer se zlasti v zadnjem času osredotoča na avtorske pravice v znanosti, raziskovanju in izobraževanju. Nedavno  je bila imenovana v strokovni svet Slovenske skupnosti za odprto znanost, v okviru katere vodi tudi strokovno telo za avtorske pravice. Zadnjih osem let se zelo intenzivno ukvarja tudi s področjem upravljanja podatkov za umetno inteligenco (data </w:t>
      </w:r>
      <w:proofErr w:type="spellStart"/>
      <w:r w:rsidRPr="00B72A7C">
        <w:rPr>
          <w:color w:val="000000" w:themeColor="text1"/>
        </w:rPr>
        <w:t>governance</w:t>
      </w:r>
      <w:proofErr w:type="spellEnd"/>
      <w:r w:rsidRPr="00B72A7C">
        <w:rPr>
          <w:color w:val="000000" w:themeColor="text1"/>
        </w:rPr>
        <w:t xml:space="preserve"> </w:t>
      </w:r>
      <w:proofErr w:type="spellStart"/>
      <w:r w:rsidRPr="00B72A7C">
        <w:rPr>
          <w:color w:val="000000" w:themeColor="text1"/>
        </w:rPr>
        <w:t>for</w:t>
      </w:r>
      <w:proofErr w:type="spellEnd"/>
      <w:r w:rsidRPr="00B72A7C">
        <w:rPr>
          <w:color w:val="000000" w:themeColor="text1"/>
        </w:rPr>
        <w:t xml:space="preserve"> AI). Je ustanoviteljica in vodja Inštituta za intelektualno lastnino, ki je raziskovalna, izobraževalna in svetovalna institucija na področju intelektualne lastnine, od leta 2023 pa vodi tudi Inštitut za odprte podatke in intelektualno lastnino ODIPI. Na svojem strokovnem področju je aktivno vpeta v mednarodno dogajanje. Inštitut za intelektualno lastnino je član Mreže centrov, ki združuje velike in majhne centre po celem svetu, ki se ukvarjajo s tehnološkimi vplivi na družbo, v preteklosti je bila tudi pridružena raziskovalka na največjemu izmed centrov te mreže, to je na </w:t>
      </w:r>
      <w:proofErr w:type="spellStart"/>
      <w:r w:rsidRPr="00B72A7C">
        <w:rPr>
          <w:color w:val="000000" w:themeColor="text1"/>
        </w:rPr>
        <w:t>Berkman</w:t>
      </w:r>
      <w:proofErr w:type="spellEnd"/>
      <w:r w:rsidRPr="00B72A7C">
        <w:rPr>
          <w:color w:val="000000" w:themeColor="text1"/>
        </w:rPr>
        <w:t xml:space="preserve"> Klein Centru za Internet in družbo na Harvardu. Inštitut za intelektualno lastnino je tudi stalni opazovalec pri Svetovni organizaciji za intelektualno lastnino (WIPO) v Ženevi. Štiri leta je sopredsedovala delovni skupini za upravljanje podatkov pri GPAI (Global </w:t>
      </w:r>
      <w:proofErr w:type="spellStart"/>
      <w:r w:rsidRPr="00B72A7C">
        <w:rPr>
          <w:color w:val="000000" w:themeColor="text1"/>
        </w:rPr>
        <w:t>Partnership</w:t>
      </w:r>
      <w:proofErr w:type="spellEnd"/>
      <w:r w:rsidRPr="00B72A7C">
        <w:rPr>
          <w:color w:val="000000" w:themeColor="text1"/>
        </w:rPr>
        <w:t xml:space="preserve"> on </w:t>
      </w:r>
      <w:proofErr w:type="spellStart"/>
      <w:r w:rsidRPr="00B72A7C">
        <w:rPr>
          <w:color w:val="000000" w:themeColor="text1"/>
        </w:rPr>
        <w:t>Artificial</w:t>
      </w:r>
      <w:proofErr w:type="spellEnd"/>
      <w:r w:rsidRPr="00B72A7C">
        <w:rPr>
          <w:color w:val="000000" w:themeColor="text1"/>
        </w:rPr>
        <w:t xml:space="preserve"> </w:t>
      </w:r>
      <w:proofErr w:type="spellStart"/>
      <w:r w:rsidRPr="00B72A7C">
        <w:rPr>
          <w:color w:val="000000" w:themeColor="text1"/>
        </w:rPr>
        <w:t>Intelligence</w:t>
      </w:r>
      <w:proofErr w:type="spellEnd"/>
      <w:r w:rsidRPr="00B72A7C">
        <w:rPr>
          <w:color w:val="000000" w:themeColor="text1"/>
        </w:rPr>
        <w:t xml:space="preserve">). Že od njenih začetkov sodeluje s </w:t>
      </w:r>
      <w:proofErr w:type="spellStart"/>
      <w:r w:rsidRPr="00B72A7C">
        <w:rPr>
          <w:color w:val="000000" w:themeColor="text1"/>
        </w:rPr>
        <w:t>Creative</w:t>
      </w:r>
      <w:proofErr w:type="spellEnd"/>
      <w:r w:rsidRPr="00B72A7C">
        <w:rPr>
          <w:color w:val="000000" w:themeColor="text1"/>
        </w:rPr>
        <w:t xml:space="preserve"> </w:t>
      </w:r>
      <w:proofErr w:type="spellStart"/>
      <w:r w:rsidRPr="00B72A7C">
        <w:rPr>
          <w:color w:val="000000" w:themeColor="text1"/>
        </w:rPr>
        <w:t>Commons</w:t>
      </w:r>
      <w:proofErr w:type="spellEnd"/>
      <w:r w:rsidRPr="00B72A7C">
        <w:rPr>
          <w:color w:val="000000" w:themeColor="text1"/>
        </w:rPr>
        <w:t xml:space="preserve"> in je pravni vodja </w:t>
      </w:r>
      <w:proofErr w:type="spellStart"/>
      <w:r w:rsidRPr="00B72A7C">
        <w:rPr>
          <w:color w:val="000000" w:themeColor="text1"/>
        </w:rPr>
        <w:t>Creative</w:t>
      </w:r>
      <w:proofErr w:type="spellEnd"/>
      <w:r w:rsidRPr="00B72A7C">
        <w:rPr>
          <w:color w:val="000000" w:themeColor="text1"/>
        </w:rPr>
        <w:t xml:space="preserve"> </w:t>
      </w:r>
      <w:proofErr w:type="spellStart"/>
      <w:r w:rsidRPr="00B72A7C">
        <w:rPr>
          <w:color w:val="000000" w:themeColor="text1"/>
        </w:rPr>
        <w:t>Commons</w:t>
      </w:r>
      <w:proofErr w:type="spellEnd"/>
      <w:r w:rsidRPr="00B72A7C">
        <w:rPr>
          <w:color w:val="000000" w:themeColor="text1"/>
        </w:rPr>
        <w:t xml:space="preserve"> Slovenija. Je tudi članica upravnega odbora </w:t>
      </w:r>
      <w:proofErr w:type="spellStart"/>
      <w:r w:rsidRPr="00B72A7C">
        <w:rPr>
          <w:color w:val="000000" w:themeColor="text1"/>
        </w:rPr>
        <w:t>Communie</w:t>
      </w:r>
      <w:proofErr w:type="spellEnd"/>
      <w:r w:rsidRPr="00B72A7C">
        <w:rPr>
          <w:color w:val="000000" w:themeColor="text1"/>
        </w:rPr>
        <w:t xml:space="preserve">. Od 2021 je nacionalna in regionalna koordinatorka </w:t>
      </w:r>
      <w:proofErr w:type="spellStart"/>
      <w:r w:rsidRPr="00B72A7C">
        <w:rPr>
          <w:color w:val="000000" w:themeColor="text1"/>
        </w:rPr>
        <w:t>Knowledge</w:t>
      </w:r>
      <w:proofErr w:type="spellEnd"/>
      <w:r w:rsidRPr="00B72A7C">
        <w:rPr>
          <w:color w:val="000000" w:themeColor="text1"/>
        </w:rPr>
        <w:t xml:space="preserve"> </w:t>
      </w:r>
      <w:proofErr w:type="spellStart"/>
      <w:r w:rsidRPr="00B72A7C">
        <w:rPr>
          <w:color w:val="000000" w:themeColor="text1"/>
        </w:rPr>
        <w:t>rights</w:t>
      </w:r>
      <w:proofErr w:type="spellEnd"/>
      <w:r w:rsidRPr="00B72A7C">
        <w:rPr>
          <w:color w:val="000000" w:themeColor="text1"/>
        </w:rPr>
        <w:t xml:space="preserve"> 21 (KR21), pomembnega programa, v okviru katerega vodi tudi KR21 </w:t>
      </w:r>
      <w:proofErr w:type="spellStart"/>
      <w:r w:rsidRPr="00B72A7C">
        <w:rPr>
          <w:color w:val="000000" w:themeColor="text1"/>
        </w:rPr>
        <w:t>research</w:t>
      </w:r>
      <w:proofErr w:type="spellEnd"/>
      <w:r w:rsidRPr="00B72A7C">
        <w:rPr>
          <w:color w:val="000000" w:themeColor="text1"/>
        </w:rPr>
        <w:t xml:space="preserve"> </w:t>
      </w:r>
      <w:proofErr w:type="spellStart"/>
      <w:r w:rsidRPr="00B72A7C">
        <w:rPr>
          <w:color w:val="000000" w:themeColor="text1"/>
        </w:rPr>
        <w:t>network</w:t>
      </w:r>
      <w:proofErr w:type="spellEnd"/>
      <w:r w:rsidRPr="00B72A7C">
        <w:rPr>
          <w:color w:val="000000" w:themeColor="text1"/>
        </w:rPr>
        <w:t xml:space="preserve"> za regijo in KR21 </w:t>
      </w:r>
      <w:proofErr w:type="spellStart"/>
      <w:r w:rsidRPr="00B72A7C">
        <w:rPr>
          <w:color w:val="000000" w:themeColor="text1"/>
        </w:rPr>
        <w:t>Regional</w:t>
      </w:r>
      <w:proofErr w:type="spellEnd"/>
      <w:r w:rsidRPr="00B72A7C">
        <w:rPr>
          <w:color w:val="000000" w:themeColor="text1"/>
        </w:rPr>
        <w:t xml:space="preserve"> </w:t>
      </w:r>
      <w:proofErr w:type="spellStart"/>
      <w:r w:rsidRPr="00B72A7C">
        <w:rPr>
          <w:color w:val="000000" w:themeColor="text1"/>
        </w:rPr>
        <w:t>Alliance</w:t>
      </w:r>
      <w:proofErr w:type="spellEnd"/>
      <w:r w:rsidRPr="00B72A7C">
        <w:rPr>
          <w:color w:val="000000" w:themeColor="text1"/>
        </w:rPr>
        <w:t xml:space="preserve">, ki združuje strokovnjake za avtorsko pravo in knjižničarje. V Sloveniji vodi številna izobraževanja, zlasti na področju avtorskega prava, in v zadnjem času na področju generativne umetne inteligence in odprte znanosti. V ODIPI vodi »Šolo </w:t>
      </w:r>
      <w:proofErr w:type="spellStart"/>
      <w:r w:rsidRPr="00B72A7C">
        <w:rPr>
          <w:color w:val="000000" w:themeColor="text1"/>
        </w:rPr>
        <w:t>GenAI</w:t>
      </w:r>
      <w:proofErr w:type="spellEnd"/>
      <w:r w:rsidRPr="00B72A7C">
        <w:rPr>
          <w:color w:val="000000" w:themeColor="text1"/>
        </w:rPr>
        <w:t xml:space="preserve"> in pravo« v sodelovanju s Pravno fakulteto in Fakulteto za računalništvo.</w:t>
      </w:r>
    </w:p>
    <w:p w14:paraId="2068F39E" w14:textId="77777777" w:rsidR="00B72A7C" w:rsidRPr="00B72A7C" w:rsidRDefault="00B72A7C" w:rsidP="00B72A7C">
      <w:pPr>
        <w:rPr>
          <w:color w:val="000000" w:themeColor="text1"/>
        </w:rPr>
      </w:pPr>
    </w:p>
    <w:p w14:paraId="7556CA30" w14:textId="77777777" w:rsidR="00B72A7C" w:rsidRPr="00B72A7C" w:rsidRDefault="00B72A7C" w:rsidP="00B72A7C">
      <w:pPr>
        <w:rPr>
          <w:color w:val="000000" w:themeColor="text1"/>
        </w:rPr>
      </w:pPr>
      <w:r w:rsidRPr="00B72A7C">
        <w:rPr>
          <w:color w:val="000000" w:themeColor="text1"/>
        </w:rPr>
        <w:t xml:space="preserve">Mag. </w:t>
      </w:r>
      <w:proofErr w:type="spellStart"/>
      <w:r w:rsidRPr="00B72A7C">
        <w:rPr>
          <w:color w:val="000000" w:themeColor="text1"/>
        </w:rPr>
        <w:t>Priscila</w:t>
      </w:r>
      <w:proofErr w:type="spellEnd"/>
      <w:r w:rsidRPr="00B72A7C">
        <w:rPr>
          <w:color w:val="000000" w:themeColor="text1"/>
        </w:rPr>
        <w:t xml:space="preserve"> Gulič Pirnat, magistrica znanosti, prof. filozofije in </w:t>
      </w:r>
      <w:proofErr w:type="spellStart"/>
      <w:r w:rsidRPr="00B72A7C">
        <w:rPr>
          <w:color w:val="000000" w:themeColor="text1"/>
        </w:rPr>
        <w:t>uni</w:t>
      </w:r>
      <w:proofErr w:type="spellEnd"/>
      <w:r w:rsidRPr="00B72A7C">
        <w:rPr>
          <w:color w:val="000000" w:themeColor="text1"/>
        </w:rPr>
        <w:t xml:space="preserve">. dipl. bibliotekarka, nižja bibliotekarska svetnica kot vodja Osrednje humanistične knjižnice Filozofske fakultete Univerze v Ljubljani koordinira delo 18-ih knjižnic, kar vključuje načrtovanje, organiziranje, nadzorovanje in strateško vodenje delovanja knjižnice. Sodeluje v številnih strokovnih telesih, med drugim je članica Komisije za razvoj knjižničnega sistema (KRKS) Univerze v Ljubljani, članica upravnega odbora IZUM </w:t>
      </w:r>
      <w:r w:rsidRPr="00B72A7C">
        <w:rPr>
          <w:color w:val="000000" w:themeColor="text1"/>
        </w:rPr>
        <w:lastRenderedPageBreak/>
        <w:t xml:space="preserve">in Akademskega sveta Filozofske fakultete Univerze v Ljubljani. Njene izkušnje s področja vodenja in upravljanja se dopolnjujejo z aktivnim sodelovanjem v delovnih skupinah KRKS za pravna vprašanja, odprto znanost in cenik knjižničnih storitev. Posebej jo zanima področje odprte znanosti in občanske znanosti, ki ju prepoznava kot ključni sestavini sodobnega raziskovalnega okolja. Njene aktivnosti na področju strokovnega dela podpirajo digitalni razvoj in akademsko raziskovanje ter promovirajo odgovoren in zelen prehod v prihodnost, kjer trajnost in odgovorno ravnanje z viri postajata ključna elementa razvoja knjižnične infrastrukture. Njeno interdisciplinarno znanje in praksa pri razvoju knjižničnih storitev, podpore raziskovalni skupnosti ter digitalizacije gradiv bi lahko pomembno prispevali k uresničevanju strateških ciljev, zlasti na področju podpore znanstvenoraziskovalni skupnosti, digitalizacije kulturne dediščine in povezovanja knjižničnega sistema Slovenije. Poleg tega je avtorica strokovnih člankov, urednica in prevajalka ter se redno udejstvuje strokovnih dogodkov in v delovnih telesih, kar prispeva k njeni strokovni in družbeni aktivnosti ter ugledu v širši javnosti. </w:t>
      </w:r>
    </w:p>
    <w:p w14:paraId="1D9792D1" w14:textId="77777777" w:rsidR="00B72A7C" w:rsidRPr="00B72A7C" w:rsidRDefault="00B72A7C" w:rsidP="00B72A7C">
      <w:pPr>
        <w:rPr>
          <w:color w:val="000000" w:themeColor="text1"/>
        </w:rPr>
      </w:pPr>
    </w:p>
    <w:p w14:paraId="182CFFD8" w14:textId="1ABDB180" w:rsidR="00B72A7C" w:rsidRPr="00B72A7C" w:rsidRDefault="00B72A7C" w:rsidP="00B72A7C">
      <w:pPr>
        <w:rPr>
          <w:color w:val="000000" w:themeColor="text1"/>
        </w:rPr>
      </w:pPr>
      <w:r w:rsidRPr="00B72A7C">
        <w:rPr>
          <w:color w:val="000000" w:themeColor="text1"/>
        </w:rPr>
        <w:t>na predlog Ministrstva za visoko šolstvo, znanost in inovacije</w:t>
      </w:r>
      <w:r>
        <w:rPr>
          <w:color w:val="000000" w:themeColor="text1"/>
        </w:rPr>
        <w:t xml:space="preserve"> </w:t>
      </w:r>
      <w:r w:rsidRPr="00B72A7C">
        <w:rPr>
          <w:color w:val="000000" w:themeColor="text1"/>
        </w:rPr>
        <w:t>Nadja Pfeifer, diplomirana inženirka arhitekture, strokovnjakinja s področja financ</w:t>
      </w:r>
    </w:p>
    <w:p w14:paraId="115FCB93" w14:textId="77777777" w:rsidR="00B72A7C" w:rsidRPr="00B72A7C" w:rsidRDefault="00B72A7C" w:rsidP="00B72A7C">
      <w:pPr>
        <w:rPr>
          <w:color w:val="000000" w:themeColor="text1"/>
        </w:rPr>
      </w:pPr>
    </w:p>
    <w:p w14:paraId="23119288" w14:textId="77777777" w:rsidR="00B72A7C" w:rsidRPr="00B72A7C" w:rsidRDefault="00B72A7C" w:rsidP="00B72A7C">
      <w:pPr>
        <w:rPr>
          <w:color w:val="000000" w:themeColor="text1"/>
        </w:rPr>
      </w:pPr>
      <w:r w:rsidRPr="00B72A7C">
        <w:rPr>
          <w:color w:val="000000" w:themeColor="text1"/>
        </w:rPr>
        <w:t>Nadja Pfeifer je diplomirana inženirka arhitekture z dolgoletnimi izkušnjami na področju načrtovanja, organiziranja, izvajanja in vodenja strokovnih projektov in programov investicijskega značaja. Predlagana kandidatka je bila pet let vodja Službe za investicije pri Javnem stanovanjskem skladu mestne občine Ljubljana, kjer je vodila projekte investicijskega značaja v vseh fazah izvajanja, vključno z nadzorom. Vodila in sodelovala je tudi pri pripravi javnih naročil in javnih razpisov. Od oktobra 2024 je zaposlena kot  vodja Službe za investicije na Ministrstvu za visoko šolstvo, znanost in inovacije, kjer opravlja najzahtevnejše naloge na tem področju. Skozi svoje delo je pridobila širok spekter znanja in bogate izkušnje, ki ji omogočajo temeljito razumevanje vseh faz investicijskih procesov, vključno z njihovimi finančnimi vidiki. Njeno znanje obsega tako tehnične kot finančne aspekte investicijskih projektov, kar ji omogoča celosten vpogled v področje ter natančno oceno potrebnih virov in izvedbenih strategij, zato pristojno ministrstvo za visoko šolstvo, glede na navedene reference meni, da je predlagana kandidatka tudi strokovnjakinja s področja finančnih zadev. S predlagano kandidatko želi omenjeno ministrstvo tudi okrepiti usklajenost sodelovanja javnega zavoda in ministrstva, pristojnega za visoko šolstvo, še posebej pomembnega in izpostavljenega v času izvajanja projekta NUK 2.</w:t>
      </w:r>
    </w:p>
    <w:p w14:paraId="742F33DC" w14:textId="77777777" w:rsidR="00B72A7C" w:rsidRPr="00B72A7C" w:rsidRDefault="00B72A7C" w:rsidP="00B72A7C">
      <w:pPr>
        <w:rPr>
          <w:color w:val="000000" w:themeColor="text1"/>
        </w:rPr>
      </w:pPr>
    </w:p>
    <w:p w14:paraId="6A4277DA" w14:textId="27501F97" w:rsidR="00B72A7C" w:rsidRPr="00B72A7C" w:rsidRDefault="00B72A7C" w:rsidP="00B72A7C">
      <w:pPr>
        <w:rPr>
          <w:color w:val="000000" w:themeColor="text1"/>
        </w:rPr>
      </w:pPr>
      <w:r w:rsidRPr="00B72A7C">
        <w:rPr>
          <w:color w:val="000000" w:themeColor="text1"/>
        </w:rPr>
        <w:t>na predlog Univerze v Ljubljani</w:t>
      </w:r>
      <w:r>
        <w:rPr>
          <w:color w:val="000000" w:themeColor="text1"/>
        </w:rPr>
        <w:t xml:space="preserve"> d</w:t>
      </w:r>
      <w:r w:rsidRPr="00B72A7C">
        <w:rPr>
          <w:color w:val="000000" w:themeColor="text1"/>
        </w:rPr>
        <w:t>r. Mojca Kotar, doktorica bibliotekarskih znanosti</w:t>
      </w:r>
    </w:p>
    <w:p w14:paraId="12FCDE89" w14:textId="77777777" w:rsidR="00B72A7C" w:rsidRPr="00B72A7C" w:rsidRDefault="00B72A7C" w:rsidP="00B72A7C">
      <w:pPr>
        <w:rPr>
          <w:color w:val="000000" w:themeColor="text1"/>
        </w:rPr>
      </w:pPr>
    </w:p>
    <w:p w14:paraId="1DB75271" w14:textId="6AD560BD" w:rsidR="00B72A7C" w:rsidRPr="00B72A7C" w:rsidRDefault="00B72A7C" w:rsidP="00B72A7C">
      <w:pPr>
        <w:rPr>
          <w:color w:val="000000" w:themeColor="text1"/>
        </w:rPr>
      </w:pPr>
      <w:r w:rsidRPr="00B72A7C">
        <w:rPr>
          <w:color w:val="000000" w:themeColor="text1"/>
        </w:rPr>
        <w:t xml:space="preserve">Ključne delovne naloge in pristojnosti dr. Mojce Kotar so od leta 2008 vodenje koordinacije knjižnic Univerze v Ljubljani in podpore za odprto znanost. Je članica Delovne skupine za pripravo akcijskega načrta za vzpostavitev odprtega dostopa do znanstvenih informacij iz javno financiranih raziskav v Sloveniji na Ministrstvu za izobraževanje, znanost in šport, ki je pripravila Nacionalno strategijo odprtega dostopa do znanstvenih objav in raziskovalnih podatkov v Sloveniji 2015-2020 in pripadajoči akcijski načrt. Je članica delovne skupine za pripravo predloga Uredbe o izvajanju znanstvenoraziskovalnega dela v skladu z načeli odprte znanosti (sprejeta 2023). Skrbi za koordinacijo delovanja knjižničnega sistema Univerze v Ljubljani, delovanje </w:t>
      </w:r>
      <w:proofErr w:type="spellStart"/>
      <w:r w:rsidRPr="00B72A7C">
        <w:rPr>
          <w:color w:val="000000" w:themeColor="text1"/>
        </w:rPr>
        <w:t>Repozitorija</w:t>
      </w:r>
      <w:proofErr w:type="spellEnd"/>
      <w:r w:rsidRPr="00B72A7C">
        <w:rPr>
          <w:color w:val="000000" w:themeColor="text1"/>
        </w:rPr>
        <w:t xml:space="preserve"> Univerze v Ljubljani ter sodeluje v pogajanjih z znanstvenimi založniki za pogodbe za branje in </w:t>
      </w:r>
      <w:proofErr w:type="spellStart"/>
      <w:r w:rsidRPr="00B72A7C">
        <w:rPr>
          <w:color w:val="000000" w:themeColor="text1"/>
        </w:rPr>
        <w:t>odprtodostopno</w:t>
      </w:r>
      <w:proofErr w:type="spellEnd"/>
      <w:r w:rsidRPr="00B72A7C">
        <w:rPr>
          <w:color w:val="000000" w:themeColor="text1"/>
        </w:rPr>
        <w:t xml:space="preserve"> objavljanje. Koordinira podporo za odprto znanost in je odgovorna za izvedbo projekta SPOZNAJ na Univerzi v Ljubljani. Je članica Delovne skupine za usklajevanje upravljanja in financiranja razvoja nacionalnega ekosistema odprte znanosti za izvedbo Ukrepa 6.2 ReZrIS30 pri Ministrstvu za visoko šolstvo, znanost in inovacije. Je tudi članica Delovne skupine za odprto znanost pri Javni agenciji za znanstvenoraziskovalno in inovacijsko dejavnost Republike Slovenije in Strokovnega sveta Slovenske skupnosti odprte znanosti. Sodelovala je pri pripravi Strokovnih standardov in priporočil za organizacijo, delovanje in evalvacijo visokošolskih knjižnic (za obdobje 2012-2020) in Pravilnika o splošnih pogojih poslovanja knjižnic Univerze v Ljubljani. Sodelovala je v projektih Open Access </w:t>
      </w:r>
      <w:proofErr w:type="spellStart"/>
      <w:r w:rsidRPr="00B72A7C">
        <w:rPr>
          <w:color w:val="000000" w:themeColor="text1"/>
        </w:rPr>
        <w:t>Infrastructure</w:t>
      </w:r>
      <w:proofErr w:type="spellEnd"/>
      <w:r w:rsidRPr="00B72A7C">
        <w:rPr>
          <w:color w:val="000000" w:themeColor="text1"/>
        </w:rPr>
        <w:t xml:space="preserve"> </w:t>
      </w:r>
      <w:proofErr w:type="spellStart"/>
      <w:r w:rsidRPr="00B72A7C">
        <w:rPr>
          <w:color w:val="000000" w:themeColor="text1"/>
        </w:rPr>
        <w:t>for</w:t>
      </w:r>
      <w:proofErr w:type="spellEnd"/>
      <w:r w:rsidRPr="00B72A7C">
        <w:rPr>
          <w:color w:val="000000" w:themeColor="text1"/>
        </w:rPr>
        <w:t xml:space="preserve"> </w:t>
      </w:r>
      <w:proofErr w:type="spellStart"/>
      <w:r w:rsidRPr="00B72A7C">
        <w:rPr>
          <w:color w:val="000000" w:themeColor="text1"/>
        </w:rPr>
        <w:t>Research</w:t>
      </w:r>
      <w:proofErr w:type="spellEnd"/>
      <w:r w:rsidRPr="00B72A7C">
        <w:rPr>
          <w:color w:val="000000" w:themeColor="text1"/>
        </w:rPr>
        <w:t xml:space="preserve"> in </w:t>
      </w:r>
      <w:proofErr w:type="spellStart"/>
      <w:r w:rsidRPr="00B72A7C">
        <w:rPr>
          <w:color w:val="000000" w:themeColor="text1"/>
        </w:rPr>
        <w:t>Europe</w:t>
      </w:r>
      <w:proofErr w:type="spellEnd"/>
      <w:r w:rsidRPr="00B72A7C">
        <w:rPr>
          <w:color w:val="000000" w:themeColor="text1"/>
        </w:rPr>
        <w:t xml:space="preserve"> kot nacionalna točka za odprti dostop (</w:t>
      </w:r>
      <w:proofErr w:type="spellStart"/>
      <w:r w:rsidRPr="00B72A7C">
        <w:rPr>
          <w:color w:val="000000" w:themeColor="text1"/>
        </w:rPr>
        <w:t>OpenAIRE</w:t>
      </w:r>
      <w:proofErr w:type="spellEnd"/>
      <w:r w:rsidRPr="00B72A7C">
        <w:rPr>
          <w:color w:val="000000" w:themeColor="text1"/>
        </w:rPr>
        <w:t xml:space="preserve">, 2009-2012, </w:t>
      </w:r>
      <w:proofErr w:type="spellStart"/>
      <w:r w:rsidRPr="00B72A7C">
        <w:rPr>
          <w:color w:val="000000" w:themeColor="text1"/>
        </w:rPr>
        <w:lastRenderedPageBreak/>
        <w:t>OpenAIREplus</w:t>
      </w:r>
      <w:proofErr w:type="spellEnd"/>
      <w:r w:rsidRPr="00B72A7C">
        <w:rPr>
          <w:color w:val="000000" w:themeColor="text1"/>
        </w:rPr>
        <w:t xml:space="preserve">, 2011-2014, OpenAIRE2020, 2015-2018, </w:t>
      </w:r>
      <w:proofErr w:type="spellStart"/>
      <w:r w:rsidRPr="00B72A7C">
        <w:rPr>
          <w:color w:val="000000" w:themeColor="text1"/>
        </w:rPr>
        <w:t>OpenAIRE-Advance</w:t>
      </w:r>
      <w:proofErr w:type="spellEnd"/>
      <w:r w:rsidRPr="00B72A7C">
        <w:rPr>
          <w:color w:val="000000" w:themeColor="text1"/>
        </w:rPr>
        <w:t xml:space="preserve">, 2018-2021). Sodelovala je tudi pri vzpostavitvi Nacionalnega portala odprte znanosti in </w:t>
      </w:r>
      <w:proofErr w:type="spellStart"/>
      <w:r w:rsidRPr="00B72A7C">
        <w:rPr>
          <w:color w:val="000000" w:themeColor="text1"/>
        </w:rPr>
        <w:t>repozitorijev</w:t>
      </w:r>
      <w:proofErr w:type="spellEnd"/>
      <w:r w:rsidRPr="00B72A7C">
        <w:rPr>
          <w:color w:val="000000" w:themeColor="text1"/>
        </w:rPr>
        <w:t xml:space="preserve"> univerz (projekt ODUN s sofinanciranjem Ministrstva za izobraževanje, znanost in šport ter Evropskega sklada za regionalni razvoj).</w:t>
      </w:r>
    </w:p>
    <w:p w14:paraId="39681C63" w14:textId="16ED1019" w:rsidR="00CB6E8F" w:rsidRPr="00B72A7C" w:rsidRDefault="00B72A7C" w:rsidP="00B72A7C">
      <w:pPr>
        <w:pStyle w:val="Vir"/>
      </w:pPr>
      <w:r w:rsidRPr="00B72A7C">
        <w:t>Vir: Ministrstvo za kulturo</w:t>
      </w:r>
    </w:p>
    <w:p w14:paraId="18E1DB4C" w14:textId="6A97FD3B" w:rsidR="00272654" w:rsidRPr="00272654" w:rsidRDefault="00272654" w:rsidP="00272654">
      <w:pPr>
        <w:pStyle w:val="Naslov2"/>
      </w:pPr>
      <w:r w:rsidRPr="00272654">
        <w:t>Razrešitev člana, predstavnika ustanovitelja, v upravnem odboru Nacionalnega inštituta za biologijo</w:t>
      </w:r>
    </w:p>
    <w:p w14:paraId="60FCB34A" w14:textId="3DF1EE5A" w:rsidR="00272654" w:rsidRPr="00272654" w:rsidRDefault="00272654" w:rsidP="00272654">
      <w:r w:rsidRPr="00272654">
        <w:t xml:space="preserve">Vlada je sklenila, da se v upravnem odboru javnega raziskovalnega zavoda Nacionalni inštitut za biologijo 3. junija 2025 kot predstavnika ustanovitelja, imenovanega na predlog ministrstva, pristojnega za znanost, razreši član dr. Tomaž Boh. </w:t>
      </w:r>
    </w:p>
    <w:p w14:paraId="61BE351A" w14:textId="2DE61CFF" w:rsidR="00CB6E8F" w:rsidRPr="00871422" w:rsidRDefault="00272654" w:rsidP="00202CA6">
      <w:pPr>
        <w:pStyle w:val="Vir"/>
      </w:pPr>
      <w:r w:rsidRPr="00272654">
        <w:t>Vir: Ministrstvo za visoko šolstvo, znanost in inovacije</w:t>
      </w:r>
    </w:p>
    <w:p w14:paraId="11527DCE" w14:textId="72C3E10B" w:rsidR="00871422" w:rsidRPr="00871422" w:rsidRDefault="00871422" w:rsidP="00871422">
      <w:pPr>
        <w:pStyle w:val="Naslov2"/>
      </w:pPr>
      <w:r w:rsidRPr="00871422">
        <w:t>Razrešitev člana, predstavnika ustanovitelja, v upravnem odboru Pedagoškega inštituta</w:t>
      </w:r>
    </w:p>
    <w:p w14:paraId="3DD4FDDA" w14:textId="54A0FB8C" w:rsidR="00871422" w:rsidRPr="00871422" w:rsidRDefault="00871422" w:rsidP="00871422">
      <w:r w:rsidRPr="00871422">
        <w:t xml:space="preserve">Vlada je sklenila, da se v upravnem odboru javnega raziskovalnega zavoda Pedagoški inštitut 3. junija 2025 kot predstavnika ustanovitelja, imenovanega na predlog ministrstva, pristojnega za raziskovalno dejavnost, razreši član dr. Tomaž Boh. </w:t>
      </w:r>
    </w:p>
    <w:p w14:paraId="285524C3" w14:textId="3EDF0BA4" w:rsidR="00CB6E8F" w:rsidRPr="00871422" w:rsidRDefault="00871422" w:rsidP="00871422">
      <w:pPr>
        <w:pStyle w:val="Vir"/>
      </w:pPr>
      <w:r w:rsidRPr="00871422">
        <w:t>Vir: Ministrstvo za visoko šolstvo, znanost in inovacije</w:t>
      </w:r>
    </w:p>
    <w:p w14:paraId="2390B31F" w14:textId="42640ECD" w:rsidR="00803AE0" w:rsidRPr="00803AE0" w:rsidRDefault="00803AE0" w:rsidP="00803AE0">
      <w:pPr>
        <w:pStyle w:val="Naslov2"/>
      </w:pPr>
      <w:r w:rsidRPr="00803AE0">
        <w:t>Imenovanje člana v nadzorni svet Slovenskega podjetniškega sklada</w:t>
      </w:r>
    </w:p>
    <w:p w14:paraId="52521B6F" w14:textId="77777777" w:rsidR="00803AE0" w:rsidRPr="00803AE0" w:rsidRDefault="00803AE0" w:rsidP="00803AE0">
      <w:r w:rsidRPr="00803AE0">
        <w:t xml:space="preserve">Vlada je v nadzorni svet Slovenskega podjetniškega sklada (SPS) ponovno imenovala Jerneja </w:t>
      </w:r>
      <w:proofErr w:type="spellStart"/>
      <w:r w:rsidRPr="00803AE0">
        <w:t>Salecla</w:t>
      </w:r>
      <w:proofErr w:type="spellEnd"/>
      <w:r w:rsidRPr="00803AE0">
        <w:t>, predstavnika ministrstva, pristojnega za gospodarstvo.</w:t>
      </w:r>
    </w:p>
    <w:p w14:paraId="32F34F36" w14:textId="77777777" w:rsidR="00803AE0" w:rsidRPr="00803AE0" w:rsidRDefault="00803AE0" w:rsidP="00803AE0">
      <w:r w:rsidRPr="00803AE0">
        <w:t>SPS je bil ustanovljen leta 1992 z namenom spodbujanja slovenskega podjetništva z različnimi finančnimi spodbudami. Ustanoviteljica sklada je Republika Slovenija, ustanoviteljske pravice pa izvaja Vlada Republike Slovenije.</w:t>
      </w:r>
    </w:p>
    <w:p w14:paraId="3B32A069" w14:textId="77777777" w:rsidR="00803AE0" w:rsidRPr="00803AE0" w:rsidRDefault="00803AE0" w:rsidP="00803AE0">
      <w:r w:rsidRPr="00803AE0">
        <w:t>Nadzorni svet sklada sestavljajo predstavniki ministrstev, vladnih služb ter gospodarskih in bančnih združenj. Člane nadzornega sveta imenuje Vlada Republike Slovenije na predlog ministrstva, pristojnega za gospodarstvo, za mandatno obdobje štirih let.</w:t>
      </w:r>
    </w:p>
    <w:p w14:paraId="6D72B7A4" w14:textId="313063D9" w:rsidR="00803AE0" w:rsidRPr="00803AE0" w:rsidRDefault="00803AE0" w:rsidP="00803AE0">
      <w:r w:rsidRPr="00803AE0">
        <w:t xml:space="preserve">Mandat predstavniku Ministrstva za gospodarstvo, turizem in šport Jerneju </w:t>
      </w:r>
      <w:proofErr w:type="spellStart"/>
      <w:r w:rsidRPr="00803AE0">
        <w:t>Saleclu</w:t>
      </w:r>
      <w:proofErr w:type="spellEnd"/>
      <w:r w:rsidRPr="00803AE0">
        <w:t xml:space="preserve"> poteče 8. julija 2025. Vlada ga je na današnji seji ponovno imenovala za člana nadzornega sveta za novo štiriletno mandatno obdobje.</w:t>
      </w:r>
    </w:p>
    <w:p w14:paraId="1A521558" w14:textId="736B5171" w:rsidR="00CB6E8F" w:rsidRDefault="00803AE0" w:rsidP="00934D15">
      <w:pPr>
        <w:pStyle w:val="Vir"/>
      </w:pPr>
      <w:r w:rsidRPr="00803AE0">
        <w:t>Vir: Ministrstvo za gospodarstvo, turizem in šport</w:t>
      </w:r>
    </w:p>
    <w:p w14:paraId="514A4B39" w14:textId="77777777" w:rsidR="00CC02D1" w:rsidRPr="00CC02D1" w:rsidRDefault="00CC02D1" w:rsidP="00CC02D1"/>
    <w:p w14:paraId="5A098591" w14:textId="1E70CFAC" w:rsidR="00CB6E8F" w:rsidRPr="00474E61" w:rsidRDefault="00474E61" w:rsidP="00474E61">
      <w:pPr>
        <w:pStyle w:val="Naslov2"/>
      </w:pPr>
      <w:r w:rsidRPr="00474E61">
        <w:t>I</w:t>
      </w:r>
      <w:r w:rsidR="00CB6E8F" w:rsidRPr="00474E61">
        <w:t>menovanj</w:t>
      </w:r>
      <w:r w:rsidRPr="00474E61">
        <w:t>e</w:t>
      </w:r>
      <w:r w:rsidR="00CB6E8F" w:rsidRPr="00474E61">
        <w:t xml:space="preserve"> članov </w:t>
      </w:r>
      <w:r w:rsidRPr="00474E61">
        <w:t xml:space="preserve">v </w:t>
      </w:r>
      <w:r w:rsidR="00CB6E8F" w:rsidRPr="00474E61">
        <w:t>nadzorn</w:t>
      </w:r>
      <w:r w:rsidRPr="00474E61">
        <w:t>i</w:t>
      </w:r>
      <w:r w:rsidR="00CB6E8F" w:rsidRPr="00474E61">
        <w:t xml:space="preserve"> svet Javnega štipendijskega, razvojnega, invalidskega in preživninskega sklada Republike Slovenije</w:t>
      </w:r>
    </w:p>
    <w:p w14:paraId="7F371D51" w14:textId="0D879454" w:rsidR="00474E61" w:rsidRPr="00474E61" w:rsidRDefault="00474E61" w:rsidP="00474E61">
      <w:pPr>
        <w:rPr>
          <w:color w:val="000000" w:themeColor="text1"/>
        </w:rPr>
      </w:pPr>
      <w:r w:rsidRPr="00474E61">
        <w:rPr>
          <w:color w:val="000000" w:themeColor="text1"/>
        </w:rPr>
        <w:t>Vlada je sprejela sklep, s katerim se v nadzorni svet Javnega štipendijskega, razvojnega</w:t>
      </w:r>
      <w:r w:rsidRPr="00474E61">
        <w:rPr>
          <w:color w:val="000000" w:themeColor="text1"/>
        </w:rPr>
        <w:t xml:space="preserve">, </w:t>
      </w:r>
      <w:r w:rsidRPr="00474E61">
        <w:rPr>
          <w:color w:val="000000" w:themeColor="text1"/>
        </w:rPr>
        <w:t>invalidskega in preživninskega sklada Republike Slovenije s 14. 6. 2025 za mandatno dobo štirih let, in sicer, do 13. 6. 2029, imenujejo Damjan Volf, predstavnik sindikalnih zvez in konfederacij, reprezentativnih za področje države, Miroslav Smrekar, predstavnik delodajalskih združenj, reprezentativnih za področje države in Mojca Uhan, predstavnica Zavoda za pokojninsko in invalidsko zavarovanje Slovenije.</w:t>
      </w:r>
    </w:p>
    <w:p w14:paraId="243EB44C" w14:textId="14977B03" w:rsidR="00272247" w:rsidRDefault="00474E61" w:rsidP="00272247">
      <w:pPr>
        <w:pStyle w:val="Vir"/>
      </w:pPr>
      <w:r w:rsidRPr="00474E61">
        <w:t>Vir: Ministrstvo za delo, družino, socialne zadeve in enake možnosti</w:t>
      </w:r>
    </w:p>
    <w:p w14:paraId="2BC70542" w14:textId="77777777" w:rsidR="00272247" w:rsidRPr="00272247" w:rsidRDefault="00272247" w:rsidP="00272247"/>
    <w:p w14:paraId="7FEF3605" w14:textId="578526F9" w:rsidR="003B4674" w:rsidRPr="003B4674" w:rsidRDefault="003B4674" w:rsidP="003B4674">
      <w:pPr>
        <w:pStyle w:val="Naslov2"/>
      </w:pPr>
      <w:r w:rsidRPr="003B4674">
        <w:t>Vlada ustanovila Svet za finančno opismenjevanje in imenovala njegove člane</w:t>
      </w:r>
    </w:p>
    <w:p w14:paraId="5221AD37" w14:textId="77777777" w:rsidR="003B4674" w:rsidRPr="003B4674" w:rsidRDefault="003B4674" w:rsidP="003B4674">
      <w:r w:rsidRPr="003B4674">
        <w:t>Vlada je v skladu z Nacionalnim programom finančnega opismenjevanja (NPFO) ustanovila Svet za finančno opismenjevanje, katerega primarni cilj je sistematično in organizirano naslavljati izzive in priložnosti na področju finančnega opismenjevanja v Sloveniji. Sprejela je tudi sklep o imenovanju članov sveta.</w:t>
      </w:r>
    </w:p>
    <w:p w14:paraId="70FF06EC" w14:textId="77777777" w:rsidR="003B4674" w:rsidRPr="003B4674" w:rsidRDefault="003B4674" w:rsidP="003B4674"/>
    <w:p w14:paraId="02B973D0" w14:textId="77777777" w:rsidR="003B4674" w:rsidRPr="003B4674" w:rsidRDefault="003B4674" w:rsidP="003B4674">
      <w:r w:rsidRPr="003B4674">
        <w:t>Naloge sveta so obsežne in usmerjene v celostno obravnavo področja finančnega opismenjevanja. Svet bo med drugim opredeljeval podrobnejše prednostne naloge in merljive cilje, spremljal izvajanje NPFO z rednim merjenjem rezultatov in analiziranjem vzrokov za dosežke. Prav tako bo svet pripravljal in prilagajal načrte ukrepov, koordiniral različne programe finančnega opismenjevanja, ocenjeval njihovo učinkovitost ter spodbujal sodelovanje med relevantnimi deležniki. Pomembna naloga sveta je tudi promocija finančne ozaveščenosti in spodbujanje inovativnih pristopov k finančnemu opismenjevanju v sodelovanju z akademsko sfero. Za zagotovitev urejenega delovanja bo svet sprejel svoj poslovnik in letni načrt dela.</w:t>
      </w:r>
    </w:p>
    <w:p w14:paraId="1F9CB194" w14:textId="77777777" w:rsidR="003B4674" w:rsidRPr="003B4674" w:rsidRDefault="003B4674" w:rsidP="003B4674"/>
    <w:p w14:paraId="59554B64" w14:textId="77777777" w:rsidR="003B4674" w:rsidRPr="003B4674" w:rsidRDefault="003B4674" w:rsidP="003B4674">
      <w:r w:rsidRPr="003B4674">
        <w:t xml:space="preserve">Delovanje sveta bo transparentno in odgovorno, saj je predvideno letno poročanje vladi o njegovem delu, porabi sredstev, doseženih ciljih NPFO, izzivih pri doseganju ciljev, najboljših praksah ter priporočilih za prilagoditve NPFO in njegovega izvajanja. V primeru posebnih potreb ima svet možnost tudi izrednega poročanja. </w:t>
      </w:r>
    </w:p>
    <w:p w14:paraId="383A16E4" w14:textId="77777777" w:rsidR="003B4674" w:rsidRPr="003B4674" w:rsidRDefault="003B4674" w:rsidP="003B4674"/>
    <w:p w14:paraId="278D0152" w14:textId="77777777" w:rsidR="003B4674" w:rsidRPr="003B4674" w:rsidRDefault="003B4674" w:rsidP="003B4674">
      <w:r w:rsidRPr="003B4674">
        <w:t>Poleg tega je v sklepu poudarjena pomembnost redne, odprte in nepristranske komunikacije z javnostjo preko različnih kanalov, s čimer se zagotavlja informiranost in vključenost širše javnosti v procese finančnega opismenjevanja.</w:t>
      </w:r>
    </w:p>
    <w:p w14:paraId="67786E1E" w14:textId="77777777" w:rsidR="003B4674" w:rsidRPr="003B4674" w:rsidRDefault="003B4674" w:rsidP="003B4674"/>
    <w:p w14:paraId="1225721B" w14:textId="77777777" w:rsidR="003B4674" w:rsidRPr="003B4674" w:rsidRDefault="003B4674" w:rsidP="003B4674">
      <w:r w:rsidRPr="003B4674">
        <w:t>Sestava sveta je široka in vključuje predstavnike Ministrstva za finance (ki ima vodilno vlogo in zagotavlja administrativno podporo), Ministrstva za vzgojo in izobraževanje, Ministrstva za delo, družino, socialne zadeve in enake možnosti, Ministrstva za gospodarstvo, turizem in šport, Ministrstva za digitalno preobrazbo, Ministrstva za visoko šolstvo, znanost in inovacije, Urada vlade za komuniciranje, Banke Slovenije, Agencije za trg vrednostnih papirjev, Agencije za zavarovalni nadzor, Ljubljanske borze ter različnih združenj s finančnega področja in Zveze potrošnikov Slovenije. Ta raznolika sestava zagotavlja širok spekter znanj in perspektiv.</w:t>
      </w:r>
    </w:p>
    <w:p w14:paraId="6AE93623" w14:textId="67DECB76" w:rsidR="00CB6E8F" w:rsidRPr="00981C84" w:rsidRDefault="00981C84" w:rsidP="00981C84">
      <w:pPr>
        <w:pStyle w:val="Vir"/>
      </w:pPr>
      <w:r w:rsidRPr="00981C84">
        <w:t>Vir: Ministrstvo za finance</w:t>
      </w:r>
    </w:p>
    <w:p w14:paraId="34D48EE8" w14:textId="6E2B0B5F" w:rsidR="00C272D8" w:rsidRPr="00C272D8" w:rsidRDefault="00C272D8" w:rsidP="00C272D8">
      <w:pPr>
        <w:pStyle w:val="Naslov2"/>
      </w:pPr>
      <w:r w:rsidRPr="00C272D8">
        <w:t xml:space="preserve">Vlada ustanovila Programsko delovno skupino za spremljanje uresničevanja ukrepov Resolucije o nacionalnem programu izobraževanja odraslih </w:t>
      </w:r>
    </w:p>
    <w:p w14:paraId="4E44EC86" w14:textId="77777777" w:rsidR="00C272D8" w:rsidRPr="00C272D8" w:rsidRDefault="00C272D8" w:rsidP="00C272D8">
      <w:r w:rsidRPr="00C272D8">
        <w:t>Vlada je sprejela Sklep o ustanovitvi Programske delovne skupine za spremljanje uresničevanja ukrepov Resolucije o nacionalnem programu izobraževanja odraslih v Republiki Sloveniji za obdobje 2022–2030.</w:t>
      </w:r>
    </w:p>
    <w:p w14:paraId="4532A8CC" w14:textId="77777777" w:rsidR="00C272D8" w:rsidRPr="00C272D8" w:rsidRDefault="00C272D8" w:rsidP="00C272D8"/>
    <w:p w14:paraId="438264F6" w14:textId="77777777" w:rsidR="00C272D8" w:rsidRPr="00C272D8" w:rsidRDefault="00C272D8" w:rsidP="00C272D8">
      <w:r w:rsidRPr="00C272D8">
        <w:t>Resolucijo o nacionalnem programu izobraževanja odraslih v Republiki Sloveniji za obdobje 2022–2030 je Državni zbor sprejel na seji 23. marca 2022. Resolucija usmerja politiko izobraževanja odraslih na državni ravni in prispeva k načrtnemu urejanju področja, vključno s stalnim financiranjem in določanjem ukrepov oziroma vsebinskih nalog za razvoj izobraževanja odraslih v državi.</w:t>
      </w:r>
    </w:p>
    <w:p w14:paraId="7C681CD0" w14:textId="77777777" w:rsidR="00C272D8" w:rsidRPr="00C272D8" w:rsidRDefault="00C272D8" w:rsidP="00C272D8"/>
    <w:p w14:paraId="4CB65B28" w14:textId="2B0212C1" w:rsidR="00C272D8" w:rsidRPr="00C272D8" w:rsidRDefault="00C272D8" w:rsidP="00C272D8">
      <w:r w:rsidRPr="00C272D8">
        <w:t xml:space="preserve">Dokument določa, naj za uresničevanje omenjene resolucije vlada imenuje programsko delovno skupino, sestavljeno iz ministrstev za usklajevanje ukrepov, aktivnosti in programov v letnih programih izobraževanja odraslih ter spremljanje izvajanja resolucije. Programska delovna skupina lahko k sodelovanju povabi tudi predstavnike Ekonomsko-socialnega sveta in druge deležnike. </w:t>
      </w:r>
    </w:p>
    <w:p w14:paraId="0D825A9B" w14:textId="10C6BB6D" w:rsidR="00CB6E8F" w:rsidRPr="00C272D8" w:rsidRDefault="00C272D8" w:rsidP="00F26853">
      <w:pPr>
        <w:pStyle w:val="Vir"/>
      </w:pPr>
      <w:r w:rsidRPr="00C272D8">
        <w:lastRenderedPageBreak/>
        <w:t>Vir: Ministrstvo za vzgojo in izobraževanje</w:t>
      </w:r>
    </w:p>
    <w:p w14:paraId="527E087F" w14:textId="2F01E152" w:rsidR="00F26853" w:rsidRPr="00F26853" w:rsidRDefault="00F26853" w:rsidP="00F26853">
      <w:pPr>
        <w:pStyle w:val="Naslov2"/>
      </w:pPr>
      <w:r w:rsidRPr="00F26853">
        <w:t>Vlada dala soglasje k določitvi višine dela plače za delovno uspešnost iz naslova povečanega obsega dela ravnateljev in direktorjev javnih zavodov s področja vzgoje in izobraževanja</w:t>
      </w:r>
    </w:p>
    <w:p w14:paraId="4818C81A" w14:textId="77777777" w:rsidR="00F26853" w:rsidRPr="00F26853" w:rsidRDefault="00F26853" w:rsidP="00F26853">
      <w:r w:rsidRPr="00F26853">
        <w:t>Vlada je dala soglasje k določitvi višine dela plače za delovno uspešnost iz naslova povečanega obsega dela ravnateljev in direktorjev javnih zavodov s področja vzgoje in izobraževanja, katerih ustanovitelj je država, za obdobje od 1. 1. 2024 do 31. 12. 2024.</w:t>
      </w:r>
    </w:p>
    <w:p w14:paraId="79C170B9" w14:textId="77777777" w:rsidR="00F26853" w:rsidRPr="00F26853" w:rsidRDefault="00F26853" w:rsidP="00F26853"/>
    <w:p w14:paraId="0D0E5CE6" w14:textId="77777777" w:rsidR="00F26853" w:rsidRPr="00F26853" w:rsidRDefault="00F26853" w:rsidP="00F26853">
      <w:r w:rsidRPr="00F26853">
        <w:t>V skladu s 119. členom Zakona o skupnih temeljih sistema plač v javnem sektorju v povezavi z 22.e členom Zakona o sistemu plač v javnem sektorju se lahko javnemu uslužbencu izplača del plače za delovno uspešnost iz naslova povečanega obsega dela za opravljeno delo, ki presega pričakovane rezultate dela v posameznem mesecu, če je na ta način mogoče zagotoviti racionalnejše izvajanje nalog uporabnika proračuna. Pisno odločitev o povečanem obsegu dela in plačilu sprejme predstojnik za posamezen mesec na podlagi dogovora. Predhodno pa morata javni uslužbenec in predstojnik skleniti pisni dogovor, iz katerega izhaja vrsta in tudi obseg konkretnih nalog, ki jih je treba opraviti v povečanem obsegu. Pisni dogovor o opravljanju povečanega obsega dela je možno skleniti za daljše časovno obdobje, obseg opravljenega dela in višino plačila za ta namen pa je treba ugotavljati in določati vsak mesec posebej. Višina plačila se določi s sklepom (ali drugim aktom delodajalca) in je odvisna od dejansko opravljenih nalog iz dogovora. V zvezi s tem je treba opozoriti, da je podlaga za določanje višine plačila dejansko opravljeno delo (rezultati dela). Nadalje Zakon o sistemu plač v javnem sektorju glede določitve pogojev, meril in obsega plače za delovno uspešnost iz naslova povečanega obsega dela za javne uslužbence napotuje na Uredbo o delovni uspešnosti iz naslova povečanega dela za javne uslužbence.</w:t>
      </w:r>
    </w:p>
    <w:p w14:paraId="7B0EA869" w14:textId="77777777" w:rsidR="00F26853" w:rsidRPr="00F26853" w:rsidRDefault="00F26853" w:rsidP="00F26853">
      <w:r w:rsidRPr="00F26853">
        <w:t>Zakon o sistemu plač v javnem sektorju je v prvem odstavku 22.d člena določal tudi, da se lahko v primerih, ko to določa zakon, delovna uspešnost iz naslova povečanega obsega dela izplačuje, če ima proračunski uporabnik za ta namen na razpolago sredstva iz prihrankov sredstev za plače, ki nastanejo zaradi odsotnosti javnih uslužbencev, ali nezasedenih delovnih mest, za katera so bila predvidena sredstva v finančnem načrtu uporabnika proračuna, in sredstev za posebne projekte. Posebni projekti, za izvajanje katerih je dovoljeno izplačevati del plače za delovno uspešnost iz naslova povečanega obsega dela se, v skladu z drugim odstavkom 22.d člena Zakona o sistemu plač v javnem sektorju za javne uslužbence določijo z aktom vlade, za javne uslužbence drugega državnega organa pa z aktom tega državnega organa, če so za to zagotovljena namenska sredstva v proračunu.</w:t>
      </w:r>
    </w:p>
    <w:p w14:paraId="7C5FC192" w14:textId="77777777" w:rsidR="00F26853" w:rsidRPr="00F26853" w:rsidRDefault="00F26853" w:rsidP="00F26853">
      <w:r w:rsidRPr="00F26853">
        <w:t>Uredba o delovni uspešnosti iz naslova povečanega obsega dela za javne uslužbence  v prvem odstavku 2. člena določa, da se delovna uspešnost iz naslova povečanega obsega dela v posameznem mesecu, pod pogoji, ki jih določa zakon, izplača, če javni uslužbenec povečan obseg dela opravi pri opravljanju rednih nalog uporabnika proračuna ali projekta, načrtovanega v okviru sprejetega finančnega načrta uporabnika proračuna ali opravi povečan obseg dela v okviru sodelovanja pri izvajanju posebnega projekta, ki ga določi vlada s svojim aktom in za katerega so zagotovljena dodatna sredstva. Uredba v 3. členu določa tudi vire sredstev za izplačilo delovne uspešnosti iz naslova povečanega obsega dela, in sicer so viri za izplačilo delovne uspešnosti iz naslova povečanega obsega dela zaradi opravljanja rednih nalog proračunskega uporabnika ali izvajanje nalog projekta načrtovanega v finančnem načrtu prihranki sredstev za plače posameznega proračunskega uporabnika, ki nastanejo zaradi odsotnosti javnih uslužbencev z dela, ali nezasedenih delovnih mest ali sredstva projekta, ki so predvidena v finančnem načrtu uporabnika proračuna. Viri za plačilo delovne uspešnosti iz naslova posebnega projekta pa so sredstva, ki jih je zagotovil financer projekta, za izvajanje posebnega projekta, ki ga je s svojim aktom določila vlada.</w:t>
      </w:r>
    </w:p>
    <w:p w14:paraId="009200F1" w14:textId="77777777" w:rsidR="00F26853" w:rsidRPr="00F26853" w:rsidRDefault="00F26853" w:rsidP="00F26853">
      <w:r w:rsidRPr="00F26853">
        <w:t xml:space="preserve">Na podlagi drugega odstavka 4. člena omenjene uredbe lahko višina dela plače za plačilo delovne uspešnosti iz naslova opravljanja delovnih nalog uporabnika proračuna ali projekta, načrtovanega v okviru sprejetega finančnega načrta uporabnika proračuna znaša za javnega uslužbenca največ 20 </w:t>
      </w:r>
      <w:r w:rsidRPr="00F26853">
        <w:lastRenderedPageBreak/>
        <w:t xml:space="preserve">odstotkov plače, iz naslova sodelovanja pri izvajanju posebnega projekta, ki ga določi vlada s svojim aktom pa največ 30 odstotkov osnovne plače. </w:t>
      </w:r>
    </w:p>
    <w:p w14:paraId="7C3ADD9C" w14:textId="77777777" w:rsidR="00F26853" w:rsidRPr="00F26853" w:rsidRDefault="00F26853" w:rsidP="00F26853">
      <w:r w:rsidRPr="00F26853">
        <w:t>V skladu z drugim odstavkom 5. člena omenjene uredbe mora organ, pristojen za imenovanje ravnatelja ali direktorja vzgojno-izobraževalnega zavoda, to je v skladu s 53.a členom Zakona o organizaciji in financiranju vzgoje in izobraževanja svet zavoda, pri odločanju o višini dela plače za delovno uspešnost iz naslova povečanega obsega dela pridobiti soglasje ustanovitelja, kar je v skladu z drugim in tretjim odstavkom 41. člena ZOFVI Vlada Republike Slovenije.</w:t>
      </w:r>
    </w:p>
    <w:p w14:paraId="7954B57C" w14:textId="77777777" w:rsidR="00F26853" w:rsidRPr="00F26853" w:rsidRDefault="00F26853" w:rsidP="00F26853">
      <w:r w:rsidRPr="00F26853">
        <w:t>Sveti javnih zavodov so obravnavali delovno uspešnost svojih direktorjev in ravnateljev iz naslova povečanega obsega dela v letu 2024 in so v skladu z 22.d in 22.e členom Zakona o sistemu plač v javnem sektorju ter drugim odstavkom 5. člena Uredbe, sprejeli sklepe o povečanem obsegu dela.</w:t>
      </w:r>
    </w:p>
    <w:p w14:paraId="41C35F8A" w14:textId="77777777" w:rsidR="00F26853" w:rsidRPr="00F26853" w:rsidRDefault="00F26853" w:rsidP="00F26853">
      <w:r w:rsidRPr="00F26853">
        <w:t>Pri vseh direktorjih in ravnateljih gre za delovno uspešnost na podlagi prvega odstavka 22.d člena Zakona o sistemu plač v javnem sektorju. Sredstva zagotavljajo javni zavodi sami in sicer iz prihrankov sredstev za plače, ki nastanejo zaradi odsotnosti javnih uslužbencev, ali nezasedenih delovnih mest, za katera so bila predvidena sredstva v finančnem načrtu uporabnika proračuna ter sredstev projektov, načrtovanih v okviru sprejetega finančnega načrta šole ter v skladu s prvo alinejo 3. členom Uredbe. Zneski ne smejo presegati oziroma so v odstotku, določenem v 4. členu Uredbe.</w:t>
      </w:r>
    </w:p>
    <w:p w14:paraId="7F3516F5" w14:textId="77777777" w:rsidR="00F26853" w:rsidRPr="00F26853" w:rsidRDefault="00F26853" w:rsidP="00F26853">
      <w:r w:rsidRPr="00F26853">
        <w:t>Sveti zavodov so s svojimi ravnatelji oziroma direktorji sklenili dogovore o opravljanju različnih dodatnih nalog, ki so v določenih krajših ali daljših obdobjih v koledarskem letu 2024 predstavljale povečan obseg dela, ki presega pričakovane rezultate dela pri opravljanju rednih nalog zavoda (če je na ta način mogoče zagotoviti racionalnejše izvajanje teh nalog) ali pri projektih, načrtovanih v okviru sprejetega finančnega načrta, programa dela in kadrovskega načrta zavoda.</w:t>
      </w:r>
    </w:p>
    <w:p w14:paraId="32BEAF70" w14:textId="77777777" w:rsidR="00F26853" w:rsidRPr="00F26853" w:rsidRDefault="00F26853" w:rsidP="00F26853">
      <w:r w:rsidRPr="00F26853">
        <w:t xml:space="preserve">Vse vloge zavodov izpolnjujejo zakonske, </w:t>
      </w:r>
      <w:proofErr w:type="spellStart"/>
      <w:r w:rsidRPr="00F26853">
        <w:t>pravilniške</w:t>
      </w:r>
      <w:proofErr w:type="spellEnd"/>
      <w:r w:rsidRPr="00F26853">
        <w:t xml:space="preserve"> ter uredbene pogoje za izplačilo delovne uspešnosti iz naslova povečanega obsega dela ravnateljev in direktorjev javnih zavodov s področja vzgoje in izobraževanja.</w:t>
      </w:r>
    </w:p>
    <w:p w14:paraId="585D2E08" w14:textId="77777777" w:rsidR="00F26853" w:rsidRPr="00F26853" w:rsidRDefault="00F26853" w:rsidP="00F26853"/>
    <w:p w14:paraId="5CDAB716" w14:textId="09BBDAA7" w:rsidR="00CB6E8F" w:rsidRPr="00F26853" w:rsidRDefault="00F26853" w:rsidP="00F26853">
      <w:r w:rsidRPr="00F26853">
        <w:t>Vir: Ministrstvo za vzgojo in izobraževanje</w:t>
      </w:r>
    </w:p>
    <w:p w14:paraId="4DAEAB78" w14:textId="77777777" w:rsidR="00CB6E8F" w:rsidRPr="00CB6E8F" w:rsidRDefault="00CB6E8F" w:rsidP="00CB6E8F">
      <w:pPr>
        <w:rPr>
          <w:color w:val="FF0000"/>
        </w:rPr>
      </w:pPr>
    </w:p>
    <w:p w14:paraId="19E15C4D" w14:textId="39C0040D" w:rsidR="007B053D" w:rsidRPr="007B053D" w:rsidRDefault="007B053D" w:rsidP="007B053D">
      <w:pPr>
        <w:pStyle w:val="Naslov2"/>
      </w:pPr>
      <w:r w:rsidRPr="007B053D">
        <w:t>Vlada razrešila in imenovala vodstvo Agencije za varnost prometa</w:t>
      </w:r>
    </w:p>
    <w:p w14:paraId="63530CE3" w14:textId="77777777" w:rsidR="007B053D" w:rsidRPr="007B053D" w:rsidRDefault="007B053D" w:rsidP="007B053D">
      <w:pPr>
        <w:rPr>
          <w:color w:val="000000" w:themeColor="text1"/>
        </w:rPr>
      </w:pPr>
      <w:r w:rsidRPr="007B053D">
        <w:rPr>
          <w:color w:val="000000" w:themeColor="text1"/>
        </w:rPr>
        <w:t xml:space="preserve">Vlada Republike Slovenije je izdala odločbo o razrešitvi mag. Simone </w:t>
      </w:r>
      <w:proofErr w:type="spellStart"/>
      <w:r w:rsidRPr="007B053D">
        <w:rPr>
          <w:color w:val="000000" w:themeColor="text1"/>
        </w:rPr>
        <w:t>Felser</w:t>
      </w:r>
      <w:proofErr w:type="spellEnd"/>
      <w:r w:rsidRPr="007B053D">
        <w:rPr>
          <w:color w:val="000000" w:themeColor="text1"/>
        </w:rPr>
        <w:t xml:space="preserve"> s položaja direktorice Javne agencije Republike Slovenije za varnost prometa.   </w:t>
      </w:r>
    </w:p>
    <w:p w14:paraId="0422488B" w14:textId="77777777" w:rsidR="007B053D" w:rsidRPr="007B053D" w:rsidRDefault="007B053D" w:rsidP="007B053D">
      <w:pPr>
        <w:rPr>
          <w:color w:val="000000" w:themeColor="text1"/>
        </w:rPr>
      </w:pPr>
    </w:p>
    <w:p w14:paraId="38348158" w14:textId="11D93037" w:rsidR="007B053D" w:rsidRPr="007B053D" w:rsidRDefault="007B053D" w:rsidP="007B053D">
      <w:pPr>
        <w:rPr>
          <w:color w:val="000000" w:themeColor="text1"/>
        </w:rPr>
      </w:pPr>
      <w:r w:rsidRPr="007B053D">
        <w:rPr>
          <w:color w:val="000000" w:themeColor="text1"/>
        </w:rPr>
        <w:t>Vlada Republike Slovenije je izdala odločbo o imenovanju mag. Saše Jevšnik Kafol za vršilko dolžnosti direktorja Javne agencije Republike Slovenije za varnost prometa, in sicer od 1. 7. 2025 do imenovanja novega direktorja Javne agencije Republike Slovenije za varnost prometa, vendar največ za šest mesecev, to je najdlje do 31. 12. 2025.</w:t>
      </w:r>
    </w:p>
    <w:p w14:paraId="23DCD1A6" w14:textId="5152D5A6" w:rsidR="007B053D" w:rsidRPr="007B053D" w:rsidRDefault="007B053D" w:rsidP="007B053D">
      <w:pPr>
        <w:pStyle w:val="Vir"/>
      </w:pPr>
      <w:r w:rsidRPr="007B053D">
        <w:t>Vir: Ministrstvo za infrastrukturo</w:t>
      </w:r>
    </w:p>
    <w:p w14:paraId="3B452EE9" w14:textId="5315C797" w:rsidR="001D6E3A" w:rsidRPr="007B053D" w:rsidRDefault="001D6E3A" w:rsidP="001D6E3A">
      <w:pPr>
        <w:rPr>
          <w:color w:val="000000" w:themeColor="text1"/>
        </w:rPr>
      </w:pPr>
    </w:p>
    <w:sectPr w:rsidR="001D6E3A" w:rsidRPr="007B053D"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0055E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911054930" name="Slika 911054930"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915BF9"/>
    <w:multiLevelType w:val="hybridMultilevel"/>
    <w:tmpl w:val="A88EED90"/>
    <w:lvl w:ilvl="0" w:tplc="725C9272">
      <w:start w:val="1"/>
      <w:numFmt w:val="bullet"/>
      <w:lvlText w:val=""/>
      <w:lvlJc w:val="left"/>
      <w:pPr>
        <w:ind w:left="720" w:hanging="360"/>
      </w:pPr>
      <w:rPr>
        <w:rFonts w:ascii="Symbol" w:hAnsi="Symbol" w:hint="default"/>
      </w:rPr>
    </w:lvl>
    <w:lvl w:ilvl="1" w:tplc="52D2DD26">
      <w:numFmt w:val="bullet"/>
      <w:lvlText w:val="-"/>
      <w:lvlJc w:val="left"/>
      <w:pPr>
        <w:ind w:left="1790" w:hanging="71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FE5022"/>
    <w:multiLevelType w:val="multilevel"/>
    <w:tmpl w:val="BA2A7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B7617"/>
    <w:multiLevelType w:val="hybridMultilevel"/>
    <w:tmpl w:val="0D0009F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9A7FD8"/>
    <w:multiLevelType w:val="hybridMultilevel"/>
    <w:tmpl w:val="1B4EC6C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986BC9"/>
    <w:multiLevelType w:val="hybridMultilevel"/>
    <w:tmpl w:val="FB429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8C7C49"/>
    <w:multiLevelType w:val="multilevel"/>
    <w:tmpl w:val="84F40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7D42B0"/>
    <w:multiLevelType w:val="hybridMultilevel"/>
    <w:tmpl w:val="2ADC8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123208"/>
    <w:multiLevelType w:val="hybridMultilevel"/>
    <w:tmpl w:val="7E7CD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7010F6"/>
    <w:multiLevelType w:val="hybridMultilevel"/>
    <w:tmpl w:val="ADD2E3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333A5B"/>
    <w:multiLevelType w:val="hybridMultilevel"/>
    <w:tmpl w:val="9C285198"/>
    <w:lvl w:ilvl="0" w:tplc="30CAFE8A">
      <w:start w:val="10"/>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15:restartNumberingAfterBreak="0">
    <w:nsid w:val="4FDA28AE"/>
    <w:multiLevelType w:val="hybridMultilevel"/>
    <w:tmpl w:val="734A7916"/>
    <w:lvl w:ilvl="0" w:tplc="60F4D080">
      <w:start w:val="1"/>
      <w:numFmt w:val="upperRoman"/>
      <w:lvlText w:val="%1."/>
      <w:lvlJc w:val="left"/>
      <w:pPr>
        <w:ind w:left="697" w:hanging="720"/>
      </w:pPr>
      <w:rPr>
        <w:rFonts w:hint="default"/>
      </w:rPr>
    </w:lvl>
    <w:lvl w:ilvl="1" w:tplc="04240019" w:tentative="1">
      <w:start w:val="1"/>
      <w:numFmt w:val="lowerLetter"/>
      <w:lvlText w:val="%2."/>
      <w:lvlJc w:val="left"/>
      <w:pPr>
        <w:ind w:left="1057" w:hanging="360"/>
      </w:pPr>
    </w:lvl>
    <w:lvl w:ilvl="2" w:tplc="0424001B" w:tentative="1">
      <w:start w:val="1"/>
      <w:numFmt w:val="lowerRoman"/>
      <w:lvlText w:val="%3."/>
      <w:lvlJc w:val="right"/>
      <w:pPr>
        <w:ind w:left="1777" w:hanging="180"/>
      </w:pPr>
    </w:lvl>
    <w:lvl w:ilvl="3" w:tplc="0424000F" w:tentative="1">
      <w:start w:val="1"/>
      <w:numFmt w:val="decimal"/>
      <w:lvlText w:val="%4."/>
      <w:lvlJc w:val="left"/>
      <w:pPr>
        <w:ind w:left="2497" w:hanging="360"/>
      </w:pPr>
    </w:lvl>
    <w:lvl w:ilvl="4" w:tplc="04240019" w:tentative="1">
      <w:start w:val="1"/>
      <w:numFmt w:val="lowerLetter"/>
      <w:lvlText w:val="%5."/>
      <w:lvlJc w:val="left"/>
      <w:pPr>
        <w:ind w:left="3217" w:hanging="360"/>
      </w:pPr>
    </w:lvl>
    <w:lvl w:ilvl="5" w:tplc="0424001B" w:tentative="1">
      <w:start w:val="1"/>
      <w:numFmt w:val="lowerRoman"/>
      <w:lvlText w:val="%6."/>
      <w:lvlJc w:val="right"/>
      <w:pPr>
        <w:ind w:left="3937" w:hanging="180"/>
      </w:pPr>
    </w:lvl>
    <w:lvl w:ilvl="6" w:tplc="0424000F" w:tentative="1">
      <w:start w:val="1"/>
      <w:numFmt w:val="decimal"/>
      <w:lvlText w:val="%7."/>
      <w:lvlJc w:val="left"/>
      <w:pPr>
        <w:ind w:left="4657" w:hanging="360"/>
      </w:pPr>
    </w:lvl>
    <w:lvl w:ilvl="7" w:tplc="04240019" w:tentative="1">
      <w:start w:val="1"/>
      <w:numFmt w:val="lowerLetter"/>
      <w:lvlText w:val="%8."/>
      <w:lvlJc w:val="left"/>
      <w:pPr>
        <w:ind w:left="5377" w:hanging="360"/>
      </w:pPr>
    </w:lvl>
    <w:lvl w:ilvl="8" w:tplc="0424001B" w:tentative="1">
      <w:start w:val="1"/>
      <w:numFmt w:val="lowerRoman"/>
      <w:lvlText w:val="%9."/>
      <w:lvlJc w:val="right"/>
      <w:pPr>
        <w:ind w:left="6097" w:hanging="180"/>
      </w:pPr>
    </w:lvl>
  </w:abstractNum>
  <w:abstractNum w:abstractNumId="18" w15:restartNumberingAfterBreak="0">
    <w:nsid w:val="645E472A"/>
    <w:multiLevelType w:val="hybridMultilevel"/>
    <w:tmpl w:val="5754C5C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48D4059"/>
    <w:multiLevelType w:val="hybridMultilevel"/>
    <w:tmpl w:val="963C0ABE"/>
    <w:lvl w:ilvl="0" w:tplc="725C927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15:restartNumberingAfterBreak="0">
    <w:nsid w:val="70930C72"/>
    <w:multiLevelType w:val="multilevel"/>
    <w:tmpl w:val="6AC6C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21"/>
  </w:num>
  <w:num w:numId="2" w16cid:durableId="984821814">
    <w:abstractNumId w:val="13"/>
  </w:num>
  <w:num w:numId="3" w16cid:durableId="150218247">
    <w:abstractNumId w:val="0"/>
  </w:num>
  <w:num w:numId="4" w16cid:durableId="1026903286">
    <w:abstractNumId w:val="15"/>
  </w:num>
  <w:num w:numId="5" w16cid:durableId="231817878">
    <w:abstractNumId w:val="6"/>
  </w:num>
  <w:num w:numId="6" w16cid:durableId="2110814889">
    <w:abstractNumId w:val="22"/>
  </w:num>
  <w:num w:numId="7" w16cid:durableId="695153758">
    <w:abstractNumId w:val="7"/>
  </w:num>
  <w:num w:numId="8" w16cid:durableId="853298866">
    <w:abstractNumId w:val="12"/>
  </w:num>
  <w:num w:numId="9" w16cid:durableId="1789348953">
    <w:abstractNumId w:val="5"/>
  </w:num>
  <w:num w:numId="10" w16cid:durableId="818110424">
    <w:abstractNumId w:val="8"/>
  </w:num>
  <w:num w:numId="11" w16cid:durableId="2044134785">
    <w:abstractNumId w:val="19"/>
  </w:num>
  <w:num w:numId="12" w16cid:durableId="1997300509">
    <w:abstractNumId w:val="3"/>
  </w:num>
  <w:num w:numId="13" w16cid:durableId="460464258">
    <w:abstractNumId w:val="18"/>
  </w:num>
  <w:num w:numId="14" w16cid:durableId="1241787594">
    <w:abstractNumId w:val="1"/>
  </w:num>
  <w:num w:numId="15" w16cid:durableId="2036879212">
    <w:abstractNumId w:val="10"/>
  </w:num>
  <w:num w:numId="16" w16cid:durableId="587735170">
    <w:abstractNumId w:val="14"/>
  </w:num>
  <w:num w:numId="17" w16cid:durableId="1104230957">
    <w:abstractNumId w:val="4"/>
  </w:num>
  <w:num w:numId="18" w16cid:durableId="467163710">
    <w:abstractNumId w:val="11"/>
  </w:num>
  <w:num w:numId="19" w16cid:durableId="2111269993">
    <w:abstractNumId w:val="17"/>
  </w:num>
  <w:num w:numId="20" w16cid:durableId="1503621727">
    <w:abstractNumId w:val="16"/>
  </w:num>
  <w:num w:numId="21" w16cid:durableId="649601328">
    <w:abstractNumId w:val="2"/>
  </w:num>
  <w:num w:numId="22" w16cid:durableId="174657051">
    <w:abstractNumId w:val="9"/>
  </w:num>
  <w:num w:numId="23" w16cid:durableId="20963932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55E2"/>
    <w:rsid w:val="0001751A"/>
    <w:rsid w:val="000214C4"/>
    <w:rsid w:val="00022EF8"/>
    <w:rsid w:val="000318E4"/>
    <w:rsid w:val="00037955"/>
    <w:rsid w:val="000506B2"/>
    <w:rsid w:val="00050A56"/>
    <w:rsid w:val="00076DF7"/>
    <w:rsid w:val="00085D04"/>
    <w:rsid w:val="00086FCD"/>
    <w:rsid w:val="00087069"/>
    <w:rsid w:val="00097B85"/>
    <w:rsid w:val="000D5520"/>
    <w:rsid w:val="000E0657"/>
    <w:rsid w:val="00110B8F"/>
    <w:rsid w:val="00121E23"/>
    <w:rsid w:val="0013016C"/>
    <w:rsid w:val="001473BA"/>
    <w:rsid w:val="001602C9"/>
    <w:rsid w:val="0016530C"/>
    <w:rsid w:val="001673A5"/>
    <w:rsid w:val="00173343"/>
    <w:rsid w:val="001934F3"/>
    <w:rsid w:val="001A0A4A"/>
    <w:rsid w:val="001A344A"/>
    <w:rsid w:val="001B01DD"/>
    <w:rsid w:val="001B42F9"/>
    <w:rsid w:val="001C3560"/>
    <w:rsid w:val="001C6733"/>
    <w:rsid w:val="001D494F"/>
    <w:rsid w:val="001D6E3A"/>
    <w:rsid w:val="001F51BC"/>
    <w:rsid w:val="001F67F1"/>
    <w:rsid w:val="001F7F63"/>
    <w:rsid w:val="00202CA6"/>
    <w:rsid w:val="00203E6B"/>
    <w:rsid w:val="00203F5F"/>
    <w:rsid w:val="00214F5E"/>
    <w:rsid w:val="00215140"/>
    <w:rsid w:val="00220CDD"/>
    <w:rsid w:val="00231021"/>
    <w:rsid w:val="002501CE"/>
    <w:rsid w:val="00251BD0"/>
    <w:rsid w:val="00253AEC"/>
    <w:rsid w:val="00263197"/>
    <w:rsid w:val="00272247"/>
    <w:rsid w:val="00272654"/>
    <w:rsid w:val="00292A86"/>
    <w:rsid w:val="002B5FE9"/>
    <w:rsid w:val="002C36A6"/>
    <w:rsid w:val="002D5B5D"/>
    <w:rsid w:val="003101D2"/>
    <w:rsid w:val="0032428F"/>
    <w:rsid w:val="00334CA3"/>
    <w:rsid w:val="00346E22"/>
    <w:rsid w:val="00351E1E"/>
    <w:rsid w:val="00357DC0"/>
    <w:rsid w:val="00361255"/>
    <w:rsid w:val="003758A1"/>
    <w:rsid w:val="00381018"/>
    <w:rsid w:val="003847C8"/>
    <w:rsid w:val="003877EB"/>
    <w:rsid w:val="00390DF7"/>
    <w:rsid w:val="0039662C"/>
    <w:rsid w:val="00396FAC"/>
    <w:rsid w:val="003B4674"/>
    <w:rsid w:val="003C45BB"/>
    <w:rsid w:val="003D19C5"/>
    <w:rsid w:val="003D64D8"/>
    <w:rsid w:val="003D7CDD"/>
    <w:rsid w:val="003E168A"/>
    <w:rsid w:val="003E17B6"/>
    <w:rsid w:val="003E6170"/>
    <w:rsid w:val="003E65A2"/>
    <w:rsid w:val="003F4CC5"/>
    <w:rsid w:val="00401877"/>
    <w:rsid w:val="0041262C"/>
    <w:rsid w:val="00414209"/>
    <w:rsid w:val="00415527"/>
    <w:rsid w:val="004319B0"/>
    <w:rsid w:val="00432937"/>
    <w:rsid w:val="00433C0D"/>
    <w:rsid w:val="00435E4E"/>
    <w:rsid w:val="004403EC"/>
    <w:rsid w:val="00442850"/>
    <w:rsid w:val="00447B57"/>
    <w:rsid w:val="0045074C"/>
    <w:rsid w:val="00455B63"/>
    <w:rsid w:val="00460370"/>
    <w:rsid w:val="004701ED"/>
    <w:rsid w:val="00474E61"/>
    <w:rsid w:val="00495AE5"/>
    <w:rsid w:val="004A7CAD"/>
    <w:rsid w:val="004B4753"/>
    <w:rsid w:val="004B70F8"/>
    <w:rsid w:val="004B7346"/>
    <w:rsid w:val="004C67A4"/>
    <w:rsid w:val="004E6EEE"/>
    <w:rsid w:val="00511141"/>
    <w:rsid w:val="00513CF7"/>
    <w:rsid w:val="00514121"/>
    <w:rsid w:val="00522637"/>
    <w:rsid w:val="005228C4"/>
    <w:rsid w:val="00527867"/>
    <w:rsid w:val="00527AA5"/>
    <w:rsid w:val="005314D7"/>
    <w:rsid w:val="00534EC5"/>
    <w:rsid w:val="005515BD"/>
    <w:rsid w:val="005541F4"/>
    <w:rsid w:val="0055571D"/>
    <w:rsid w:val="0059143B"/>
    <w:rsid w:val="005A570D"/>
    <w:rsid w:val="005B5886"/>
    <w:rsid w:val="005C1523"/>
    <w:rsid w:val="005E1ABB"/>
    <w:rsid w:val="00602DE5"/>
    <w:rsid w:val="00603729"/>
    <w:rsid w:val="00614FFD"/>
    <w:rsid w:val="00616533"/>
    <w:rsid w:val="00616EE2"/>
    <w:rsid w:val="006274BB"/>
    <w:rsid w:val="00634EFA"/>
    <w:rsid w:val="00635D43"/>
    <w:rsid w:val="0065245A"/>
    <w:rsid w:val="00657A4D"/>
    <w:rsid w:val="00657F07"/>
    <w:rsid w:val="0066249C"/>
    <w:rsid w:val="0067375D"/>
    <w:rsid w:val="00695021"/>
    <w:rsid w:val="006B26AF"/>
    <w:rsid w:val="006B5C91"/>
    <w:rsid w:val="006C1B31"/>
    <w:rsid w:val="006F2D44"/>
    <w:rsid w:val="006F4539"/>
    <w:rsid w:val="0070324C"/>
    <w:rsid w:val="00707EDB"/>
    <w:rsid w:val="007120FD"/>
    <w:rsid w:val="007130E1"/>
    <w:rsid w:val="00717B45"/>
    <w:rsid w:val="00717E59"/>
    <w:rsid w:val="0073796B"/>
    <w:rsid w:val="00742BE6"/>
    <w:rsid w:val="00750D01"/>
    <w:rsid w:val="007556CB"/>
    <w:rsid w:val="007643A0"/>
    <w:rsid w:val="007669A3"/>
    <w:rsid w:val="00770A0F"/>
    <w:rsid w:val="00781345"/>
    <w:rsid w:val="007978B4"/>
    <w:rsid w:val="007A4A2D"/>
    <w:rsid w:val="007A6460"/>
    <w:rsid w:val="007B053D"/>
    <w:rsid w:val="007B0ADD"/>
    <w:rsid w:val="007D70B9"/>
    <w:rsid w:val="007E198F"/>
    <w:rsid w:val="007E5D4C"/>
    <w:rsid w:val="007E7018"/>
    <w:rsid w:val="007F6EF7"/>
    <w:rsid w:val="0080156F"/>
    <w:rsid w:val="00803AE0"/>
    <w:rsid w:val="0081393C"/>
    <w:rsid w:val="00813B32"/>
    <w:rsid w:val="008244C0"/>
    <w:rsid w:val="00825605"/>
    <w:rsid w:val="008336E7"/>
    <w:rsid w:val="00836E94"/>
    <w:rsid w:val="00847AD3"/>
    <w:rsid w:val="00847F68"/>
    <w:rsid w:val="008624E8"/>
    <w:rsid w:val="00865FF5"/>
    <w:rsid w:val="008708E2"/>
    <w:rsid w:val="00871422"/>
    <w:rsid w:val="0088147F"/>
    <w:rsid w:val="00891D3C"/>
    <w:rsid w:val="008B7AF2"/>
    <w:rsid w:val="008C4231"/>
    <w:rsid w:val="008D49BD"/>
    <w:rsid w:val="00905C96"/>
    <w:rsid w:val="009174DA"/>
    <w:rsid w:val="00931DC8"/>
    <w:rsid w:val="00933061"/>
    <w:rsid w:val="00933087"/>
    <w:rsid w:val="00934D15"/>
    <w:rsid w:val="00935147"/>
    <w:rsid w:val="00940AB6"/>
    <w:rsid w:val="00945B27"/>
    <w:rsid w:val="009540E4"/>
    <w:rsid w:val="00955894"/>
    <w:rsid w:val="00974186"/>
    <w:rsid w:val="00981C84"/>
    <w:rsid w:val="00983241"/>
    <w:rsid w:val="00985077"/>
    <w:rsid w:val="009900DE"/>
    <w:rsid w:val="009A1C4A"/>
    <w:rsid w:val="009A41AA"/>
    <w:rsid w:val="009A64FE"/>
    <w:rsid w:val="009B1A79"/>
    <w:rsid w:val="009C2C98"/>
    <w:rsid w:val="009C2D77"/>
    <w:rsid w:val="009C4012"/>
    <w:rsid w:val="009C562E"/>
    <w:rsid w:val="009D10D1"/>
    <w:rsid w:val="009D6708"/>
    <w:rsid w:val="009F435E"/>
    <w:rsid w:val="00A014F8"/>
    <w:rsid w:val="00A066A0"/>
    <w:rsid w:val="00A06971"/>
    <w:rsid w:val="00A07336"/>
    <w:rsid w:val="00A27836"/>
    <w:rsid w:val="00A30052"/>
    <w:rsid w:val="00A32D11"/>
    <w:rsid w:val="00A34FC4"/>
    <w:rsid w:val="00A445DF"/>
    <w:rsid w:val="00A5415F"/>
    <w:rsid w:val="00A570F9"/>
    <w:rsid w:val="00A60A37"/>
    <w:rsid w:val="00A67305"/>
    <w:rsid w:val="00A72369"/>
    <w:rsid w:val="00A7412B"/>
    <w:rsid w:val="00A76472"/>
    <w:rsid w:val="00A86BD2"/>
    <w:rsid w:val="00A92C38"/>
    <w:rsid w:val="00A97BCF"/>
    <w:rsid w:val="00AB1DC2"/>
    <w:rsid w:val="00AC15F2"/>
    <w:rsid w:val="00AD1AFD"/>
    <w:rsid w:val="00AD7CF1"/>
    <w:rsid w:val="00AE6CD6"/>
    <w:rsid w:val="00AF08EE"/>
    <w:rsid w:val="00B01156"/>
    <w:rsid w:val="00B022E5"/>
    <w:rsid w:val="00B2076C"/>
    <w:rsid w:val="00B47E1D"/>
    <w:rsid w:val="00B47F61"/>
    <w:rsid w:val="00B60F58"/>
    <w:rsid w:val="00B70F5B"/>
    <w:rsid w:val="00B72A60"/>
    <w:rsid w:val="00B72A7C"/>
    <w:rsid w:val="00B753A8"/>
    <w:rsid w:val="00B82803"/>
    <w:rsid w:val="00B84862"/>
    <w:rsid w:val="00BA743D"/>
    <w:rsid w:val="00BB1111"/>
    <w:rsid w:val="00BB73C0"/>
    <w:rsid w:val="00BC0539"/>
    <w:rsid w:val="00BC213F"/>
    <w:rsid w:val="00BC2E1C"/>
    <w:rsid w:val="00BD5FED"/>
    <w:rsid w:val="00BE4E8C"/>
    <w:rsid w:val="00BE5C43"/>
    <w:rsid w:val="00BF4E80"/>
    <w:rsid w:val="00C05B00"/>
    <w:rsid w:val="00C263D7"/>
    <w:rsid w:val="00C272D8"/>
    <w:rsid w:val="00C3152B"/>
    <w:rsid w:val="00C31703"/>
    <w:rsid w:val="00C354D9"/>
    <w:rsid w:val="00C365A8"/>
    <w:rsid w:val="00C4565A"/>
    <w:rsid w:val="00C458C2"/>
    <w:rsid w:val="00C6110B"/>
    <w:rsid w:val="00C666AC"/>
    <w:rsid w:val="00C73453"/>
    <w:rsid w:val="00C757A5"/>
    <w:rsid w:val="00C81ACD"/>
    <w:rsid w:val="00C93A38"/>
    <w:rsid w:val="00C97F7B"/>
    <w:rsid w:val="00CA5624"/>
    <w:rsid w:val="00CB5580"/>
    <w:rsid w:val="00CB6E8F"/>
    <w:rsid w:val="00CC02D1"/>
    <w:rsid w:val="00CC0F5D"/>
    <w:rsid w:val="00CC1E17"/>
    <w:rsid w:val="00CC3123"/>
    <w:rsid w:val="00CC37B3"/>
    <w:rsid w:val="00CE0DA8"/>
    <w:rsid w:val="00D00D4C"/>
    <w:rsid w:val="00D10EB4"/>
    <w:rsid w:val="00D14EEC"/>
    <w:rsid w:val="00D447F7"/>
    <w:rsid w:val="00D60A92"/>
    <w:rsid w:val="00D650E2"/>
    <w:rsid w:val="00D7373E"/>
    <w:rsid w:val="00D73879"/>
    <w:rsid w:val="00D8375E"/>
    <w:rsid w:val="00D9208E"/>
    <w:rsid w:val="00D95BC6"/>
    <w:rsid w:val="00D966FF"/>
    <w:rsid w:val="00DA0029"/>
    <w:rsid w:val="00DA3B4D"/>
    <w:rsid w:val="00DA5C0D"/>
    <w:rsid w:val="00DB2AE7"/>
    <w:rsid w:val="00DC14CE"/>
    <w:rsid w:val="00DE199D"/>
    <w:rsid w:val="00DE1B54"/>
    <w:rsid w:val="00DE27BA"/>
    <w:rsid w:val="00E02AB3"/>
    <w:rsid w:val="00E05EEE"/>
    <w:rsid w:val="00E146D3"/>
    <w:rsid w:val="00E14AAE"/>
    <w:rsid w:val="00E2000F"/>
    <w:rsid w:val="00E2036F"/>
    <w:rsid w:val="00E23274"/>
    <w:rsid w:val="00E3507E"/>
    <w:rsid w:val="00E7132A"/>
    <w:rsid w:val="00E83E60"/>
    <w:rsid w:val="00E86C78"/>
    <w:rsid w:val="00E948BD"/>
    <w:rsid w:val="00EA221A"/>
    <w:rsid w:val="00EA347A"/>
    <w:rsid w:val="00EB20D7"/>
    <w:rsid w:val="00EC012E"/>
    <w:rsid w:val="00ED271E"/>
    <w:rsid w:val="00EF1587"/>
    <w:rsid w:val="00EF26DC"/>
    <w:rsid w:val="00F01966"/>
    <w:rsid w:val="00F03D64"/>
    <w:rsid w:val="00F05292"/>
    <w:rsid w:val="00F20884"/>
    <w:rsid w:val="00F21123"/>
    <w:rsid w:val="00F21419"/>
    <w:rsid w:val="00F23144"/>
    <w:rsid w:val="00F249AC"/>
    <w:rsid w:val="00F26853"/>
    <w:rsid w:val="00F374F9"/>
    <w:rsid w:val="00F462C7"/>
    <w:rsid w:val="00F51FC7"/>
    <w:rsid w:val="00F52C67"/>
    <w:rsid w:val="00F64354"/>
    <w:rsid w:val="00F73E59"/>
    <w:rsid w:val="00F90B3B"/>
    <w:rsid w:val="00F93A56"/>
    <w:rsid w:val="00FA792D"/>
    <w:rsid w:val="00FA79C5"/>
    <w:rsid w:val="00FC2D38"/>
    <w:rsid w:val="00FD3EC5"/>
    <w:rsid w:val="00FD63A4"/>
    <w:rsid w:val="00FD6F18"/>
    <w:rsid w:val="00FE2F56"/>
    <w:rsid w:val="00FE34A3"/>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3263">
      <w:bodyDiv w:val="1"/>
      <w:marLeft w:val="0"/>
      <w:marRight w:val="0"/>
      <w:marTop w:val="0"/>
      <w:marBottom w:val="0"/>
      <w:divBdr>
        <w:top w:val="none" w:sz="0" w:space="0" w:color="auto"/>
        <w:left w:val="none" w:sz="0" w:space="0" w:color="auto"/>
        <w:bottom w:val="none" w:sz="0" w:space="0" w:color="auto"/>
        <w:right w:val="none" w:sz="0" w:space="0" w:color="auto"/>
      </w:divBdr>
    </w:div>
    <w:div w:id="3242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11283</Words>
  <Characters>64318</Characters>
  <Application>Microsoft Office Word</Application>
  <DocSecurity>0</DocSecurity>
  <Lines>535</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2025-06-11T10:30:00Z</dcterms:created>
  <dcterms:modified xsi:type="dcterms:W3CDTF">2025-06-12T15:09:00Z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