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11"/>
          <w:headerReference w:type="first" r:id="rId12"/>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058469CA" w:rsidR="0073796B" w:rsidRPr="0039662C" w:rsidRDefault="00D10EB4" w:rsidP="0039662C">
      <w:pPr>
        <w:pStyle w:val="Naslov1"/>
      </w:pPr>
      <w:r>
        <w:t>1</w:t>
      </w:r>
      <w:r w:rsidR="00432937">
        <w:t>5</w:t>
      </w:r>
      <w:r w:rsidR="00635D43">
        <w:t>3</w:t>
      </w:r>
      <w:r w:rsidR="0073796B" w:rsidRPr="0039662C">
        <w:t>. redna seja Vlade Republike Slovenije</w:t>
      </w:r>
    </w:p>
    <w:p w14:paraId="27F30B92" w14:textId="418A5221" w:rsidR="0073796B" w:rsidRDefault="00635D43" w:rsidP="008B7AF2">
      <w:pPr>
        <w:pStyle w:val="DatumSZJ"/>
      </w:pPr>
      <w:r>
        <w:t>15</w:t>
      </w:r>
      <w:r w:rsidR="00D10EB4">
        <w:t>.</w:t>
      </w:r>
      <w:r w:rsidR="0073796B" w:rsidRPr="008B7AF2">
        <w:t xml:space="preserve"> </w:t>
      </w:r>
      <w:r w:rsidR="00C666AC">
        <w:t>maj</w:t>
      </w:r>
      <w:r w:rsidR="00C365A8">
        <w:t xml:space="preserve"> </w:t>
      </w:r>
      <w:r w:rsidR="0073796B" w:rsidRPr="008B7AF2">
        <w:t>202</w:t>
      </w:r>
      <w:r w:rsidR="00F21123">
        <w:t>5</w:t>
      </w:r>
    </w:p>
    <w:p w14:paraId="68E6709D" w14:textId="7CFB2E6C" w:rsidR="003E1504" w:rsidRDefault="003E1504" w:rsidP="003E1504">
      <w:pPr>
        <w:pStyle w:val="Naslov2"/>
      </w:pPr>
      <w:r>
        <w:t xml:space="preserve">Vlada je izdala novelo Uredbe o neposrednih plačilih iz strateškega načrta skupne kmetijske politike 2023–2027 </w:t>
      </w:r>
    </w:p>
    <w:p w14:paraId="7A317988" w14:textId="77777777" w:rsidR="003E1504" w:rsidRDefault="003E1504" w:rsidP="003E1504">
      <w:r>
        <w:t>Vlada je izdala Uredbo o spremembah in dopolnitvah Uredbe o neposrednih plačilih iz strateškega načrta skupne kmetijske politike 2023–2027 in jo objavi v Uradnem listu Republike Slovenije.</w:t>
      </w:r>
    </w:p>
    <w:p w14:paraId="57103D6E" w14:textId="77777777" w:rsidR="003E1504" w:rsidRDefault="003E1504" w:rsidP="003E1504"/>
    <w:p w14:paraId="25119BE0" w14:textId="77777777" w:rsidR="003E1504" w:rsidRDefault="003E1504" w:rsidP="003E1504">
      <w:r>
        <w:t>Uredba določa izvajanje intervencij v obliki neposrednih plačil iz strateškega načrta skupne kmetijske politike 2023–2027.</w:t>
      </w:r>
    </w:p>
    <w:p w14:paraId="2F959DF8" w14:textId="77777777" w:rsidR="003E1504" w:rsidRDefault="003E1504" w:rsidP="003E1504"/>
    <w:p w14:paraId="19D9F269" w14:textId="77777777" w:rsidR="003E1504" w:rsidRDefault="003E1504" w:rsidP="003E1504">
      <w:r>
        <w:t xml:space="preserve">Predlog novele uvaja nekatere spremembe pri posameznih intervencijah neposrednih plačil še za zahtevke za leto 2025. Nekateri pogoji upravičenosti pri določenih shemah SOPO, konkretno pri shemi naknadni posevki in podsevki, shemi ozelenitev ornih površin prek zime in shemi </w:t>
      </w:r>
      <w:proofErr w:type="spellStart"/>
      <w:r>
        <w:t>konzervirajoča</w:t>
      </w:r>
      <w:proofErr w:type="spellEnd"/>
      <w:r>
        <w:t xml:space="preserve"> obdelava tal, so rahlo prilagojeni. Te prilagoditve so izvedene v okviru določil, ki jih omogoča zapis v strateškem načrtu.</w:t>
      </w:r>
    </w:p>
    <w:p w14:paraId="59356C47" w14:textId="77777777" w:rsidR="003E1504" w:rsidRDefault="003E1504" w:rsidP="003E1504"/>
    <w:p w14:paraId="7187BA3B" w14:textId="77777777" w:rsidR="003E1504" w:rsidRDefault="003E1504" w:rsidP="003E1504">
      <w:r>
        <w:t xml:space="preserve">Za kmetijsko prakso zmanjšanje izpustov amonijaka (INHIBIT) se za leto 2026 dodatno uvede pogoj, da se pri oceni primernosti mešanice sredstev za gnojenje z inhibitorjem ali samostojnega inhibitorja </w:t>
      </w:r>
      <w:proofErr w:type="gramStart"/>
      <w:r>
        <w:t>upošteva</w:t>
      </w:r>
      <w:proofErr w:type="gramEnd"/>
      <w:r>
        <w:t xml:space="preserve"> le tiste, ki imajo tudi etikete označene v skladu s pravili iz četrtega odstavka 27. člena (oznaka CE in opisno navedena ustrezna funkcijska kategorija). Dodatno se določi, da nosilec evidenc o gnojenju pri tej kmetijski praksi ne pošilja na agencijo, ampak jih hrani pri sebi doma za primer pregleda na kraju samem.</w:t>
      </w:r>
    </w:p>
    <w:p w14:paraId="7F004C7C" w14:textId="77777777" w:rsidR="003E1504" w:rsidRDefault="003E1504" w:rsidP="003E1504"/>
    <w:p w14:paraId="49833658" w14:textId="77777777" w:rsidR="003E1504" w:rsidRDefault="003E1504" w:rsidP="003E1504">
      <w:r>
        <w:t xml:space="preserve">Pri definiciji aktivnega kmeta se tudi za kmete, ki imajo v preteklem letu več kot 5000 </w:t>
      </w:r>
      <w:proofErr w:type="spellStart"/>
      <w:proofErr w:type="gramStart"/>
      <w:r>
        <w:t>eurov</w:t>
      </w:r>
      <w:proofErr w:type="spellEnd"/>
      <w:proofErr w:type="gramEnd"/>
      <w:r>
        <w:t xml:space="preserve"> neposrednih plačil in se jim plačilo zaradi znižanj in sankcij zniža na nič evrov, uvede preveritev zneska po 7. členu uredbe. </w:t>
      </w:r>
    </w:p>
    <w:p w14:paraId="728FBDA6" w14:textId="49C8AD34" w:rsidR="00564AF1" w:rsidRDefault="003E1504" w:rsidP="003E1504">
      <w:pPr>
        <w:pStyle w:val="Vir"/>
      </w:pPr>
      <w:r>
        <w:t>Vir: Ministrstvo za kmetijstvo, gozdarstvo in prehrano</w:t>
      </w:r>
    </w:p>
    <w:p w14:paraId="314BA6F6" w14:textId="102B23FC" w:rsidR="003333DB" w:rsidRDefault="003333DB" w:rsidP="003333DB">
      <w:pPr>
        <w:pStyle w:val="Naslov2"/>
      </w:pPr>
      <w:r>
        <w:t>Sklep o določitvi Petrola, Slovenske energetske družbe, d.</w:t>
      </w:r>
      <w:r w:rsidR="00757960">
        <w:t xml:space="preserve"> </w:t>
      </w:r>
      <w:r>
        <w:t xml:space="preserve">d., Ljubljana za zavezanca za organiziranje obveznega varovanja </w:t>
      </w:r>
    </w:p>
    <w:p w14:paraId="4372C8BF" w14:textId="48CF14B8" w:rsidR="003333DB" w:rsidRDefault="003333DB" w:rsidP="003333DB">
      <w:r>
        <w:t>Vlada je določila Petrol, Slovenska energetska družba, d. d., Ljubljana, Dunajska cesta 50, 1000 Ljubljana, za zavezanca za organiziranje obveznega varovanja.</w:t>
      </w:r>
    </w:p>
    <w:p w14:paraId="258C2C18" w14:textId="77777777" w:rsidR="003333DB" w:rsidRDefault="003333DB" w:rsidP="003333DB"/>
    <w:p w14:paraId="0D844CFE" w14:textId="4B5AB3AE" w:rsidR="003333DB" w:rsidRDefault="003333DB" w:rsidP="003333DB">
      <w:r>
        <w:t>Petrol d. d., Ljubljana, vzpostavi in izvaja ukrepe varovanja v skladu s predpisi in standardi stroke na področju zasebnega varovanja, in sicer:</w:t>
      </w:r>
    </w:p>
    <w:p w14:paraId="278A6F90" w14:textId="2A1637EB" w:rsidR="003333DB" w:rsidRDefault="003333DB" w:rsidP="003333DB">
      <w:pPr>
        <w:pStyle w:val="Odstavekseznama"/>
        <w:numPr>
          <w:ilvl w:val="0"/>
          <w:numId w:val="10"/>
        </w:numPr>
      </w:pPr>
      <w:r>
        <w:t xml:space="preserve">stalen vizualni nadzor in nadzor varovanega območja prek internega video nadzornega sistema, </w:t>
      </w:r>
    </w:p>
    <w:p w14:paraId="04E69F23" w14:textId="73AB328E" w:rsidR="003333DB" w:rsidRDefault="003333DB" w:rsidP="003333DB">
      <w:pPr>
        <w:pStyle w:val="Odstavekseznama"/>
        <w:numPr>
          <w:ilvl w:val="0"/>
          <w:numId w:val="10"/>
        </w:numPr>
      </w:pPr>
      <w:r>
        <w:t xml:space="preserve">občasno fizično kontrolo posameznih objektov in območij, </w:t>
      </w:r>
    </w:p>
    <w:p w14:paraId="1E73C18E" w14:textId="21C75033" w:rsidR="003333DB" w:rsidRDefault="003333DB" w:rsidP="003333DB">
      <w:pPr>
        <w:pStyle w:val="Odstavekseznama"/>
        <w:numPr>
          <w:ilvl w:val="0"/>
          <w:numId w:val="10"/>
        </w:numPr>
      </w:pPr>
      <w:r>
        <w:t xml:space="preserve">stalno vstopno in izstopno kontrolo oseb z ugotavljanjem </w:t>
      </w:r>
      <w:proofErr w:type="gramStart"/>
      <w:r>
        <w:t>istovetnosti</w:t>
      </w:r>
      <w:proofErr w:type="gramEnd"/>
      <w:r>
        <w:t xml:space="preserve"> in vodenjem evidence obiskovalcev,</w:t>
      </w:r>
    </w:p>
    <w:p w14:paraId="59D53522" w14:textId="51152FAA" w:rsidR="003333DB" w:rsidRDefault="003333DB" w:rsidP="003333DB">
      <w:pPr>
        <w:pStyle w:val="Odstavekseznama"/>
        <w:numPr>
          <w:ilvl w:val="0"/>
          <w:numId w:val="10"/>
        </w:numPr>
      </w:pPr>
      <w:r>
        <w:t xml:space="preserve">spoštovanje določenih posebnih standardov SIST </w:t>
      </w:r>
      <w:proofErr w:type="gramStart"/>
      <w:r>
        <w:t>EN</w:t>
      </w:r>
      <w:proofErr w:type="gramEnd"/>
      <w:r>
        <w:t xml:space="preserve"> 50518 – Nadzorni in sprejemni centri za alarme,</w:t>
      </w:r>
    </w:p>
    <w:p w14:paraId="63643D4E" w14:textId="637B7B28" w:rsidR="003333DB" w:rsidRDefault="003333DB" w:rsidP="003333DB">
      <w:pPr>
        <w:pStyle w:val="Odstavekseznama"/>
        <w:numPr>
          <w:ilvl w:val="0"/>
          <w:numId w:val="10"/>
        </w:numPr>
      </w:pPr>
      <w:r>
        <w:t>vgradnjo sistema tehničnega varovanja s prenosom alarmnih sporočil ter sredstev za obdelavo in arhiviranje teh sporočil v varnostno-nadzorni center,</w:t>
      </w:r>
    </w:p>
    <w:p w14:paraId="1790BF04" w14:textId="5C1CA383" w:rsidR="003333DB" w:rsidRDefault="003333DB" w:rsidP="003333DB">
      <w:pPr>
        <w:pStyle w:val="Odstavekseznama"/>
        <w:numPr>
          <w:ilvl w:val="0"/>
          <w:numId w:val="10"/>
        </w:numPr>
      </w:pPr>
      <w:r>
        <w:lastRenderedPageBreak/>
        <w:t>izvedbo ukrepov po Zakonu o zasebnem varovanju (Uradni list RS, št. 17/11) in ukrepov, ki so določeni s posebnimi predpisi, če je varovanje urejeno s temi predpisi in ti predpisi vsebujejo vsaj enakovredne postopke, naloge in varnostne ukrepe kot Zakon o zasebnem varovanju, skladno z oceno stopnje ogroženosti in načrtom varovanja.</w:t>
      </w:r>
    </w:p>
    <w:p w14:paraId="26FCC296" w14:textId="77777777" w:rsidR="003333DB" w:rsidRDefault="003333DB" w:rsidP="003333DB"/>
    <w:p w14:paraId="74209063" w14:textId="6D0C04E6" w:rsidR="003333DB" w:rsidRDefault="003333DB" w:rsidP="003333DB">
      <w:r>
        <w:t xml:space="preserve">Petrol, d. d., Ljubljana v roku 12 mesecev od dneva sprejetja tega sklepa pripravi in potrdi načrt varovanja ter organizira varovanje v skladu z načrtom. V 15 dneh od potrditve načrta varovanja o tem obvesti Ministrstvo za okolje, podnebje in energijo in Ministrstvo za notranje zadeve. </w:t>
      </w:r>
    </w:p>
    <w:p w14:paraId="2050117D" w14:textId="77777777" w:rsidR="003333DB" w:rsidRDefault="003333DB" w:rsidP="003333DB"/>
    <w:p w14:paraId="3ABBB510" w14:textId="0124EF35" w:rsidR="003333DB" w:rsidRDefault="003333DB" w:rsidP="003333DB">
      <w:r>
        <w:t>Z dnem sprejetja tega sklepa preneha veljati Sklep Vlade Republike Slovenije z dne 31. 3. 2021.</w:t>
      </w:r>
    </w:p>
    <w:p w14:paraId="2C338A37" w14:textId="4E1DF9AF" w:rsidR="00564AF1" w:rsidRDefault="003333DB" w:rsidP="003333DB">
      <w:pPr>
        <w:pStyle w:val="Vir"/>
      </w:pPr>
      <w:r>
        <w:t>Vir: Ministrstvo za okolje, podnebje in energijo</w:t>
      </w:r>
    </w:p>
    <w:p w14:paraId="1529945A" w14:textId="50DED821" w:rsidR="00027840" w:rsidRDefault="00027840" w:rsidP="00027840">
      <w:pPr>
        <w:pStyle w:val="Naslov2"/>
      </w:pPr>
      <w:bookmarkStart w:id="0" w:name="_Hlk198144662"/>
      <w:r>
        <w:t xml:space="preserve">Vlada je v </w:t>
      </w:r>
      <w:r w:rsidRPr="00027840">
        <w:t>veljavni Načrt razvojnih programov 2025–202</w:t>
      </w:r>
      <w:r>
        <w:t>8</w:t>
      </w:r>
      <w:r>
        <w:t xml:space="preserve"> </w:t>
      </w:r>
      <w:r w:rsidRPr="00027840">
        <w:t>uvrsti</w:t>
      </w:r>
      <w:r>
        <w:t>la</w:t>
      </w:r>
      <w:r w:rsidRPr="00027840">
        <w:t xml:space="preserve"> nov projekt Vzpostavitev modela kakovosti obravnave v DSO </w:t>
      </w:r>
    </w:p>
    <w:p w14:paraId="47820A9A" w14:textId="69B979FD" w:rsidR="00027840" w:rsidRDefault="00027840" w:rsidP="00027840">
      <w:r>
        <w:t>Vlada je potrdila nov projekt Vzpostavitve modela kakovosti obravnave v domovih za starejše v veljavni Načrt razvojnih programov za obdobje od 2025 do 2028. Gre za projekt, ki izhaja iz Zakona o začasnih ukrepih za izboljšanje kadrovskih in delovnih pogojev ter zmogljivosti pri izvajalcih socialnovarstvenih storitev in dolgotrajne oskrbe (ZZUKDPSS). Namen projekta je sofinanciranje stroškov, povezanih z vzpostavitvijo upravljanja s kakovostjo in varnostjo obravnave pri izvajalcih socialnovarstvenih storitev</w:t>
      </w:r>
      <w:proofErr w:type="gramStart"/>
      <w:r>
        <w:t>,</w:t>
      </w:r>
      <w:proofErr w:type="gramEnd"/>
      <w:r>
        <w:t xml:space="preserve"> in z usposabljanjem zaposlenih za učinkovito upravljanje s kakovostjo in varnostjo obravnave in človeškimi viri. Ocenjena vrednost investicije je 3,2 milijona evrov. Za izvedbo projekta bo Ministrstvo za solidarno prihodnost objavilo javni poziv, na katerega se bodo lahko prijavili izvajalci socialnovarstvenih storitev.</w:t>
      </w:r>
    </w:p>
    <w:p w14:paraId="2DB1AA2D" w14:textId="62DD9567" w:rsidR="00564AF1" w:rsidRDefault="00027840" w:rsidP="00027840">
      <w:pPr>
        <w:pStyle w:val="Vir"/>
      </w:pPr>
      <w:r>
        <w:t>Vir: Ministrstvo za solidarno prihodnost</w:t>
      </w:r>
    </w:p>
    <w:p w14:paraId="36DA621E" w14:textId="51487D63" w:rsidR="00564AF1" w:rsidRDefault="00027840" w:rsidP="00027840">
      <w:pPr>
        <w:pStyle w:val="Naslov2"/>
      </w:pPr>
      <w:r>
        <w:t>S</w:t>
      </w:r>
      <w:r w:rsidR="00564AF1">
        <w:t>prememb</w:t>
      </w:r>
      <w:r>
        <w:t>a</w:t>
      </w:r>
      <w:r w:rsidR="00564AF1">
        <w:t xml:space="preserve"> izhodiščne vrednosti ter podaljšanje in ponovna projekta </w:t>
      </w:r>
      <w:r>
        <w:t>R</w:t>
      </w:r>
      <w:r w:rsidR="00564AF1">
        <w:t>ekonstrukcija s povečanjem pralnice in kuhinje v Domu Danice Vogrinec Maribor v veljavnem Načrtu razvojnih programov 2025–2028</w:t>
      </w:r>
    </w:p>
    <w:p w14:paraId="75602C63" w14:textId="7EE51586" w:rsidR="00027840" w:rsidRDefault="00027840" w:rsidP="00564AF1">
      <w:r w:rsidRPr="00027840">
        <w:t>Vlada je sprejela sklep, s katerim je podprla prenovo pralnice in kuhinje v Domu Danice Vogrinec Maribor v višini 2,1 milijona evrov v letu 2025.</w:t>
      </w:r>
    </w:p>
    <w:p w14:paraId="44086E81" w14:textId="72A02E59" w:rsidR="00027840" w:rsidRDefault="00027840" w:rsidP="00027840">
      <w:pPr>
        <w:pStyle w:val="Vir"/>
      </w:pPr>
      <w:r w:rsidRPr="00027840">
        <w:t>Vir: Ministrstvo za solidarno prihodnost</w:t>
      </w:r>
    </w:p>
    <w:bookmarkEnd w:id="0"/>
    <w:p w14:paraId="17A0BB56" w14:textId="7971898D" w:rsidR="00E562A5" w:rsidRDefault="00E562A5" w:rsidP="00E562A5">
      <w:pPr>
        <w:pStyle w:val="Naslov2"/>
      </w:pPr>
      <w:r>
        <w:t>Odgovor Slovenije na opomin s področja finančnega sistema</w:t>
      </w:r>
    </w:p>
    <w:p w14:paraId="7E247C8D" w14:textId="77777777" w:rsidR="00E562A5" w:rsidRDefault="00E562A5" w:rsidP="00E562A5">
      <w:r>
        <w:t>Vlada je danes sprejela odgovor Slovenije na uradni opomin Evropske komisije zaradi nepravočasnega prenosa evropske direktive o digitalni operativni odpornosti za finančni sektor v nacionalni pravni red. Nekatere dele direktive je Slovenija že prenesla v svoj pravni red, nekaj pa jih načrtuje do poletja.</w:t>
      </w:r>
    </w:p>
    <w:p w14:paraId="58CB373D" w14:textId="77777777" w:rsidR="00E562A5" w:rsidRDefault="00E562A5" w:rsidP="00E562A5"/>
    <w:p w14:paraId="07130F7B" w14:textId="77777777" w:rsidR="00E562A5" w:rsidRDefault="00E562A5" w:rsidP="00E562A5">
      <w:r>
        <w:t xml:space="preserve">Vlade je v odgovoru pojasnila, da je nekatere določbe direktive (4., 5. in 7. člen) že prenesla v nacionalni pravni red, in sicer v novelo Zakona o bančništvu, novelo Zakona o reševanju in prisilnem prenehanju bank ter novelo Zakona o plačilnih storitvah, storitvah izdajanja elektronskega denarja in plačilnih sistemih. </w:t>
      </w:r>
    </w:p>
    <w:p w14:paraId="01459FE1" w14:textId="77777777" w:rsidR="00E562A5" w:rsidRDefault="00E562A5" w:rsidP="00E562A5"/>
    <w:p w14:paraId="67132512" w14:textId="77777777" w:rsidR="00E562A5" w:rsidRDefault="00E562A5" w:rsidP="00E562A5">
      <w:r>
        <w:t xml:space="preserve">Postopki prenosa preostalih določb (1., 2., 3., 6. in 8. člen) v ustrezne zakone so v polnem teku. Določbe bomo prenesli v novelo Zakona o investicijskih skladih in družbah za upravljanje, novelo Zakona o upravljavcih alternativnih investicijskih skladov, novelo Zakona o zavarovalništvu, novelo Zakona o trgu finančnih instrumentov in novelo Zakona o pokojninskem in invalidskem zavarovanju. </w:t>
      </w:r>
    </w:p>
    <w:p w14:paraId="6482156E" w14:textId="77777777" w:rsidR="00E562A5" w:rsidRDefault="00E562A5" w:rsidP="00E562A5"/>
    <w:p w14:paraId="6D7D05DC" w14:textId="77777777" w:rsidR="00E562A5" w:rsidRDefault="00E562A5" w:rsidP="00E562A5">
      <w:r>
        <w:t xml:space="preserve">Glede na kompleksno vsebino obravnavane direktive, ki prinaša povsem novo pravno ureditev in uvaja različne zahteve za digitalno operativno odpornost za finančni sektor, ki jih je </w:t>
      </w:r>
      <w:proofErr w:type="gramStart"/>
      <w:r>
        <w:t>potrebno</w:t>
      </w:r>
      <w:proofErr w:type="gramEnd"/>
      <w:r>
        <w:t xml:space="preserve"> urediti v različnih sektorskih predpisih, je bilo treba za ustrezen prenos v nacionalni pravni red izvesti ločene zakonodajne postopke in usklajevanja.</w:t>
      </w:r>
    </w:p>
    <w:p w14:paraId="69B977F9" w14:textId="7056AE26" w:rsidR="00564AF1" w:rsidRDefault="00E562A5" w:rsidP="00E562A5">
      <w:pPr>
        <w:pStyle w:val="Vir"/>
      </w:pPr>
      <w:r>
        <w:t>Vir: Ministrstvo za finance</w:t>
      </w:r>
    </w:p>
    <w:p w14:paraId="665F0BC8" w14:textId="0372F920" w:rsidR="00E562A5" w:rsidRDefault="00E562A5" w:rsidP="00E562A5">
      <w:pPr>
        <w:pStyle w:val="Naslov2"/>
      </w:pPr>
      <w:r>
        <w:t>Vlada o stališču Slovenije glede uredbe o bonitetnih zahtevah za kreditne institucije</w:t>
      </w:r>
    </w:p>
    <w:p w14:paraId="16288058" w14:textId="77777777" w:rsidR="00E562A5" w:rsidRDefault="00E562A5" w:rsidP="00E562A5">
      <w:r>
        <w:t>Vlada je danes sprejela predlog stališča Slovenije glede predloga evropske uredbe o bonitetnih zahtevah za kreditne institucije v zvezi z zahtevami za posle financiranja z vrednostnimi papirji glede količnika neto stabilnega financiranja. Slovenija predlog podpira.</w:t>
      </w:r>
    </w:p>
    <w:p w14:paraId="2AD07B20" w14:textId="77777777" w:rsidR="00E562A5" w:rsidRDefault="00E562A5" w:rsidP="00E562A5"/>
    <w:p w14:paraId="1B103539" w14:textId="77777777" w:rsidR="00E562A5" w:rsidRDefault="00E562A5" w:rsidP="00E562A5">
      <w:r>
        <w:t>Predlog ohranja sedanji prehodni pristop oziroma zahteve glede količnika neto stabilnega financiranja, ki izhaja iz mednarodnih bančnih standardov Basel III. Predlog prispeva k ohranjanju likvidnosti trgov državnih dolžniških instrumentov, krepitvi konkurenčnosti kapitalskih trgov EU in posredniški vlogi bank EU ter zmanjševanju stroškov financiranja za gospodarstvo. Predlog hkrati ne ogroža finančne stabilnosti, saj predvideva redno spremljanje učinkov z ukrepi Evropskega bančnega organa.</w:t>
      </w:r>
    </w:p>
    <w:p w14:paraId="2A59C001" w14:textId="57D680D4" w:rsidR="00564AF1" w:rsidRDefault="00E562A5" w:rsidP="00E562A5">
      <w:pPr>
        <w:pStyle w:val="Vir"/>
      </w:pPr>
      <w:r>
        <w:t>Vir: Ministrstvo za finance</w:t>
      </w:r>
    </w:p>
    <w:p w14:paraId="1B5F521B" w14:textId="43B3E0D0" w:rsidR="00564AF1" w:rsidRDefault="00564AF1" w:rsidP="00E03815">
      <w:pPr>
        <w:pStyle w:val="Naslov2"/>
      </w:pPr>
      <w:r>
        <w:t>Predlog stališča Republike Slovenije do Akcijsk</w:t>
      </w:r>
      <w:r w:rsidR="00E03815">
        <w:t xml:space="preserve">ega </w:t>
      </w:r>
      <w:r>
        <w:t>načrt</w:t>
      </w:r>
      <w:r w:rsidR="00E03815">
        <w:t>a</w:t>
      </w:r>
      <w:r>
        <w:t xml:space="preserve"> za kibernetsko varnost bolnišnic in izvajalcev zdravstvenih dejavnost</w:t>
      </w:r>
      <w:r w:rsidR="00E03815">
        <w:t>i</w:t>
      </w:r>
    </w:p>
    <w:p w14:paraId="30AAE22B" w14:textId="77777777" w:rsidR="00E03815" w:rsidRDefault="00E03815" w:rsidP="00E03815">
      <w:r>
        <w:t xml:space="preserve">Vlada je sprejela predlog stališča Republike Slovenije do Sporočila Komisije Evropskemu parlamentu, Svetu, Evropskemu ekonomsko-socialnemu odboru in Odboru regij - Akcijski načrt za kibernetsko varnost bolnišnic in izvajalcev zdravstvenih dejavnosti. </w:t>
      </w:r>
    </w:p>
    <w:p w14:paraId="26B34ACA" w14:textId="77777777" w:rsidR="00E03815" w:rsidRDefault="00E03815" w:rsidP="00E03815"/>
    <w:p w14:paraId="4748DF94" w14:textId="77777777" w:rsidR="00E03815" w:rsidRDefault="00E03815" w:rsidP="00E03815">
      <w:r>
        <w:t>Republika Slovenija se zaveda pomena kibernetske varnosti v zdravstvu in podpira predlagane ukrepe v okviru Akcijskega načrta EU za izboljšanje kibernetske varnosti v zdravstvenem sektorju, saj je ta sektor eden manj zrelih sektorjev na področju kibernetske varnosti in bolj ranljiv za kibernetske napade. Nujno je okrepiti preventivne, detekcijske in odzivne zmogljivosti ter izboljšati odpornost zdravstvenega sektorja na kibernetske grožnje. Predlagani ukrepi v veliki meri ustrezajo potrebam sektorja, vendar je ključno zagotoviti njihovo usklajenost z obstoječimi evropskimi in nacionalnimi zakonodajnimi okviri ter hkrati mora biti zagotovljen ustrezen in hiter pretok informacij med vsemi novo postavljenimi in predlaganimi iniciativami.</w:t>
      </w:r>
    </w:p>
    <w:p w14:paraId="735BF128" w14:textId="51B61372" w:rsidR="00E03815" w:rsidRDefault="00E03815" w:rsidP="00E03815">
      <w:pPr>
        <w:pStyle w:val="Vir"/>
      </w:pPr>
      <w:r>
        <w:t>Vir: Urad za informacijsko varnost</w:t>
      </w:r>
    </w:p>
    <w:p w14:paraId="1E6EB69F" w14:textId="5F2C3CD9" w:rsidR="00C84036" w:rsidRDefault="00C84036" w:rsidP="00C84036">
      <w:pPr>
        <w:pStyle w:val="Naslov2"/>
      </w:pPr>
      <w:r>
        <w:t xml:space="preserve">Podpis Memoranduma o soglasju o sodelovanju na področju turizma z ministrstvom za ekologijo, zaščito okolja in podnebne spremembe Republike Uzbekistan </w:t>
      </w:r>
    </w:p>
    <w:p w14:paraId="50B82F6C" w14:textId="789E5254" w:rsidR="00C84036" w:rsidRDefault="00C84036" w:rsidP="00C84036">
      <w:r>
        <w:t xml:space="preserve"> Vlada Republike Slovenije se je seznanila z informacijo o nameravanem podpisu Memoranduma o soglasju med Ministrstvom za gospodarstvo, turizem in šport Republike Slovenije in Ministrstvom za ekologijo, zaščito okolja in podnebne spremembe Republike Uzbekistan o sodelovanju na področju turizma.</w:t>
      </w:r>
    </w:p>
    <w:p w14:paraId="02A7A61E" w14:textId="77777777" w:rsidR="00C84036" w:rsidRDefault="00C84036" w:rsidP="00C84036"/>
    <w:p w14:paraId="450030FA" w14:textId="6CC953FB" w:rsidR="00C84036" w:rsidRDefault="00C84036" w:rsidP="00C84036">
      <w:r>
        <w:t xml:space="preserve">Memorandum o soglasju je bil pripravljen na pobudo uzbekistanske strani, z namenom krepitve turističnega in gospodarskega sodelovanja med državama. Memorandum bo za Ministrstvo za gospodarstvo, turizem in šport Republike Slovenije predvidoma podpisal Matjaž Han, minister za gospodarstvo, turizem in šport, v sklopu uradnega obiska uzbekistanskega predsednika Šavkata </w:t>
      </w:r>
      <w:proofErr w:type="spellStart"/>
      <w:r>
        <w:t>Mirzijojeva</w:t>
      </w:r>
      <w:proofErr w:type="spellEnd"/>
      <w:r>
        <w:t xml:space="preserve">, 22. in 23. maja 2025. </w:t>
      </w:r>
    </w:p>
    <w:p w14:paraId="354B99A6" w14:textId="77777777" w:rsidR="00C84036" w:rsidRDefault="00C84036" w:rsidP="00C84036"/>
    <w:p w14:paraId="3363D27E" w14:textId="749C8FF5" w:rsidR="00C84036" w:rsidRDefault="00C84036" w:rsidP="00C84036">
      <w:r>
        <w:t xml:space="preserve">Namen memoranduma o sodelovanju je spodbujanje in krepitev dvostranskih odnosov na področju turizma. Podpisnika bosta krepila sodelovanje v okviru svojih notranjih zakonodaj, pri čemer nameravata posebno pozornost nameniti razvoju odnosov na področju turizma kot sredstev za krepitev svojih gospodarstev in vzajemnega poznavanja nacionalnih kultur. Prav tako, bosta </w:t>
      </w:r>
      <w:proofErr w:type="gramStart"/>
      <w:r>
        <w:t>krepila</w:t>
      </w:r>
      <w:proofErr w:type="gramEnd"/>
      <w:r>
        <w:t xml:space="preserve"> sodelovanje med slovenskimi in uzbekistanskimi organizacijami, ki se ukvarjajo z razvojem mednarodnega turizma, ter izmenjavo informacij v zvezi z investicijskimi projekti v turističnem sektorju in organizacijo skupnih dejavnosti, zlasti med podjetji (B2B).</w:t>
      </w:r>
    </w:p>
    <w:p w14:paraId="621D3FD1" w14:textId="77777777" w:rsidR="00C84036" w:rsidRDefault="00C84036" w:rsidP="00C84036"/>
    <w:p w14:paraId="178F064A" w14:textId="30525896" w:rsidR="00C84036" w:rsidRDefault="00C84036" w:rsidP="00C84036">
      <w:r>
        <w:t>Poudarek memoranduma je predvsem na izmenjavi znanj in izkušenj ter prenosu dobrih praks na področju razvoja trajnostnega turizma, uporabe umetne inteligence, digitalizacije in analitičnih rešitev v turizmu ter upravljanja s človeškimi viri v gostinstvu in turizmu. Med ključnimi pogoji za krepitev sodelovanja na področju turizma je boljša letalska povezljivost med Slovenijo in Uzbekistanom.</w:t>
      </w:r>
    </w:p>
    <w:p w14:paraId="2CAC28DF" w14:textId="77777777" w:rsidR="00C84036" w:rsidRDefault="00C84036" w:rsidP="00C84036"/>
    <w:p w14:paraId="64F1088B" w14:textId="17262027" w:rsidR="00C84036" w:rsidRDefault="00C84036" w:rsidP="00C84036">
      <w:r>
        <w:t>Finančna sredstva za izvajanje tega memoranduma o soglasju bo zagotovila vsaka stran v skladu s svojimi razpoložljivimi proračunskimi sredstvi in notranjo zakonodajo. Memorandum o soglasju bo veljal pet let in se bo samodejno podaljševal za nadaljnja obdobja petih let.</w:t>
      </w:r>
    </w:p>
    <w:p w14:paraId="7A8EE8AB" w14:textId="0DE1972A" w:rsidR="00564AF1" w:rsidRDefault="00C84036" w:rsidP="00C84036">
      <w:pPr>
        <w:pStyle w:val="Vir"/>
      </w:pPr>
      <w:r>
        <w:t>Vir: Ministrstvo za gospodarstvo, turizem in šport</w:t>
      </w:r>
    </w:p>
    <w:p w14:paraId="73AAFC28" w14:textId="41205FC2" w:rsidR="005C3DD3" w:rsidRDefault="005C3DD3" w:rsidP="005C3DD3">
      <w:pPr>
        <w:pStyle w:val="Naslov2"/>
      </w:pPr>
      <w:r>
        <w:t>Vlada se je seznanila z namero o podpisu protokola z Uzbekistanom za sodelovanje na področju tehnologij za ohranjanje vodnih virov</w:t>
      </w:r>
    </w:p>
    <w:p w14:paraId="53CD02F1" w14:textId="77777777" w:rsidR="005C3DD3" w:rsidRDefault="005C3DD3" w:rsidP="005C3DD3">
      <w:r>
        <w:t>Vlada se je seznanila z informacijo o nameri za podpis protokola med Ministrstvom za naravne vire in prostor ter uzbekistanskim Ministrstvom za vodne vire za sodelovanje na področju tehnologij za ohranjanje vodnih virov. Tovrstno sodelovanje bo omogočilo spodbujanje trajnostnega upravljanja vodnih virov in njihovega ohranjanja.</w:t>
      </w:r>
    </w:p>
    <w:p w14:paraId="7AF6C2FF" w14:textId="77777777" w:rsidR="005C3DD3" w:rsidRDefault="005C3DD3" w:rsidP="005C3DD3"/>
    <w:p w14:paraId="67A3A812" w14:textId="77777777" w:rsidR="005C3DD3" w:rsidRDefault="005C3DD3" w:rsidP="005C3DD3">
      <w:r>
        <w:t xml:space="preserve">Protokol med drugim predvideva sodelovanje na področjih tehnologije za vodno učinkovitost in namakalne prakse, recikliranja vode, ponovne rabe vode in tehnologije za čiščenje odpadnih voda, celovitega upravljanja vodnih virov in prilagajanja na podnebne spremembe. Protokol bo spodbujal tudi sodelovanje pri izmenjavi informacij, dobrih praks in izkušenj ter pri izmenjavi strokovnjakov in znanstvenikov. </w:t>
      </w:r>
    </w:p>
    <w:p w14:paraId="0546E1F5" w14:textId="0C73A910" w:rsidR="00564AF1" w:rsidRDefault="005C3DD3" w:rsidP="005C3DD3">
      <w:pPr>
        <w:pStyle w:val="Vir"/>
      </w:pPr>
      <w:r>
        <w:t>Vir: Ministrstvo za naravne vire in prostor</w:t>
      </w:r>
    </w:p>
    <w:p w14:paraId="00EB5F22" w14:textId="56797CD8" w:rsidR="00D159B3" w:rsidRDefault="00D159B3" w:rsidP="00D159B3">
      <w:pPr>
        <w:pStyle w:val="Naslov2"/>
      </w:pPr>
      <w:r>
        <w:t>Plačilo prispevka Svetovalnemu svetu za akvakulturo, Svetovalnemu svetu za Sredozemsko morje in Svetovalnemu svetu za trge</w:t>
      </w:r>
    </w:p>
    <w:p w14:paraId="1408DF1D" w14:textId="5C68C4D8" w:rsidR="00D159B3" w:rsidRDefault="00D159B3" w:rsidP="00D159B3">
      <w:r>
        <w:t xml:space="preserve">Vlada se je seznanila s plačilom prispevka Svetovalnemu svetu za akvakulturo (AAC), Svetovalnemu svetu za Sredozemsko morje (MEDAC) in Svetovalnemu svetu za trge (MAC) za leto 2025 v skupni višini 15.000 evrov. Sredstva za realizacijo tega prispevka zagotovi Ministrstvo za kmetijstvo, gozdarstvo in prehrano s proračunske postavke Varstvo naravnih virov v ribištvu.  </w:t>
      </w:r>
    </w:p>
    <w:p w14:paraId="2A6FC166" w14:textId="20673A5A" w:rsidR="00564AF1" w:rsidRDefault="00D159B3" w:rsidP="00D159B3">
      <w:pPr>
        <w:pStyle w:val="Vir"/>
      </w:pPr>
      <w:r>
        <w:t>Vir: Ministrstvo za kmetijstvo, gozdarstvo in prehrano</w:t>
      </w:r>
    </w:p>
    <w:p w14:paraId="1DE13D7E" w14:textId="3DA2F301" w:rsidR="00ED07E6" w:rsidRDefault="00ED07E6" w:rsidP="00ED07E6">
      <w:pPr>
        <w:pStyle w:val="Naslov2"/>
      </w:pPr>
      <w:r>
        <w:t>Prispevki Slovenije mednarodnim organizacijam in skladom ter drugim organizacijam za podporo članstvu Slovenije v Varnostnem svetu Organizacije združenih narodov v letu 2025</w:t>
      </w:r>
    </w:p>
    <w:p w14:paraId="69F0FF03" w14:textId="77777777" w:rsidR="00ED07E6" w:rsidRDefault="00ED07E6" w:rsidP="00ED07E6">
      <w:r>
        <w:t xml:space="preserve">Vlada Republike Slovenije bo v letu 2025 za podporo članstvu Republike Slovenije v Varnostnem svetu Organizacije združenih narodov mednarodnim organizacijam in skladom ter drugim organizacijam, ki so upravičene izvajati mednarodno razvojno sodelovanje, namenila prispevke v skupni vrednosti 295.000 evrov, in sicer: </w:t>
      </w:r>
    </w:p>
    <w:p w14:paraId="5D740DAD" w14:textId="4D2B920D" w:rsidR="00ED07E6" w:rsidRDefault="00ED07E6" w:rsidP="00ED07E6">
      <w:pPr>
        <w:pStyle w:val="Odstavekseznama"/>
        <w:numPr>
          <w:ilvl w:val="0"/>
          <w:numId w:val="11"/>
        </w:numPr>
      </w:pPr>
      <w:r>
        <w:lastRenderedPageBreak/>
        <w:t>dodatni prispevek v Sklad za izgradnjo miru (UNPBF) v višini 25.000 evrov</w:t>
      </w:r>
    </w:p>
    <w:p w14:paraId="483D7BCA" w14:textId="09CB4708" w:rsidR="00ED07E6" w:rsidRDefault="00ED07E6" w:rsidP="00ED07E6">
      <w:pPr>
        <w:pStyle w:val="Odstavekseznama"/>
        <w:numPr>
          <w:ilvl w:val="0"/>
          <w:numId w:val="11"/>
        </w:numPr>
      </w:pPr>
      <w:r>
        <w:t>prispevek Oddelku OZN za politične zadeve in izgradnjo miru (DPPA) za osnovno delovanje v vrednosti 25.000 evrov</w:t>
      </w:r>
    </w:p>
    <w:p w14:paraId="79C2DB55" w14:textId="1C40DA5C" w:rsidR="00ED07E6" w:rsidRDefault="00ED07E6" w:rsidP="00ED07E6">
      <w:pPr>
        <w:pStyle w:val="Odstavekseznama"/>
        <w:numPr>
          <w:ilvl w:val="0"/>
          <w:numId w:val="11"/>
        </w:numPr>
      </w:pPr>
      <w:r>
        <w:t>prispevek v Mehanizem za podnebno varnost (CSM) v vrednosti 50.000 evrov</w:t>
      </w:r>
    </w:p>
    <w:p w14:paraId="43653BBF" w14:textId="0C56FBE2" w:rsidR="00ED07E6" w:rsidRDefault="00ED07E6" w:rsidP="00ED07E6">
      <w:pPr>
        <w:pStyle w:val="Odstavekseznama"/>
        <w:numPr>
          <w:ilvl w:val="0"/>
          <w:numId w:val="11"/>
        </w:numPr>
      </w:pPr>
      <w:r>
        <w:t>prispevek Uradu visokega komisarja za človekove pravice (OHCHR) v vrednosti 25.000 evrov za delovanje OHCHR na področju zaščite poročevalk iz civilne družbe v VS OZN in za delovanje posebnega postopka ali preiskovalnega mehanizma Sveta OZN za človekove pravice v eni od držav na agendi VS OZN iz Podsaharske Afrike ali evropskega sosedstva</w:t>
      </w:r>
    </w:p>
    <w:p w14:paraId="1DB1EF92" w14:textId="609C0326" w:rsidR="00ED07E6" w:rsidRDefault="00ED07E6" w:rsidP="00ED07E6">
      <w:pPr>
        <w:pStyle w:val="Odstavekseznama"/>
        <w:numPr>
          <w:ilvl w:val="0"/>
          <w:numId w:val="11"/>
        </w:numPr>
      </w:pPr>
      <w:r>
        <w:t>prispevek za Skupino izvedencev za vladavino prava in spolno nasilje v konfliktih v višini 15.000 evrov</w:t>
      </w:r>
    </w:p>
    <w:p w14:paraId="4E407E11" w14:textId="76E638F1" w:rsidR="00ED07E6" w:rsidRDefault="00ED07E6" w:rsidP="00ED07E6">
      <w:pPr>
        <w:pStyle w:val="Odstavekseznama"/>
        <w:numPr>
          <w:ilvl w:val="0"/>
          <w:numId w:val="11"/>
        </w:numPr>
      </w:pPr>
      <w:r>
        <w:t>prispevek Agenciji OZN za ženske (</w:t>
      </w:r>
      <w:proofErr w:type="gramStart"/>
      <w:r>
        <w:t>UN</w:t>
      </w:r>
      <w:proofErr w:type="gramEnd"/>
      <w:r>
        <w:t xml:space="preserve"> WOMEN) v vrednosti 10.000 evrov za aktivnosti na področju miru in varnosti</w:t>
      </w:r>
    </w:p>
    <w:p w14:paraId="1B313DB3" w14:textId="10BA966D" w:rsidR="00ED07E6" w:rsidRDefault="00ED07E6" w:rsidP="00ED07E6">
      <w:pPr>
        <w:pStyle w:val="Odstavekseznama"/>
        <w:numPr>
          <w:ilvl w:val="0"/>
          <w:numId w:val="11"/>
        </w:numPr>
      </w:pPr>
      <w:r>
        <w:t>prispevek Agenciji OZN za ženske (</w:t>
      </w:r>
      <w:proofErr w:type="gramStart"/>
      <w:r>
        <w:t>UN</w:t>
      </w:r>
      <w:proofErr w:type="gramEnd"/>
      <w:r>
        <w:t xml:space="preserve"> WOMEN) v vrednosti 10.000 evrov za aktivnosti v Afganistanu</w:t>
      </w:r>
    </w:p>
    <w:p w14:paraId="4B18C89B" w14:textId="2E3CDD33" w:rsidR="00ED07E6" w:rsidRDefault="00ED07E6" w:rsidP="00ED07E6">
      <w:pPr>
        <w:pStyle w:val="Odstavekseznama"/>
        <w:numPr>
          <w:ilvl w:val="0"/>
          <w:numId w:val="11"/>
        </w:numPr>
      </w:pPr>
      <w:r>
        <w:t xml:space="preserve">prispevek Prostovoljnemu skrbniškemu skladu za tehnično pomoč v podporo udeležbi najmanj razvitih držav in malih otoških držav v </w:t>
      </w:r>
      <w:proofErr w:type="gramStart"/>
      <w:r>
        <w:t>razvoju</w:t>
      </w:r>
      <w:proofErr w:type="gramEnd"/>
      <w:r>
        <w:t xml:space="preserve"> pri delu Sveta za človekove pravice v višini 10.000 evrov</w:t>
      </w:r>
    </w:p>
    <w:p w14:paraId="10D4AE37" w14:textId="52538584" w:rsidR="00ED07E6" w:rsidRDefault="00ED07E6" w:rsidP="00ED07E6">
      <w:pPr>
        <w:pStyle w:val="Odstavekseznama"/>
        <w:numPr>
          <w:ilvl w:val="0"/>
          <w:numId w:val="11"/>
        </w:numPr>
      </w:pPr>
      <w:r>
        <w:t>prispevek Skladu Združenih narodov za otroke v oboroženih spopadih v višini 15.000 evrov</w:t>
      </w:r>
    </w:p>
    <w:p w14:paraId="4A2C2788" w14:textId="61365D5F" w:rsidR="00ED07E6" w:rsidRDefault="00ED07E6" w:rsidP="00ED07E6">
      <w:pPr>
        <w:pStyle w:val="Odstavekseznama"/>
        <w:numPr>
          <w:ilvl w:val="0"/>
          <w:numId w:val="11"/>
        </w:numPr>
      </w:pPr>
      <w:r>
        <w:t>prispevek Uradu Združenih narodov za droge in kriminal (UNODC) v višini 15.000 evrov za projekt na področju boja proti terorizmu v zahodni Afriki in Sahelu</w:t>
      </w:r>
    </w:p>
    <w:p w14:paraId="1AF5650D" w14:textId="2B0D827F" w:rsidR="00ED07E6" w:rsidRDefault="00ED07E6" w:rsidP="00ED07E6">
      <w:pPr>
        <w:pStyle w:val="Odstavekseznama"/>
        <w:numPr>
          <w:ilvl w:val="0"/>
          <w:numId w:val="11"/>
        </w:numPr>
      </w:pPr>
      <w:r>
        <w:t>prispevek Inštitutu OZN za preučevanje razorožitve (UNIDIR) za osnovno delovanje v vrednosti 10.000 evrov</w:t>
      </w:r>
    </w:p>
    <w:p w14:paraId="533252A0" w14:textId="3F311271" w:rsidR="00ED07E6" w:rsidRDefault="00ED07E6" w:rsidP="00ED07E6">
      <w:pPr>
        <w:pStyle w:val="Odstavekseznama"/>
        <w:numPr>
          <w:ilvl w:val="0"/>
          <w:numId w:val="11"/>
        </w:numPr>
      </w:pPr>
      <w:r>
        <w:t>prispevek v Sklad za posodabljanje repertoarja Varnostnega sveta Organizacije združenih narodov v višini 10.000 evrov</w:t>
      </w:r>
    </w:p>
    <w:p w14:paraId="4C98B916" w14:textId="2A792AEC" w:rsidR="00ED07E6" w:rsidRDefault="00ED07E6" w:rsidP="00ED07E6">
      <w:pPr>
        <w:pStyle w:val="Odstavekseznama"/>
        <w:numPr>
          <w:ilvl w:val="0"/>
          <w:numId w:val="11"/>
        </w:numPr>
      </w:pPr>
      <w:r>
        <w:t xml:space="preserve">za </w:t>
      </w:r>
      <w:proofErr w:type="gramStart"/>
      <w:r>
        <w:t>Organizacijo Združenih narodov</w:t>
      </w:r>
      <w:proofErr w:type="gramEnd"/>
      <w:r>
        <w:t xml:space="preserve"> za prehrano in kmetijstvo (FAO) (čebelarske in </w:t>
      </w:r>
      <w:proofErr w:type="spellStart"/>
      <w:r>
        <w:t>polinatorske</w:t>
      </w:r>
      <w:proofErr w:type="spellEnd"/>
      <w:r>
        <w:t xml:space="preserve"> dejavnosti) prispevek v vrednosti 50.000 evrov</w:t>
      </w:r>
    </w:p>
    <w:p w14:paraId="1A016F97" w14:textId="6DE7037F" w:rsidR="00ED07E6" w:rsidRDefault="00ED07E6" w:rsidP="00ED07E6">
      <w:pPr>
        <w:pStyle w:val="Odstavekseznama"/>
        <w:numPr>
          <w:ilvl w:val="0"/>
          <w:numId w:val="11"/>
        </w:numPr>
      </w:pPr>
      <w:r>
        <w:t>v Skrbniški sklad OZN za delovanje posebne odposlanke ZN za vodo prispevek v vrednosti 15.000 evrov</w:t>
      </w:r>
    </w:p>
    <w:p w14:paraId="4422AB3A" w14:textId="60EB557E" w:rsidR="00ED07E6" w:rsidRDefault="00ED07E6" w:rsidP="00ED07E6">
      <w:pPr>
        <w:pStyle w:val="Odstavekseznama"/>
        <w:numPr>
          <w:ilvl w:val="0"/>
          <w:numId w:val="11"/>
        </w:numPr>
      </w:pPr>
      <w:r>
        <w:t xml:space="preserve">za delovanje </w:t>
      </w:r>
      <w:proofErr w:type="gramStart"/>
      <w:r>
        <w:t>UNECE</w:t>
      </w:r>
      <w:proofErr w:type="gramEnd"/>
      <w:r>
        <w:t xml:space="preserve"> Vodne konvencije prispevek v vrednosti 10.000 EUR</w:t>
      </w:r>
    </w:p>
    <w:p w14:paraId="62656FD3" w14:textId="77777777" w:rsidR="00ED07E6" w:rsidRDefault="00ED07E6" w:rsidP="00ED07E6"/>
    <w:p w14:paraId="010FB2D4" w14:textId="244E1417" w:rsidR="00ED07E6" w:rsidRDefault="00ED07E6" w:rsidP="00ED07E6">
      <w:r>
        <w:t xml:space="preserve">Vlada Republike Slovenije se je seznanila z Informacijami o nameravanih podpisih naslednjih sporazumov: </w:t>
      </w:r>
    </w:p>
    <w:p w14:paraId="524C31ED" w14:textId="13ABFB43" w:rsidR="00ED07E6" w:rsidRDefault="00ED07E6" w:rsidP="00ED07E6">
      <w:pPr>
        <w:pStyle w:val="Odstavekseznama"/>
        <w:numPr>
          <w:ilvl w:val="0"/>
          <w:numId w:val="12"/>
        </w:numPr>
      </w:pPr>
      <w:r>
        <w:t>Standardni upravni dogovor med Vlado Republike Slovenije in Programom OZN za razvoj (UNDP) o prispevku Slovenije v Mehanizem za podnebno varnost (CSM)</w:t>
      </w:r>
    </w:p>
    <w:p w14:paraId="502432CE" w14:textId="0B82FD5E" w:rsidR="00ED07E6" w:rsidRDefault="00ED07E6" w:rsidP="00ED07E6">
      <w:pPr>
        <w:pStyle w:val="Odstavekseznama"/>
        <w:numPr>
          <w:ilvl w:val="0"/>
          <w:numId w:val="12"/>
        </w:numPr>
      </w:pPr>
      <w:r>
        <w:t xml:space="preserve">Dodatek k </w:t>
      </w:r>
      <w:proofErr w:type="gramStart"/>
      <w:r>
        <w:t>obstoječem</w:t>
      </w:r>
      <w:proofErr w:type="gramEnd"/>
      <w:r>
        <w:t xml:space="preserve"> standardnem upravnem dogovoru med Vlado Republike Slovenije in Programom OZN za razvoj (UNDP) o prispevku Slovenije v Sklad za izgradnjo miru (UNPBF).</w:t>
      </w:r>
    </w:p>
    <w:p w14:paraId="17BDE8BF" w14:textId="241514A2" w:rsidR="00ED07E6" w:rsidRDefault="00ED07E6" w:rsidP="00ED07E6">
      <w:pPr>
        <w:pStyle w:val="Odstavekseznama"/>
        <w:numPr>
          <w:ilvl w:val="0"/>
          <w:numId w:val="12"/>
        </w:numPr>
      </w:pPr>
      <w:r>
        <w:t>Standardni upravni dogovor med Vlado Republike Slovenije in Programom OZN za razvoj (UNDP) o prispevku za Skupino izvedencev za vladavino prava in spolno nasilje v konfliktih.</w:t>
      </w:r>
    </w:p>
    <w:p w14:paraId="6B96AE0B" w14:textId="77D18E2C" w:rsidR="00ED07E6" w:rsidRDefault="00ED07E6" w:rsidP="00ED07E6">
      <w:pPr>
        <w:pStyle w:val="Odstavekseznama"/>
        <w:numPr>
          <w:ilvl w:val="0"/>
          <w:numId w:val="12"/>
        </w:numPr>
      </w:pPr>
      <w:r>
        <w:t xml:space="preserve">Sporazum med Vlado Republike Slovenije in Agencijo OZN za ženske (UN </w:t>
      </w:r>
      <w:proofErr w:type="spellStart"/>
      <w:r>
        <w:t>Women</w:t>
      </w:r>
      <w:proofErr w:type="spellEnd"/>
      <w:r>
        <w:t>) o prispevku Slovenije za aktivnosti v Afganistanu.</w:t>
      </w:r>
    </w:p>
    <w:p w14:paraId="0E9FC0DA" w14:textId="40B8A39E" w:rsidR="00ED07E6" w:rsidRDefault="00ED07E6" w:rsidP="00ED07E6">
      <w:pPr>
        <w:pStyle w:val="Odstavekseznama"/>
        <w:numPr>
          <w:ilvl w:val="0"/>
          <w:numId w:val="12"/>
        </w:numPr>
      </w:pPr>
      <w:r>
        <w:t xml:space="preserve">Sporazum med Vlado Republike Slovenije in Organizacijo ZN za prehrano in kmetijstvo (FAO) o prispevku Slovenije za čebelarske in </w:t>
      </w:r>
      <w:proofErr w:type="spellStart"/>
      <w:r>
        <w:t>polinatorske</w:t>
      </w:r>
      <w:proofErr w:type="spellEnd"/>
      <w:r>
        <w:t xml:space="preserve"> aktivnosti.</w:t>
      </w:r>
    </w:p>
    <w:p w14:paraId="720E389D" w14:textId="6597DD90" w:rsidR="00564AF1" w:rsidRDefault="00ED07E6" w:rsidP="00ED07E6">
      <w:pPr>
        <w:pStyle w:val="Vir"/>
      </w:pPr>
      <w:r>
        <w:t>Vir: Ministrstvo za zunanje in evropske zadeve</w:t>
      </w:r>
    </w:p>
    <w:p w14:paraId="37B8B1C4" w14:textId="28FF025F" w:rsidR="00030B6B" w:rsidRDefault="00030B6B" w:rsidP="00030B6B">
      <w:pPr>
        <w:pStyle w:val="Naslov2"/>
      </w:pPr>
      <w:r>
        <w:t>Vlada sprejela odločitev o vojaški pomoči Bosni in Hercegovini</w:t>
      </w:r>
    </w:p>
    <w:p w14:paraId="67012BE0" w14:textId="77777777" w:rsidR="00030B6B" w:rsidRDefault="00030B6B" w:rsidP="00030B6B">
      <w:r>
        <w:t>Vlada Republike Slovenije je na današnji seji sprejela odločitev, da Republika Slovenija zagotovi vojaško pomoč Bosni in Hercegovini v obliki kriminalistične opreme za vojaško policijo, ter naložila Ministrstvu za obrambo, da to izvede.</w:t>
      </w:r>
    </w:p>
    <w:p w14:paraId="32FD0FC3" w14:textId="77777777" w:rsidR="00030B6B" w:rsidRDefault="00030B6B" w:rsidP="00030B6B"/>
    <w:p w14:paraId="31526815" w14:textId="77777777" w:rsidR="00030B6B" w:rsidRDefault="00030B6B" w:rsidP="00030B6B">
      <w:r>
        <w:lastRenderedPageBreak/>
        <w:t>Republika Slovenija je prevzela vlogo vodilne države in v celoti financira ter izvaja projekt vojaške policije v okviru Natovega paketa izgradnje obrambnih zmogljivosti za Bosno in Hercegovino, ki vključuje zagotovitev štirih terenskih specialnih vozil in usposabljanje za inštruktorje voznikov ter vzdrževalcev teh vozil.</w:t>
      </w:r>
    </w:p>
    <w:p w14:paraId="416FC8F7" w14:textId="77777777" w:rsidR="00030B6B" w:rsidRDefault="00030B6B" w:rsidP="00030B6B"/>
    <w:p w14:paraId="787D95AD" w14:textId="77777777" w:rsidR="00030B6B" w:rsidRDefault="00030B6B" w:rsidP="00030B6B">
      <w:r>
        <w:t>Navedeni projekt se bo nadgradil s projektom tehnične pomoči Slovenske vojske pri izgradnji zmogljivosti vojaške policije oboroženih sil Bosne in Hercegovine s prenosom znanj in veščin s področja kriminalističnih preiskav ter predlagano vojaško pomočjo v obliki zagotovitve kriminalistične opreme za vojaško policijo, ki obsega štiri kriminalistične kovčke, štiri fotoaparate in potrošni material za opravljanje ogledov kaznivih dejanj.</w:t>
      </w:r>
    </w:p>
    <w:p w14:paraId="3565F5AC" w14:textId="04E407E9" w:rsidR="00564AF1" w:rsidRDefault="00030B6B" w:rsidP="00030B6B">
      <w:pPr>
        <w:pStyle w:val="Vir"/>
      </w:pPr>
      <w:r>
        <w:t>Vir: Ministrstvo za obrambo</w:t>
      </w:r>
    </w:p>
    <w:p w14:paraId="384D3482" w14:textId="745B8A8A" w:rsidR="00D159B3" w:rsidRDefault="00D159B3" w:rsidP="00D159B3">
      <w:pPr>
        <w:pStyle w:val="Naslov2"/>
      </w:pPr>
      <w:r>
        <w:t>Vlada podpira predlog poslancev Janeva in Žnidaršiča o prostovoljnem članstvu v Kmetijsko gozdarski zbornici Slovenije</w:t>
      </w:r>
    </w:p>
    <w:p w14:paraId="0A923701" w14:textId="77777777" w:rsidR="00D159B3" w:rsidRDefault="00D159B3" w:rsidP="00D159B3">
      <w:r>
        <w:t xml:space="preserve">Vlada podpira predlog zakona o spremembah in dopolnitvah Zakona o Kmetijsko gozdarski zbornici Slovenije, ki sta ga Državnemu zboru predložila poslanca Robert Janev in Jonas Žnidaršič. </w:t>
      </w:r>
    </w:p>
    <w:p w14:paraId="2119BAE6" w14:textId="77777777" w:rsidR="00D159B3" w:rsidRDefault="00D159B3" w:rsidP="00D159B3"/>
    <w:p w14:paraId="6806A697" w14:textId="2654DFC8" w:rsidR="00D159B3" w:rsidRDefault="00D159B3" w:rsidP="00D159B3">
      <w:r>
        <w:t>Po pregledu predloga zakona vlada predlaga dodatne spremembe zakona, predvsem glede opredelitve nalog KGZS in določitve podlag za zbornični prispevek.</w:t>
      </w:r>
    </w:p>
    <w:p w14:paraId="3ED81967" w14:textId="77777777" w:rsidR="00D159B3" w:rsidRDefault="00D159B3" w:rsidP="00D159B3"/>
    <w:p w14:paraId="6231D4C2" w14:textId="5E20B006" w:rsidR="00D159B3" w:rsidRDefault="00D159B3" w:rsidP="00D159B3">
      <w:proofErr w:type="gramStart"/>
      <w:r>
        <w:t xml:space="preserve">Predlog  </w:t>
      </w:r>
      <w:proofErr w:type="gramEnd"/>
      <w:r>
        <w:t xml:space="preserve">novele Zakona o Kmetijsko gozdarski zbornici Slovenije, ki sta ga vložila poslanca Janev in Žnidaršič, je vlada prejela 17. marca 2025. Predvideva prehod na prostovoljno članstvo v KGZS, saj trenutni sistem obvezuje tudi lastnike manjših parcel, ki ne opravljajo dejavnosti. Predlagatelja menita, da bo prostovoljno članstvo spodbudilo boljše zastopanje interesov članov, predvsem pravnih oseb, ki se počutijo zapostavljene. </w:t>
      </w:r>
    </w:p>
    <w:p w14:paraId="317C6293" w14:textId="2CBBF184" w:rsidR="00564AF1" w:rsidRDefault="00D159B3" w:rsidP="00D159B3">
      <w:pPr>
        <w:pStyle w:val="Vir"/>
      </w:pPr>
      <w:r>
        <w:t>Vir: Ministrstvo za kmetijstvo, gozdarstvo in prehrano</w:t>
      </w:r>
    </w:p>
    <w:p w14:paraId="04BAC46A" w14:textId="2A1BED71" w:rsidR="00C57ADD" w:rsidRDefault="00C57ADD" w:rsidP="00C57ADD">
      <w:pPr>
        <w:pStyle w:val="Naslov2"/>
      </w:pPr>
      <w:r w:rsidRPr="00C57ADD">
        <w:t>Odgovor na pobudo dr. Mirjam Bon Klanjšček v zvezi s spremembo Pravilnika o dodeljevanju Zoisovih štipendij</w:t>
      </w:r>
    </w:p>
    <w:p w14:paraId="5067B7DA" w14:textId="0C0DC6C4" w:rsidR="00C57ADD" w:rsidRPr="00C57ADD" w:rsidRDefault="00C57ADD" w:rsidP="00C57ADD">
      <w:r w:rsidRPr="00C57ADD">
        <w:t xml:space="preserve">Vlada Republike Slovenije je sprejela Odgovor na pobudo dr. Mirjam Bon Klanjšček v zvezi s spremembo Pravilnika o dodeljevanju Zoisovih štipendij in ga pošlje v Državni zbor. </w:t>
      </w:r>
    </w:p>
    <w:p w14:paraId="360505BB" w14:textId="77777777" w:rsidR="00C57ADD" w:rsidRDefault="00C57ADD" w:rsidP="00C57ADD"/>
    <w:p w14:paraId="79B9A11C" w14:textId="77777777" w:rsidR="00C57ADD" w:rsidRDefault="00C57ADD" w:rsidP="00C57ADD">
      <w:r>
        <w:t>Vlada odgovarja na poslansko pobudo dr. Mirjam Bon Klanjšček v zvezi s spremembo Pravilnika o dodeljevanju Zoisovih štipendij in ga pošlje v Državni zbor. Dr. Mirjam Bon Klanjšček daje pobudo, da se določba pravilnika o financiranju tekmovanja, ki oži krog upravičencev do Zoisove štipendije, spremeni na način, da bodo vsi prosilci, ki se potegujejo za dodelitev Zoisovih štipendij, enako obravnavani.</w:t>
      </w:r>
    </w:p>
    <w:p w14:paraId="6166A8A1" w14:textId="77777777" w:rsidR="00C57ADD" w:rsidRDefault="00C57ADD" w:rsidP="00C57ADD"/>
    <w:p w14:paraId="3A601343" w14:textId="77777777" w:rsidR="00C57ADD" w:rsidRDefault="00C57ADD" w:rsidP="00C57ADD">
      <w:r>
        <w:t>Vlada odgovarja, da je bil Pravilnik o dodeljevanju Zoisovih štipendij spremenjen v letu 2024 in je bil usklajen na način, da so se natančneje opredelili pogoji, ki morajo biti izpolnjeni za točkovanje dosežkov na državnih tekmovanjih za pridobitev Zoisove štipendije, in sicer, da mora biti tekmovanje sofinancirano iz javnih sredstev, bodisi neposredno s strani ministrstva, pristojnega za vzgojo in izobraževanje, bodisi na podlagi javnega razpisa.</w:t>
      </w:r>
    </w:p>
    <w:p w14:paraId="12CFC4F7" w14:textId="77777777" w:rsidR="00C57ADD" w:rsidRDefault="00C57ADD" w:rsidP="00C57ADD">
      <w:pPr>
        <w:pStyle w:val="Vir"/>
      </w:pPr>
      <w:r>
        <w:t>Vir: Ministrstvo za delo, družino, socialne zadeve in enake možnosti</w:t>
      </w:r>
    </w:p>
    <w:p w14:paraId="5CF00135" w14:textId="1D448368" w:rsidR="002166C4" w:rsidRDefault="002166C4" w:rsidP="002166C4">
      <w:pPr>
        <w:pStyle w:val="Naslov2"/>
      </w:pPr>
      <w:r>
        <w:t>Vlada začela proces priprave proračunov za leti 2026 in 2027</w:t>
      </w:r>
    </w:p>
    <w:p w14:paraId="70C59427" w14:textId="4750A67E" w:rsidR="002166C4" w:rsidRDefault="002166C4" w:rsidP="002166C4">
      <w:r>
        <w:lastRenderedPageBreak/>
        <w:t>V</w:t>
      </w:r>
      <w:r>
        <w:t>lada je danes začela proces priprave predloga sprememb državnega proračuna za leto 2026 in predloga proračuna za leto 2027. Na tako imenovani prvi proračunski seji je določila terminski načrt priprave, sprejela okvirni razrez proračunskih odhodkov po ekonomski in programski klasifikaciji ter se seznanila z osnutkom proračunskega memoranduma.</w:t>
      </w:r>
    </w:p>
    <w:p w14:paraId="66D191E1" w14:textId="77777777" w:rsidR="002166C4" w:rsidRDefault="002166C4" w:rsidP="002166C4"/>
    <w:p w14:paraId="10D64C5E" w14:textId="77777777" w:rsidR="002166C4" w:rsidRDefault="002166C4" w:rsidP="002166C4">
      <w:r>
        <w:t>Predlog razreza sledi Srednjeročnemu fiskalno-strukturnemu načrtu 2025-2028, pripravljenemu na podlagi prenovljenih fiskalnih pravil Evropske unije. V tem načrtu je določena najvišja rast očiščenih odhodkov, ki bo zagotovila srednjeročno ohranjanje primanjkljaja sektorja država pod referenčno mejo treh odstotkov bruto domačega proizvoda in vzdržnost javnega dolga.</w:t>
      </w:r>
    </w:p>
    <w:p w14:paraId="083C6DA5" w14:textId="77777777" w:rsidR="002166C4" w:rsidRDefault="002166C4" w:rsidP="002166C4"/>
    <w:p w14:paraId="11470EF6" w14:textId="77777777" w:rsidR="002166C4" w:rsidRDefault="002166C4" w:rsidP="002166C4">
      <w:r>
        <w:t xml:space="preserve">Skladno s tem lahko proračunski odhodki leta 2026 znašajo do 17,3 milijarde evrov, kar je 207 milijonov evrov več od lani sprejetega proračuna za leto 2026. Leta 2027 pa lahko odhodki znašajo do 17,6 milijarde evrov. </w:t>
      </w:r>
    </w:p>
    <w:p w14:paraId="6E15B9CC" w14:textId="77777777" w:rsidR="002166C4" w:rsidRDefault="002166C4" w:rsidP="002166C4"/>
    <w:p w14:paraId="5285BD6C" w14:textId="77777777" w:rsidR="002166C4" w:rsidRDefault="002166C4" w:rsidP="002166C4">
      <w:r>
        <w:t xml:space="preserve">Med glavnimi prioritetami, ki jih bo vlada zasledovala v prihodnjih dveh letih, so zdravje, znanje, zagotavljanje zanesljive in dostopne energetske oskrbe ter omogočanje primernih in cenovno dostopnih stanovanj. Med prednostnimi področji so tudi krepitev odpornosti, varnost in razvoj gospodarstva. </w:t>
      </w:r>
    </w:p>
    <w:p w14:paraId="6FC0AAE1" w14:textId="77777777" w:rsidR="002166C4" w:rsidRDefault="002166C4" w:rsidP="002166C4"/>
    <w:p w14:paraId="4D6860FD" w14:textId="77777777" w:rsidR="002166C4" w:rsidRDefault="002166C4" w:rsidP="002166C4">
      <w:r>
        <w:t>Letne rasti obrambnih izdatkov, vključene v proračuna za leti 2026 in 2027, temeljijo na veljavni Resoluciji o splošnem dolgoročnem programu razvoja in opremljanja Slovenske vojske do leta 2040. Ker pa so v pripravi spremembe resolucije, bosta lahko proračuna ustrezno dopolnjena pred posredovanjem v državni zbor.</w:t>
      </w:r>
    </w:p>
    <w:p w14:paraId="385DAF70" w14:textId="77777777" w:rsidR="002166C4" w:rsidRDefault="002166C4" w:rsidP="002166C4"/>
    <w:p w14:paraId="7D203A3E" w14:textId="77777777" w:rsidR="002166C4" w:rsidRDefault="002166C4" w:rsidP="002166C4">
      <w:r>
        <w:t>Predlog razreza predstavlja podlago za usklajevanje proračunskih izdatkov s predlagatelji finančnih načrtov. Druga proračunska seja je predvidena junija, dokončno pa bo vlada proračunske dokumente kot običajno potrjevala septembra. Državnemu zboru jih mora namreč posredovati do 1. oktobra 2025.</w:t>
      </w:r>
    </w:p>
    <w:p w14:paraId="58676591" w14:textId="77777777" w:rsidR="002166C4" w:rsidRDefault="002166C4" w:rsidP="002166C4"/>
    <w:p w14:paraId="11B04E0F" w14:textId="77777777" w:rsidR="002166C4" w:rsidRDefault="002166C4" w:rsidP="002166C4">
      <w:r>
        <w:t>V osnutku proračunskega memoranduma so med drugim predstavljene zadnje napovedi gospodarskih in makroekonomskih gibanj, pripravljenih na podlagi napovedi Urada Republike Slovenije za makroekonomske analize in razvoj, vsebine proračunskih politik in politika upravljanja dolga državnega proračuna.</w:t>
      </w:r>
    </w:p>
    <w:p w14:paraId="4B4ACD14" w14:textId="33AF5BE2" w:rsidR="00B813C0" w:rsidRDefault="002166C4" w:rsidP="002166C4">
      <w:pPr>
        <w:pStyle w:val="Vir"/>
      </w:pPr>
      <w:r>
        <w:t>Vir: Ministrstvo za finance</w:t>
      </w:r>
    </w:p>
    <w:p w14:paraId="5ED72D27" w14:textId="08F6CCE3" w:rsidR="0006358D" w:rsidRDefault="0006358D" w:rsidP="0006358D">
      <w:pPr>
        <w:pStyle w:val="Naslov2"/>
      </w:pPr>
      <w:r>
        <w:t>Vlada sprejela predlog paketa sodniške zakonodaje</w:t>
      </w:r>
    </w:p>
    <w:p w14:paraId="1E5DB2AB" w14:textId="0EBAFA15" w:rsidR="0006358D" w:rsidRDefault="0006358D" w:rsidP="0006358D">
      <w:r>
        <w:t>Vlada je na današnji seji sprejela paket predlogov pravosodnega četverčka, ki vključuje nov Zakon o sodiščih, nov Zakon o sodnikih, novelo Zakona o sodnem svetu in novelo Zakona o državnem tožilstvu in ga pošilja v obravnavo Državnemu zboru.</w:t>
      </w:r>
    </w:p>
    <w:p w14:paraId="0B9C0073" w14:textId="77777777" w:rsidR="0006358D" w:rsidRDefault="0006358D" w:rsidP="0006358D"/>
    <w:p w14:paraId="7AC9E356" w14:textId="3618A676" w:rsidR="0006358D" w:rsidRDefault="0006358D" w:rsidP="0006358D">
      <w:r>
        <w:t>Glavni cilj prenove sodniške zakonodaje je bolj učinkovito, transparentno in odgovorno delovanje sodnega sistema. Predlagane spremembe so usmerjene v boljše delovanje sodišč, jasnejšo organizacijo in večjo odgovornost vodstva (predsednikov sodišč). Pri tem je pomemben tudi vpliv na večjo pravno varnost in boljše varstvo pravic strank.</w:t>
      </w:r>
    </w:p>
    <w:p w14:paraId="2E2356D9" w14:textId="77777777" w:rsidR="0006358D" w:rsidRDefault="0006358D" w:rsidP="0006358D"/>
    <w:p w14:paraId="1CC79F5F" w14:textId="77777777" w:rsidR="0006358D" w:rsidRDefault="0006358D" w:rsidP="0006358D">
      <w:r>
        <w:t>Ključna sprememba je vzpostavitev okrožja kot osnovne organizacijske ravni prvostopenjskih sodišč ter uvedba enotnega naziva za sodnike prve stopnje (okrožni sodnik). Mreža sodišč ostaja nespremenjena – okrajna sodišča se preoblikujejo v zunanje oddelke, ki bodo še naprej delovali v lokalnem okolju. Zakon predvideva tudi evalvacijo mreže okrožnih sodišč po dveh letih.</w:t>
      </w:r>
    </w:p>
    <w:p w14:paraId="3139BF80" w14:textId="77777777" w:rsidR="0006358D" w:rsidRDefault="0006358D" w:rsidP="0006358D"/>
    <w:p w14:paraId="0F746FFD" w14:textId="77777777" w:rsidR="0006358D" w:rsidRDefault="0006358D" w:rsidP="0006358D">
      <w:r>
        <w:lastRenderedPageBreak/>
        <w:t>Nov sistem bo omogočil bolj enakomerno obremenitev sodnikov, lažje nadomeščanje ob odsotnostih in večjo specializacijo. S tem se ustvarjajo pogoji za hitrejše reševanje zadev, bolj enotno sodno prakso in preglednejše delovanje sodišč. Zadeve bodo sodnikom dodeljene prek informacijskega sistema, kar krepi nepristranskost in poštenost postopkov.</w:t>
      </w:r>
    </w:p>
    <w:p w14:paraId="00F8F243" w14:textId="77777777" w:rsidR="0006358D" w:rsidRDefault="0006358D" w:rsidP="0006358D"/>
    <w:p w14:paraId="6972B467" w14:textId="77777777" w:rsidR="0006358D" w:rsidRDefault="0006358D" w:rsidP="0006358D">
      <w:r>
        <w:t xml:space="preserve">Pomembna novost je poudarek na odgovornosti predsednika sodišča, ki je odgovoren za učinkovito poslovanje sodišča. Njegova ključna naloga je zagotoviti učinkovito poslovanje, enakomerno obremenjenost sodnikov in pravočasno reševanje zadev. Zakon uvaja obvezen redni notranji nadzor nad delom sodne uprave na vsaka tri leta, skrajšuje mandat predsednika sodišča (iz 6 na 5 let) z možnostjo samo enkratne ponovitve </w:t>
      </w:r>
      <w:proofErr w:type="gramStart"/>
      <w:r>
        <w:t>istem</w:t>
      </w:r>
      <w:proofErr w:type="gramEnd"/>
      <w:r>
        <w:t xml:space="preserve"> sodišču ter omogoča suspenz predsednika sodišča.</w:t>
      </w:r>
    </w:p>
    <w:p w14:paraId="707FB8DF" w14:textId="77777777" w:rsidR="0006358D" w:rsidRDefault="0006358D" w:rsidP="0006358D"/>
    <w:p w14:paraId="6EE42610" w14:textId="77777777" w:rsidR="0006358D" w:rsidRDefault="0006358D" w:rsidP="0006358D">
      <w:r>
        <w:t xml:space="preserve">Paket zakonov prinaša tudi večjo transparentnost sodnih odločitev - poleg objave odločb vrhovnega in višjih sodišč bodo objavljene tudi prvostopenjske odločbe, s katerimi je bilo odločeno o glavni stvari in so pomembne za krepitev pravne varnosti ter zagotavljanje enotne sodne prakse. </w:t>
      </w:r>
    </w:p>
    <w:p w14:paraId="4195391C" w14:textId="77777777" w:rsidR="0006358D" w:rsidRDefault="0006358D" w:rsidP="0006358D">
      <w:r>
        <w:t>Poleg tega se vzpostavlja možnost psihološke pomoči za sodnike in sodno osebje, kar je pomembno za dolgoročno stabilnost in kakovost odločanja.</w:t>
      </w:r>
    </w:p>
    <w:p w14:paraId="14BCC669" w14:textId="77777777" w:rsidR="0006358D" w:rsidRDefault="0006358D" w:rsidP="0006358D"/>
    <w:p w14:paraId="29145874" w14:textId="77777777" w:rsidR="0006358D" w:rsidRDefault="0006358D" w:rsidP="0006358D">
      <w:r>
        <w:t>Zaradi uvedbe enotnega sodnika se spreminjajo tudi pogoji za imenovanje okrožnega sodnika – znižuje se pogoj delovnih izkušenj s šest na štiri leta po opravljenem pravniškem državnem izpitu.</w:t>
      </w:r>
    </w:p>
    <w:p w14:paraId="0C92175C" w14:textId="77777777" w:rsidR="0006358D" w:rsidRDefault="0006358D" w:rsidP="0006358D"/>
    <w:p w14:paraId="5B96E742" w14:textId="77777777" w:rsidR="0006358D" w:rsidRDefault="0006358D" w:rsidP="0006358D">
      <w:r>
        <w:t>Zakon o Sodnem svetu se usklajuje z novim sistemom in prinaša večjo preglednost delovanja ter ustavnoskladno ureditev disciplinskih postopkov.</w:t>
      </w:r>
    </w:p>
    <w:p w14:paraId="4732A9B7" w14:textId="77777777" w:rsidR="0006358D" w:rsidRDefault="0006358D" w:rsidP="0006358D"/>
    <w:p w14:paraId="7DA5AA0B" w14:textId="77777777" w:rsidR="0006358D" w:rsidRDefault="0006358D" w:rsidP="0006358D">
      <w:r>
        <w:t xml:space="preserve"> Novela Zakona o državnem tožilstvu usklajuje položaj tožilcev z novo ureditvijo sodnikov (enoviti naziv, pravice in odgovornosti).</w:t>
      </w:r>
    </w:p>
    <w:p w14:paraId="57795CA9" w14:textId="77777777" w:rsidR="0006358D" w:rsidRDefault="0006358D" w:rsidP="0006358D"/>
    <w:p w14:paraId="65E49230" w14:textId="77777777" w:rsidR="0006358D" w:rsidRDefault="0006358D" w:rsidP="0006358D">
      <w:r>
        <w:t>Predviden začetek uporabe predlagane zakonodaje je 1. januar 2027, kar daje sodstvu dovolj časa za priprave (kadrovske, tehnične, organizacijske) in pripravo podzakonskih aktov.</w:t>
      </w:r>
    </w:p>
    <w:p w14:paraId="0CC930A1" w14:textId="77777777" w:rsidR="0006358D" w:rsidRDefault="0006358D" w:rsidP="0006358D"/>
    <w:p w14:paraId="1D5B4743" w14:textId="77777777" w:rsidR="0006358D" w:rsidRDefault="0006358D" w:rsidP="0006358D">
      <w:r>
        <w:t>S sprejemom paketa sodniške zakonodaje se uresničujejo zaveze iz koalicijske pogodbe.</w:t>
      </w:r>
    </w:p>
    <w:p w14:paraId="7DC22774" w14:textId="4717199B" w:rsidR="00564AF1" w:rsidRDefault="0006358D" w:rsidP="0006358D">
      <w:pPr>
        <w:pStyle w:val="Vir"/>
      </w:pPr>
      <w:r w:rsidRPr="0006358D">
        <w:t>Vir: Ministrstvo za pravosodje</w:t>
      </w:r>
    </w:p>
    <w:p w14:paraId="29724807" w14:textId="71A15056" w:rsidR="00B731CE" w:rsidRDefault="00B731CE" w:rsidP="00B731CE">
      <w:pPr>
        <w:pStyle w:val="Naslov2"/>
      </w:pPr>
      <w:r>
        <w:t>Vlada je določila besedilo novele Zakona o splošnem upravnem postopku</w:t>
      </w:r>
    </w:p>
    <w:p w14:paraId="1C438FEC" w14:textId="73C514BC" w:rsidR="00B731CE" w:rsidRDefault="00B731CE" w:rsidP="00B731CE">
      <w:r>
        <w:t xml:space="preserve">Vlada Republike Slovenije je določila besedilo </w:t>
      </w:r>
      <w:proofErr w:type="gramStart"/>
      <w:r>
        <w:t>predloga Zakona</w:t>
      </w:r>
      <w:proofErr w:type="gramEnd"/>
      <w:r>
        <w:t xml:space="preserve"> o spremembah in dopolnitvah Zakona o splošnem upravnem postopku in ga pošlje v obravnavo Državnemu zboru. Vlada je ob tem sprejela tudi sklep, s katerim poziva ministrstva, da v šestih mesecih pregledajo zakone s svojega področja, ki urejajo pristojnost Vlade Republike Slovenije za odločanje v upravnih zadevah na drugi stopnji, proučijo smiselnost dvostopenjskega upravnega odločanja in predlagajo zakonske spremembe, če ocenijo, da dvostopenjsko upravn</w:t>
      </w:r>
      <w:r>
        <w:t>o</w:t>
      </w:r>
      <w:r>
        <w:t xml:space="preserve"> odločanj</w:t>
      </w:r>
      <w:r>
        <w:t>e</w:t>
      </w:r>
      <w:r>
        <w:t xml:space="preserve"> ni potrebn</w:t>
      </w:r>
      <w:r>
        <w:t>o</w:t>
      </w:r>
      <w:r>
        <w:t xml:space="preserve">. </w:t>
      </w:r>
    </w:p>
    <w:p w14:paraId="66F505B5" w14:textId="77777777" w:rsidR="00B731CE" w:rsidRDefault="00B731CE" w:rsidP="00B731CE"/>
    <w:p w14:paraId="60E8DAB3" w14:textId="77777777" w:rsidR="00B731CE" w:rsidRDefault="00B731CE" w:rsidP="00B731CE">
      <w:r>
        <w:t xml:space="preserve">Predlog novele Zakona o splošnem upravnem postopku (ZUP) ohranja uveljavljen koncept splošnega upravnega postopka. Cilj predlaganih sprememb pa je povečati učinkovitost in pospešiti upravne postopke, optimizirati procesna pravila in s tem razbremeniti posameznike in pravne osebe (npr. gospodarske družbe), ki se v različnih vlogah znajdejo v postopku, ter razbremeniti organe nepotrebnih procesnih aktivnosti. </w:t>
      </w:r>
    </w:p>
    <w:p w14:paraId="601AFF15" w14:textId="77777777" w:rsidR="00B731CE" w:rsidRDefault="00B731CE" w:rsidP="00B731CE"/>
    <w:p w14:paraId="06B8C4B7" w14:textId="77777777" w:rsidR="00B731CE" w:rsidRDefault="00B731CE" w:rsidP="00B731CE">
      <w:r>
        <w:t xml:space="preserve">Predlog zakona prinaša vrsto administrativnih razbremenitev tako za organe kot stranke. Novela bo vzpostavila pravne podlage za večjo digitalizacijo postopkov, razširila možnosti za elektronsko vročanje, omogočila avtomatizacijo določenih procesov ter se prilagodila sodobnemu načinu življenja in trendom moderne družbe. S tem bo upravni postopek postal prijaznejši za uporabnike storitev, </w:t>
      </w:r>
      <w:r>
        <w:lastRenderedPageBreak/>
        <w:t xml:space="preserve">hkrati pa bo razbremenil zaposlene na upravnih organih, ki bodo lahko več svojega časa namenili vsebinskemu odločanju.  </w:t>
      </w:r>
    </w:p>
    <w:p w14:paraId="795F4C29" w14:textId="77777777" w:rsidR="00B731CE" w:rsidRDefault="00B731CE" w:rsidP="00B731CE"/>
    <w:p w14:paraId="57F9BD20" w14:textId="77777777" w:rsidR="00B731CE" w:rsidRDefault="00B731CE" w:rsidP="00B731CE">
      <w:r>
        <w:t xml:space="preserve">Večje spremembe se nanašajo na področje vročanja. Po predlogu zakona se namreč za poslovne subjekte uvaja obvezno elektronsko vročanje v varni elektronski predal, kar bo razbremenilo tako poslovne subjekte kot tudi upravne organe. Dejstvo je, da poslovni subjekti z državo v nekaterih upravnih postopkih že zdaj poslujejo le elektronsko (na primer v davčnih zadevah), zdaj se ta obveznost, ki je hkrati prednost, širi na vse upravne postopke. V praksi to pomeni, da bo morala vsaka pravna oseba imeti varni elektronski predal – tistim, ki ga še nimajo, ga bo brezplačno zagotovila </w:t>
      </w:r>
      <w:proofErr w:type="gramStart"/>
      <w:r>
        <w:t>država</w:t>
      </w:r>
      <w:proofErr w:type="gramEnd"/>
      <w:r>
        <w:t xml:space="preserve"> v enem letu od uveljavitve zakona. Za fizične osebe se pri elektronskem vročanju ne spreminja </w:t>
      </w:r>
      <w:proofErr w:type="gramStart"/>
      <w:r>
        <w:t>ničesar</w:t>
      </w:r>
      <w:proofErr w:type="gramEnd"/>
      <w:r>
        <w:t>, organi bodo vročali elektronsko zgolj tistim, ki bodo za to izrazili interes.</w:t>
      </w:r>
    </w:p>
    <w:p w14:paraId="22D954C3" w14:textId="77777777" w:rsidR="00B731CE" w:rsidRDefault="00B731CE" w:rsidP="00B731CE"/>
    <w:p w14:paraId="0695720B" w14:textId="77777777" w:rsidR="00B731CE" w:rsidRDefault="00B731CE" w:rsidP="00B731CE">
      <w:r>
        <w:t xml:space="preserve">Predlagane so tudi spremembe in poenostavitve pri vročanju dokumentov v fizični obliki, in sicer, da če naslovniku dokumenta ni mogoče vročiti osebno v roke, se mu </w:t>
      </w:r>
      <w:proofErr w:type="gramStart"/>
      <w:r>
        <w:t>ga</w:t>
      </w:r>
      <w:proofErr w:type="gramEnd"/>
      <w:r>
        <w:t xml:space="preserve"> pusti v nabiralniku. Povedano drugače: zdaj je pismonoša ob neuspeli vročitvi pošiljko odnesel na pošto, če je naslovnik ni prevzel v 15 dneh, mu jo je pismonoša vrgel v poštni nabiralnik. Po novem bo pismonoša, če naslovnika ne bo doma, dokument takoj vrgel v nabiralnik in prejemniku ponj ne bo več treba hoditi na pošto. Ob tem se fikcija vročitve iz 15 dni skrajša na 7, kar pomeni, da se po sedmih dneh šteje, da je pošiljka vročena. S skrajšanjem rokov želimo zagotoviti predvsem hitrejšo rešitev zadev in hkrati s tem hitrejšo uveljavitev pravic strank. Velika večina odločb je namreč za stranke pozitivnih, tako da bi s predlaganim skrajšanjem roka stranke pravice pridobile in tudi uveljavile prej. Ob tem pa je treba poudariti, da se sočasno podaljšuje rok za pritožbo iz 15 na 21 dni, tako da se za stranke, ki se s prejeto odločitvijo ne strinjajo, skupni čas za vročitev in pripravo ter vložitev pritožbe ne spreminja. </w:t>
      </w:r>
    </w:p>
    <w:p w14:paraId="2E44C220" w14:textId="77777777" w:rsidR="00B731CE" w:rsidRDefault="00B731CE" w:rsidP="00B731CE"/>
    <w:p w14:paraId="1ED80CF6" w14:textId="77777777" w:rsidR="00B731CE" w:rsidRDefault="00B731CE" w:rsidP="00B731CE">
      <w:r>
        <w:t>Spremembe so predlagane tudi na področju pisanja odločb, in sicer zakon uvaja možnost, da organ lahko izda odločbo brez obrazložitve, na primer v primeru, ko se stranki ugodi in temu nihče ne nasprotuje. Obrazložitev odločbe ali sklepa je temelj za vlaganje pritožb ali drugih pravnih sredstev, a če zaradi okoliščin uporaba pravnih sredstev realno ni pričakovana, pisanje obrazložitve nima dodane vrednosti, hkrati pa po nepotrebnem obremenjuje upravni organ.</w:t>
      </w:r>
    </w:p>
    <w:p w14:paraId="6175E9D8" w14:textId="77777777" w:rsidR="00B731CE" w:rsidRDefault="00B731CE" w:rsidP="00B731CE"/>
    <w:p w14:paraId="0398F151" w14:textId="77777777" w:rsidR="00B731CE" w:rsidRDefault="00B731CE" w:rsidP="00B731CE">
      <w:r>
        <w:t>Predlog zakona povečuje dostopnost prebivalcem za elektronsko poslovanje oziroma oddajo vlog. Po trenutni ureditvi velja, da za elektronsko oddajo vloge potrebujemo kvalificirano digitalno potrdilo, po novem bi vlogo lahko oddali tudi s t. i. naprednim elektronskim podpisom. Take vrste podpis zagotavlja zadostno stopnjo zanesljivosti, obenem pa ga uporablja več ljudi, zato bodo storitve prebivalcem bolj dostopne.</w:t>
      </w:r>
    </w:p>
    <w:p w14:paraId="1D6E6ED8" w14:textId="77777777" w:rsidR="00B731CE" w:rsidRDefault="00B731CE" w:rsidP="00B731CE"/>
    <w:p w14:paraId="309F13B6" w14:textId="77777777" w:rsidR="00B731CE" w:rsidRDefault="00B731CE" w:rsidP="00B731CE">
      <w:r>
        <w:t>Ustrezneje se ureja možnost izvedbe ustne obravnave prek videokonference, kar bo bistveno pospešilo postopek, hkrati pa zmanjšalo stroške tako na strani organa kot osebe, ki bi sicer morala priti na obravnavo. Ni namreč vedno nujno, da bi stranke in priče z namenom ugotavljanja in razčiščevanja dejanskega stanja vsakokrat hodile k organu, če se lahko srečajo virtualno (prek računalnika ali telefona s kamero).</w:t>
      </w:r>
    </w:p>
    <w:p w14:paraId="61C3EC48" w14:textId="77777777" w:rsidR="00B731CE" w:rsidRDefault="00B731CE" w:rsidP="00B731CE"/>
    <w:p w14:paraId="344C64B7" w14:textId="77777777" w:rsidR="00B731CE" w:rsidRDefault="00B731CE" w:rsidP="00B731CE">
      <w:r>
        <w:t>Zakon bo omogočil, da se potrdilo iz uradnih evidenc v elektronski obliki lahko izda samodejno. Zahtevo za izdajo potrdila bodo zainteresirani lahko vložili prek eUprave ali drugega informacijskega sistema organa, podobno, kot je to že urejeno za izdajo potrdila o nekaznovanosti. To na eni strani pomeni veliko razbremenitev za zaposlene, ki zdaj pripravljajo in izdajajo potrdila, in na drugi strani prednost za stranke, saj avtomatizacija postopek skrajša iz nekaj dni na nekaj minut.</w:t>
      </w:r>
    </w:p>
    <w:p w14:paraId="71C0A329" w14:textId="77777777" w:rsidR="00B731CE" w:rsidRDefault="00B731CE" w:rsidP="00B731CE"/>
    <w:p w14:paraId="06403E34" w14:textId="77777777" w:rsidR="00B731CE" w:rsidRDefault="00B731CE" w:rsidP="00B731CE">
      <w:r>
        <w:t xml:space="preserve">Predlog zakona predvideva še eno novost, to je </w:t>
      </w:r>
      <w:proofErr w:type="gramStart"/>
      <w:r>
        <w:t>pripravljalni</w:t>
      </w:r>
      <w:proofErr w:type="gramEnd"/>
      <w:r>
        <w:t xml:space="preserve"> – posvetovalni narok. Tega organ lahko skliče, če oceni, da bi s predstavitvijo postopka, dejstev in posledic morebitne odločitve še pred ustno obravnavo lahko na manj formalen način odpravil dvome, vprašanja, negotovost in strahove strank, ki posledično vplivajo na potek postopka. Takšen »sestanek« ne bi bil obremenjen s strogimi formalnimi </w:t>
      </w:r>
      <w:r>
        <w:lastRenderedPageBreak/>
        <w:t>zahtevami za izvedbo ustne obravnave, zato bi v kompleksnih postopkih lahko omogočil hitrejše sporazumevanje in posledično tudi hitrejši zaključek postopka.</w:t>
      </w:r>
    </w:p>
    <w:p w14:paraId="75E7E49E" w14:textId="699F105A" w:rsidR="00B813C0" w:rsidRDefault="00B731CE" w:rsidP="00B731CE">
      <w:pPr>
        <w:pStyle w:val="Vir"/>
      </w:pPr>
      <w:r>
        <w:t>Vir: Ministrstvo za javno upravo</w:t>
      </w:r>
    </w:p>
    <w:p w14:paraId="7EFB900C" w14:textId="0B2ED7E7" w:rsidR="000A756A" w:rsidRDefault="000A756A" w:rsidP="000A756A">
      <w:pPr>
        <w:pStyle w:val="Naslov2"/>
      </w:pPr>
      <w:r>
        <w:t>Predlog zakona o financiranju in spodbujanju gradnje javnih najemnih stanovanj</w:t>
      </w:r>
    </w:p>
    <w:p w14:paraId="7F596993" w14:textId="04FBDDCD" w:rsidR="000A756A" w:rsidRDefault="000A756A" w:rsidP="000A756A">
      <w:r>
        <w:t xml:space="preserve">Vlada je na današnji seji potrdila </w:t>
      </w:r>
      <w:proofErr w:type="gramStart"/>
      <w:r>
        <w:t>predlog</w:t>
      </w:r>
      <w:r>
        <w:t xml:space="preserve"> </w:t>
      </w:r>
      <w:r>
        <w:t>Zakona</w:t>
      </w:r>
      <w:proofErr w:type="gramEnd"/>
      <w:r>
        <w:t xml:space="preserve"> o financiranju in spodbujanju gradnje javnih najemnih stanovanj, ki zagotavlja 100 milijonov evrov letno za gradnjo javnih najemnih stanovanj za obdobje od 2025 do 2035. Predvidljiv, visok in ugoden finančni viri bo stanovanjskim skladom in občinam omogočal, da bodo lahko strateško načrtovali svoje projekte glede na potrebe prebivalcev ter razvoja regij in gospodarstva. Stanovanjski sklad Republike Slovenije bo prejel sredstva za razvoj lastnih projektov, lokalne skupnosti pa bodo deležne financiranja prek programov stanovanjskega sklada in ugodnih posojil prek SID banke.</w:t>
      </w:r>
    </w:p>
    <w:p w14:paraId="5070EBD3" w14:textId="24342CD5" w:rsidR="00165667" w:rsidRDefault="000A756A" w:rsidP="000A756A">
      <w:pPr>
        <w:pStyle w:val="Vir"/>
      </w:pPr>
      <w:r>
        <w:t>Vir: Ministrstvo za solidarno prihodnost</w:t>
      </w:r>
    </w:p>
    <w:p w14:paraId="74A2898F" w14:textId="56F96799" w:rsidR="000A756A" w:rsidRDefault="000A756A" w:rsidP="000A756A">
      <w:pPr>
        <w:pStyle w:val="Naslov2"/>
      </w:pPr>
      <w:r>
        <w:t xml:space="preserve">Predlog novele Stanovanjskega zakona </w:t>
      </w:r>
    </w:p>
    <w:p w14:paraId="59A033E3" w14:textId="77777777" w:rsidR="000A756A" w:rsidRDefault="000A756A" w:rsidP="000A756A">
      <w:r>
        <w:t>Vlada je na današnji seji potrdila predlog novele Stanovanjskega zakona, ki prilagaja postopke dodeljevanja javnih najemnih stanovanj. V skladu s tem bodo imele občine in lokalni skladi bolj proste roke pri določanju razpisnih pogojev za oddajo javnih najemnih stanovanj, s čimer bodo lažje sledili svojim družbenim in razvojnim potrebam. Novela ob tem poenostavlja postopke dodeljevanja, zaradi česar se bodo razpisi izvajali učinkoviteje in hitreje. Novela uvaja tudi spremembo na področju subvencij za najem javnih najemnih stanovanj. Te bo po novem krila država, kar pomeni, da večje število javnih najemnih stanovanj ne bo več breme za občinske proračune.</w:t>
      </w:r>
    </w:p>
    <w:p w14:paraId="4AC73AB3" w14:textId="71F3691F" w:rsidR="00165667" w:rsidRDefault="000A756A" w:rsidP="000A756A">
      <w:pPr>
        <w:pStyle w:val="Vir"/>
      </w:pPr>
      <w:r>
        <w:t>Vir: Ministrstvo za solidarno prihodnost</w:t>
      </w:r>
    </w:p>
    <w:p w14:paraId="21C93EBA" w14:textId="64764E22" w:rsidR="00564AF1" w:rsidRDefault="00564AF1" w:rsidP="00DB37C6">
      <w:pPr>
        <w:pStyle w:val="Naslov2"/>
      </w:pPr>
      <w:bookmarkStart w:id="1" w:name="_Hlk198144975"/>
      <w:r>
        <w:t xml:space="preserve">Predlog zakona o spremembah in dopolnitvah Zakona o dolgotrajni oskrbi </w:t>
      </w:r>
    </w:p>
    <w:p w14:paraId="4AD998DD" w14:textId="29FCA62C" w:rsidR="0061171A" w:rsidRDefault="0061171A" w:rsidP="00564AF1">
      <w:r w:rsidRPr="0061171A">
        <w:t>Vlada je na današnji seji sprejela predlog zakona o spremembah in dopolnitvah Zakona o dolgotrajni oskrbi, katerega ključna sprememba je vzpostavitev pravice do oskrbovalca družinskega člana tudi za upokojence. To pomeni, da bodo tudi upokojenci lahko uradno postali oskrbovalci svojega družinskega člana. V primeru, da se upokojenec aktivira kot oskrbovalec svojega družinskega člana, mu bo pripadlo enako nadomestilo (torej 1,2 minimalne plače za enega oziroma 1,8 za dva oskrbovalca) in 40 odstotkov pokojnine.</w:t>
      </w:r>
    </w:p>
    <w:p w14:paraId="7E133652" w14:textId="77777777" w:rsidR="0061171A" w:rsidRDefault="0061171A" w:rsidP="0061171A">
      <w:pPr>
        <w:pStyle w:val="Vir"/>
      </w:pPr>
      <w:r>
        <w:t>Vir: Ministrstvo za solidarno prihodnost</w:t>
      </w:r>
    </w:p>
    <w:bookmarkEnd w:id="1"/>
    <w:p w14:paraId="427F667E" w14:textId="52A2DD39" w:rsidR="00661D55" w:rsidRDefault="00661D55" w:rsidP="00661D55">
      <w:pPr>
        <w:pStyle w:val="Naslov2"/>
      </w:pPr>
      <w:r>
        <w:t>Soglasje vlade k letnemu načrtu upravljanja naložb</w:t>
      </w:r>
    </w:p>
    <w:p w14:paraId="2C8BC917" w14:textId="77777777" w:rsidR="00661D55" w:rsidRDefault="00661D55" w:rsidP="00661D55">
      <w:r>
        <w:t>Vlada je danes Slovenskemu državnemu holdingu (SDH) dala soglasje k Letnemu načrtu upravljanja naložb za leto 2025, sprejela pa je tudi spremljajoče dokumente s področja upravljanja naložb.</w:t>
      </w:r>
    </w:p>
    <w:p w14:paraId="09AE3E9E" w14:textId="77777777" w:rsidR="00661D55" w:rsidRDefault="00661D55" w:rsidP="00661D55"/>
    <w:p w14:paraId="7CA4DCE8" w14:textId="77777777" w:rsidR="00661D55" w:rsidRDefault="00661D55" w:rsidP="00661D55">
      <w:r>
        <w:t xml:space="preserve">V letnem načrtu, ki je usklajen z marca letos sprejeto novo strategijo upravljanja naložb države, so opredeljeni podrobni cilji pri upravljanju posameznih naložb, ukrepi in usmeritve za doseganje teh ciljev ter pričakovani denarni tokovi iz upravljanja naložb. </w:t>
      </w:r>
    </w:p>
    <w:p w14:paraId="5BBBA23F" w14:textId="77777777" w:rsidR="00661D55" w:rsidRDefault="00661D55" w:rsidP="00661D55"/>
    <w:p w14:paraId="484C2F5E" w14:textId="77777777" w:rsidR="00661D55" w:rsidRDefault="00661D55" w:rsidP="00661D55">
      <w:r>
        <w:t>Donos lastniškega kapitala naložb Republike Slovenije in SDH je za leto 2025 načrtovan v višini 7,1 odstotka, iz dividend pa naj bi Republika Slovenija, SDH ter Zavod za pokojninsko in invalidsko zavarovanje skupaj prejeli 464 milijonov evrov.</w:t>
      </w:r>
    </w:p>
    <w:p w14:paraId="2DC1F2E1" w14:textId="77777777" w:rsidR="00661D55" w:rsidRDefault="00661D55" w:rsidP="00661D55"/>
    <w:p w14:paraId="048F7164" w14:textId="77777777" w:rsidR="00661D55" w:rsidRDefault="00661D55" w:rsidP="00661D55">
      <w:r>
        <w:t xml:space="preserve">Vlada je kot skupščina SDH sprejela tudi merila za merjenje uspešnosti poslovanja SDH in družb s kapitalsko naložbo države, potrdila pa je tudi sklenitev pogodbe o plačilu stroškov SDH za upravljanje kapitalskih naložb države za leto 2025. </w:t>
      </w:r>
    </w:p>
    <w:p w14:paraId="5BB88493" w14:textId="0DFDC007" w:rsidR="00564AF1" w:rsidRDefault="00661D55" w:rsidP="00661D55">
      <w:pPr>
        <w:pStyle w:val="Vir"/>
      </w:pPr>
      <w:r>
        <w:t>Vir: Ministrstvo za finance</w:t>
      </w:r>
    </w:p>
    <w:p w14:paraId="0DFAECF2" w14:textId="4125B18C" w:rsidR="00465BF0" w:rsidRDefault="00465BF0" w:rsidP="00465BF0">
      <w:pPr>
        <w:pStyle w:val="Naslov2"/>
      </w:pPr>
      <w:r>
        <w:t>Vlada prerazporeja sredstva državnega proračuna</w:t>
      </w:r>
    </w:p>
    <w:p w14:paraId="10EE1C90" w14:textId="77777777" w:rsidR="00465BF0" w:rsidRDefault="00465BF0" w:rsidP="00465BF0">
      <w:r>
        <w:t>Vlada je na današnji seji odločila o prerazporeditvah pravic porabe v letošnjem državnem proračunu, ki so med drugim povezane s plačilom stroškov dela na področju dolgotrajne oskrbe.</w:t>
      </w:r>
    </w:p>
    <w:p w14:paraId="19CA67CD" w14:textId="77777777" w:rsidR="00465BF0" w:rsidRDefault="00465BF0" w:rsidP="00465BF0"/>
    <w:p w14:paraId="04FCF2C0" w14:textId="77777777" w:rsidR="00465BF0" w:rsidRDefault="00465BF0" w:rsidP="00465BF0">
      <w:r>
        <w:t>Ministrstvo za solidarno prihodnost predlaga prerazporeditev pravic porabe v okviru svojega finančnega načrta v višini 3,9 milijona evrov za izplačila stroškov dela javnim zavodom na področju dolgotrajne oskrbe. Sredstva se prerazporejajo za zagotovitev zadostnih pravic porabe za plačilo stroškov dela za januar, februar in marec 2025 za izvajalce socialnovarstvenih storitev (domovi za starejše, zavodi za odrasle z duševnimi in telesnimi ovirami).</w:t>
      </w:r>
    </w:p>
    <w:p w14:paraId="76F969F7" w14:textId="77777777" w:rsidR="00465BF0" w:rsidRDefault="00465BF0" w:rsidP="00465BF0"/>
    <w:p w14:paraId="59632E1A" w14:textId="77777777" w:rsidR="00465BF0" w:rsidRDefault="00465BF0" w:rsidP="00465BF0">
      <w:r>
        <w:t>Ministrstvo za naravne vire in prostor predlaga prerazporeditev pravic porabe v višini 67 tisoč evrov v okviru svojega finančnega načrta za namen zagotovitve manjkajočih sredstev za financiranje projekta »LIFE prilagodimo se podnebnim spremembam« v okviru katerega se financirajo rešitve za učinkovito prilagajanje na vse pogostejše ekstremne vremenske pojave ter dolgoročne okoljske spremembe.</w:t>
      </w:r>
    </w:p>
    <w:p w14:paraId="0C9655DB" w14:textId="4CEC8192" w:rsidR="00B813C0" w:rsidRDefault="00465BF0" w:rsidP="00465BF0">
      <w:pPr>
        <w:pStyle w:val="Vir"/>
      </w:pPr>
      <w:r>
        <w:t>Vir: Ministrstvo za finance</w:t>
      </w:r>
    </w:p>
    <w:p w14:paraId="524F4E0C" w14:textId="5763B06A" w:rsidR="00030B6B" w:rsidRDefault="00030B6B" w:rsidP="00030B6B">
      <w:pPr>
        <w:pStyle w:val="Naslov2"/>
      </w:pPr>
      <w:r>
        <w:t>Vlada sprejela stališče Republike Slovenije k Beli knjigi o evropski obrambni pripravljenosti 2030</w:t>
      </w:r>
    </w:p>
    <w:p w14:paraId="7B551D27" w14:textId="77777777" w:rsidR="00030B6B" w:rsidRDefault="00030B6B" w:rsidP="00030B6B">
      <w:r>
        <w:t xml:space="preserve">Vlada Republike Slovenije je na današnji seji sprejela stališče Republike Slovenije k </w:t>
      </w:r>
      <w:proofErr w:type="spellStart"/>
      <w:proofErr w:type="gramStart"/>
      <w:r>
        <w:t>Joint</w:t>
      </w:r>
      <w:proofErr w:type="spellEnd"/>
      <w:proofErr w:type="gramEnd"/>
      <w:r>
        <w:t xml:space="preserve"> White Paper for </w:t>
      </w:r>
      <w:proofErr w:type="spellStart"/>
      <w:r>
        <w:t>European</w:t>
      </w:r>
      <w:proofErr w:type="spellEnd"/>
      <w:r>
        <w:t xml:space="preserve"> </w:t>
      </w:r>
      <w:proofErr w:type="spellStart"/>
      <w:r>
        <w:t>Defence</w:t>
      </w:r>
      <w:proofErr w:type="spellEnd"/>
      <w:r>
        <w:t xml:space="preserve"> </w:t>
      </w:r>
      <w:proofErr w:type="spellStart"/>
      <w:r>
        <w:t>Readiness</w:t>
      </w:r>
      <w:proofErr w:type="spellEnd"/>
      <w:r>
        <w:t xml:space="preserve"> 2030-7293/25, ki se glasi: Republika Slovenija pozdravlja objavo Bele knjige o evropski obrambni pripravljenosti 2030 (Bele knjige), ki zasleduje celostno krepitev varnosti in obrambe Evropske unije. Posebej pozdravlja vključitev pomena krepitve partnerstev, zlasti sodelovanja z Natom in podobno mislečimi partnerji, vključno z državami v soseščini. Nato ostaja temelj kolektivne obrambe v Evropi. Močnejša obrambna pripravljenost EU bo koristila tako čezatlantski varnosti</w:t>
      </w:r>
      <w:proofErr w:type="gramStart"/>
      <w:r>
        <w:t>,</w:t>
      </w:r>
      <w:proofErr w:type="gramEnd"/>
      <w:r>
        <w:t xml:space="preserve"> kot pomagala tistim državam članicam EU, ki so tudi del zavezništva, da dosežejo svoje cilje zmogljivosti v okviru Nata.</w:t>
      </w:r>
    </w:p>
    <w:p w14:paraId="0B4C59A8" w14:textId="77777777" w:rsidR="00030B6B" w:rsidRDefault="00030B6B" w:rsidP="00030B6B"/>
    <w:p w14:paraId="0B183882" w14:textId="77777777" w:rsidR="00030B6B" w:rsidRDefault="00030B6B" w:rsidP="00030B6B">
      <w:r>
        <w:t>Bela knjiga odraža ambicije, ki bodo krepile evropsko obrambno pripravljenost, kar je v procesu nastajanja dokumenta poudarjala tudi Republika Slovenija. Zagotavlja nov pristop k zapolnjevanju primanjkljajev zmogljivosti, obravnava industrijsko konkurenčnost in opredeljuje industrijske obrambne potrebe. Dokument bo imel doprinos tudi za Slovenijo, ki ima ambicijo okrepiti lastno obrambno industrijo ob naslonitvi na obstoječe in prihodnje pobude ter mehanizme EU.</w:t>
      </w:r>
    </w:p>
    <w:p w14:paraId="60B757F3" w14:textId="3B3C88BA" w:rsidR="00564AF1" w:rsidRDefault="00030B6B" w:rsidP="00030B6B">
      <w:pPr>
        <w:pStyle w:val="Vir"/>
      </w:pPr>
      <w:r>
        <w:t>Vir: Ministrstvo za obrambo</w:t>
      </w:r>
    </w:p>
    <w:p w14:paraId="43085196" w14:textId="2877B8D8" w:rsidR="00465BF0" w:rsidRDefault="00465BF0" w:rsidP="00465BF0">
      <w:pPr>
        <w:pStyle w:val="Naslov2"/>
      </w:pPr>
      <w:r>
        <w:t>Vlada je sprejela pobudo za sklenitev Sporazuma med Republiko Slovenijo in Republiko Albanijo o zaposlovanju in socialnem zavarovanju</w:t>
      </w:r>
    </w:p>
    <w:p w14:paraId="677425CD" w14:textId="77777777" w:rsidR="00465BF0" w:rsidRDefault="00465BF0" w:rsidP="00465BF0">
      <w:r>
        <w:t>Sporazum med Republiko Slovenijo in Republiko Albanijo o zaposlovanju in socialnem zavarovanju bo uredil postopke zaposlovanja med državama po načelu krožnih migracij in po zgledu že sklenjenih sporazumov med RS in Bosno in Hercegovino in Republiko Srbijo. Poleg tega bo Sporazum uredil uveljavljanje pravic iz pokojninskega in invalidskega zavarovanja, za katere so bili plačani</w:t>
      </w:r>
      <w:proofErr w:type="gramStart"/>
      <w:r>
        <w:t xml:space="preserve"> oz.</w:t>
      </w:r>
      <w:proofErr w:type="gramEnd"/>
      <w:r>
        <w:t xml:space="preserve"> se plačujejo prispevki. Sporazum bo tudi uredil status napotenih delavcev in odpravil obveznost dvojnega </w:t>
      </w:r>
      <w:r>
        <w:lastRenderedPageBreak/>
        <w:t>plačevanja prispevkov. Sporazum v tem delu sledi rešitvam, ki so vsebovane v že sklenjenih tovrstnih sporazumih s Kanado, Avstralijo, Argentino, Združenimi državami Amerike in Republiko Korejo.</w:t>
      </w:r>
    </w:p>
    <w:p w14:paraId="6DDB21CE" w14:textId="77777777" w:rsidR="00465BF0" w:rsidRDefault="00465BF0" w:rsidP="00465BF0"/>
    <w:p w14:paraId="0AACD11A" w14:textId="77777777" w:rsidR="00465BF0" w:rsidRDefault="00465BF0" w:rsidP="00465BF0">
      <w:r>
        <w:t>Vlada je za pogajanja o sklenitvi sporazuma imenovala delegacijo v naslednji sestavi:</w:t>
      </w:r>
    </w:p>
    <w:p w14:paraId="22DE9043" w14:textId="77777777" w:rsidR="00465BF0" w:rsidRDefault="00465BF0" w:rsidP="00465BF0"/>
    <w:p w14:paraId="4F512E8F" w14:textId="591DEE47" w:rsidR="00465BF0" w:rsidRDefault="00465BF0" w:rsidP="00465BF0">
      <w:pPr>
        <w:pStyle w:val="Odstavekseznama"/>
        <w:numPr>
          <w:ilvl w:val="0"/>
          <w:numId w:val="13"/>
        </w:numPr>
      </w:pPr>
      <w:r>
        <w:t>Igor Feketija, državni sekretar, Ministrstvo za delo, družino, socialne zadeve in enake možnosti, vodja delegacije,</w:t>
      </w:r>
    </w:p>
    <w:p w14:paraId="78740414" w14:textId="00D4A26B" w:rsidR="00465BF0" w:rsidRDefault="00465BF0" w:rsidP="00465BF0">
      <w:pPr>
        <w:pStyle w:val="Odstavekseznama"/>
        <w:numPr>
          <w:ilvl w:val="0"/>
          <w:numId w:val="13"/>
        </w:numPr>
      </w:pPr>
      <w:r>
        <w:t>Mojca Pršina, generalna direktorica, Direktorat za trg dela in zaposlovanje, Ministrstvo za delo, družino, socialne zadeve in enake možnosti, namestnica vodje,</w:t>
      </w:r>
    </w:p>
    <w:p w14:paraId="15CD7532" w14:textId="08466818" w:rsidR="00465BF0" w:rsidRDefault="00465BF0" w:rsidP="00465BF0">
      <w:pPr>
        <w:pStyle w:val="Odstavekseznama"/>
        <w:numPr>
          <w:ilvl w:val="0"/>
          <w:numId w:val="13"/>
        </w:numPr>
      </w:pPr>
      <w:r>
        <w:t>Lidija Šubelj, generalna direktorica, Direktorat za delovna razmerja in pravice iz dela, Ministrstvo za delo, družino, socialne zadeve in enake možnosti, članica,</w:t>
      </w:r>
    </w:p>
    <w:p w14:paraId="0615B172" w14:textId="2FCC3DEF" w:rsidR="00465BF0" w:rsidRDefault="00465BF0" w:rsidP="00465BF0">
      <w:pPr>
        <w:pStyle w:val="Odstavekseznama"/>
        <w:numPr>
          <w:ilvl w:val="0"/>
          <w:numId w:val="13"/>
        </w:numPr>
      </w:pPr>
      <w:r>
        <w:t>Gregor Malec, Ministrstvo za delo, družino, socialne zadeve in enake možnosti, član,</w:t>
      </w:r>
    </w:p>
    <w:p w14:paraId="09451153" w14:textId="26EDBEFB" w:rsidR="00465BF0" w:rsidRDefault="00465BF0" w:rsidP="00465BF0">
      <w:pPr>
        <w:pStyle w:val="Odstavekseznama"/>
        <w:numPr>
          <w:ilvl w:val="0"/>
          <w:numId w:val="13"/>
        </w:numPr>
      </w:pPr>
      <w:r>
        <w:t>Bojan Kraut, Ministrstvo za delo, družino, socialne zadeve in enake možnosti, član,</w:t>
      </w:r>
    </w:p>
    <w:p w14:paraId="39B64564" w14:textId="5AE3DCEF" w:rsidR="00465BF0" w:rsidRDefault="00465BF0" w:rsidP="00465BF0">
      <w:pPr>
        <w:pStyle w:val="Odstavekseznama"/>
        <w:numPr>
          <w:ilvl w:val="0"/>
          <w:numId w:val="13"/>
        </w:numPr>
      </w:pPr>
      <w:r>
        <w:t>Tilen Zupan, Ministrstvo za delo, družino, socialne zadeve in enake možnosti, član,</w:t>
      </w:r>
    </w:p>
    <w:p w14:paraId="2090D590" w14:textId="547D2C81" w:rsidR="00465BF0" w:rsidRDefault="00465BF0" w:rsidP="00465BF0">
      <w:pPr>
        <w:pStyle w:val="Odstavekseznama"/>
        <w:numPr>
          <w:ilvl w:val="0"/>
          <w:numId w:val="13"/>
        </w:numPr>
      </w:pPr>
      <w:r>
        <w:t>Nuša Meško, Ministrstvo za delo, družino, socialne zadeve in enake možnosti, članica,</w:t>
      </w:r>
    </w:p>
    <w:p w14:paraId="6F5DACAF" w14:textId="5E460912" w:rsidR="00465BF0" w:rsidRDefault="00465BF0" w:rsidP="00465BF0">
      <w:pPr>
        <w:pStyle w:val="Odstavekseznama"/>
        <w:numPr>
          <w:ilvl w:val="0"/>
          <w:numId w:val="13"/>
        </w:numPr>
      </w:pPr>
      <w:r>
        <w:t>Maja Dobnik, Ministrstvo za delo, družino, socialne zadeve in enake možnosti, članica,</w:t>
      </w:r>
    </w:p>
    <w:p w14:paraId="77B69854" w14:textId="78D46DEE" w:rsidR="00465BF0" w:rsidRDefault="00465BF0" w:rsidP="00465BF0">
      <w:pPr>
        <w:pStyle w:val="Odstavekseznama"/>
        <w:numPr>
          <w:ilvl w:val="0"/>
          <w:numId w:val="13"/>
        </w:numPr>
      </w:pPr>
      <w:r>
        <w:t>Drago Smole, Ministrstvo za zunanje in evropske zadeve, član,</w:t>
      </w:r>
    </w:p>
    <w:p w14:paraId="32FEB7F1" w14:textId="5B7C2AEB" w:rsidR="00465BF0" w:rsidRDefault="00465BF0" w:rsidP="00465BF0">
      <w:pPr>
        <w:pStyle w:val="Odstavekseznama"/>
        <w:numPr>
          <w:ilvl w:val="0"/>
          <w:numId w:val="13"/>
        </w:numPr>
      </w:pPr>
      <w:r>
        <w:t>Tadeja Marinič, Ministrstvo za zunanje in evropske zadeve, članica,</w:t>
      </w:r>
    </w:p>
    <w:p w14:paraId="70E361E7" w14:textId="60DEA9B4" w:rsidR="00465BF0" w:rsidRDefault="00465BF0" w:rsidP="00465BF0">
      <w:pPr>
        <w:pStyle w:val="Odstavekseznama"/>
        <w:numPr>
          <w:ilvl w:val="0"/>
          <w:numId w:val="13"/>
        </w:numPr>
      </w:pPr>
      <w:r>
        <w:t>Metka Logar, Ministrstvo za zdravje, članica,</w:t>
      </w:r>
    </w:p>
    <w:p w14:paraId="5E2FD473" w14:textId="4FF5A0FB" w:rsidR="00465BF0" w:rsidRDefault="00465BF0" w:rsidP="00465BF0">
      <w:pPr>
        <w:pStyle w:val="Odstavekseznama"/>
        <w:numPr>
          <w:ilvl w:val="0"/>
          <w:numId w:val="13"/>
        </w:numPr>
      </w:pPr>
      <w:r>
        <w:t>Miha Šepec, Zavod Republike Slovenije za zaposlovanje, član,</w:t>
      </w:r>
    </w:p>
    <w:p w14:paraId="6BF63197" w14:textId="20C9C19A" w:rsidR="00465BF0" w:rsidRDefault="00465BF0" w:rsidP="00465BF0">
      <w:pPr>
        <w:pStyle w:val="Odstavekseznama"/>
        <w:numPr>
          <w:ilvl w:val="0"/>
          <w:numId w:val="13"/>
        </w:numPr>
      </w:pPr>
      <w:r>
        <w:t>Katarina Bertoncelj, Zavod Republike Slovenije za zaposlovanje, članica,</w:t>
      </w:r>
    </w:p>
    <w:p w14:paraId="5ED96AAF" w14:textId="63A27A10" w:rsidR="00465BF0" w:rsidRDefault="00465BF0" w:rsidP="00465BF0">
      <w:pPr>
        <w:pStyle w:val="Odstavekseznama"/>
        <w:numPr>
          <w:ilvl w:val="0"/>
          <w:numId w:val="13"/>
        </w:numPr>
      </w:pPr>
      <w:r>
        <w:t>Darka Hribar, Zavod za pokojninsko in invalidsko zavarovanje Slovenije, članica,</w:t>
      </w:r>
    </w:p>
    <w:p w14:paraId="55DEAD17" w14:textId="7F22984F" w:rsidR="00465BF0" w:rsidRDefault="00465BF0" w:rsidP="00465BF0">
      <w:pPr>
        <w:pStyle w:val="Odstavekseznama"/>
        <w:numPr>
          <w:ilvl w:val="0"/>
          <w:numId w:val="13"/>
        </w:numPr>
      </w:pPr>
      <w:r>
        <w:t>Mitja Mrzljak, Zavod za pokojninsko in invalidsko zavarovanje Slovenije, član,</w:t>
      </w:r>
    </w:p>
    <w:p w14:paraId="5AA32C50" w14:textId="3787BC7D" w:rsidR="00465BF0" w:rsidRDefault="00465BF0" w:rsidP="00465BF0">
      <w:pPr>
        <w:pStyle w:val="Odstavekseznama"/>
        <w:numPr>
          <w:ilvl w:val="0"/>
          <w:numId w:val="13"/>
        </w:numPr>
      </w:pPr>
      <w:r>
        <w:t>Klemen Ganziti, Zavod za zdravstveno zavarovanje Slovenije, član,</w:t>
      </w:r>
    </w:p>
    <w:p w14:paraId="40E7D48D" w14:textId="1FB680A9" w:rsidR="00465BF0" w:rsidRDefault="00465BF0" w:rsidP="00465BF0">
      <w:pPr>
        <w:pStyle w:val="Odstavekseznama"/>
        <w:numPr>
          <w:ilvl w:val="0"/>
          <w:numId w:val="13"/>
        </w:numPr>
      </w:pPr>
      <w:r>
        <w:t xml:space="preserve">Katja </w:t>
      </w:r>
      <w:proofErr w:type="spellStart"/>
      <w:r>
        <w:t>Matuc</w:t>
      </w:r>
      <w:proofErr w:type="spellEnd"/>
      <w:r>
        <w:t>, Zavod za zdravstveno zavarovanje Slovenije, članica.</w:t>
      </w:r>
    </w:p>
    <w:p w14:paraId="569DF15B" w14:textId="2DC664F7" w:rsidR="00165667" w:rsidRDefault="00465BF0" w:rsidP="00465BF0">
      <w:pPr>
        <w:pStyle w:val="Vir"/>
      </w:pPr>
      <w:r w:rsidRPr="00465BF0">
        <w:t>Vir: Ministrstvo za delo, družino, socialne zadeve in enake možnosti</w:t>
      </w:r>
    </w:p>
    <w:p w14:paraId="102CFAEF" w14:textId="77777777" w:rsidR="00245CCD" w:rsidRDefault="00245CCD" w:rsidP="00245CCD">
      <w:pPr>
        <w:pStyle w:val="Naslov2"/>
      </w:pPr>
      <w:r>
        <w:t>Vlada razrešila glavnega inšpektorja za varstvo pred naravnimi in drugimi nesrečami in imenovala vršilca dolžnosti glavnega inšpektorja</w:t>
      </w:r>
    </w:p>
    <w:p w14:paraId="1C8ED806" w14:textId="77777777" w:rsidR="00245CCD" w:rsidRDefault="00245CCD" w:rsidP="00245CCD">
      <w:r>
        <w:t>Vlada Republike Slovenije je na današnji seji razrešila mag. Borisa Balanta s položaja glavnega inšpektorja v Inšpektoratu Republike Slovenije za varstvo pred naravnimi in drugimi nesrečami na Ministrstvu za obrambo in imenovala mag. Miloša Bizjaka za vršilca dolžnosti glavnega inšpektorja v Inšpektoratu Republike Slovenije za varstvo pred naravnimi in drugimi nesrečami do imenovanja novega glavnega inšpektorja, vendar največ za šest mesecev, to je do 20. novembra 2025.</w:t>
      </w:r>
    </w:p>
    <w:p w14:paraId="2F020CDD" w14:textId="77777777" w:rsidR="00245CCD" w:rsidRDefault="00245CCD" w:rsidP="00245CCD"/>
    <w:p w14:paraId="7CB433FA" w14:textId="77777777" w:rsidR="00245CCD" w:rsidRDefault="00245CCD" w:rsidP="00245CCD">
      <w:r>
        <w:t xml:space="preserve">Mag. Boris Balant je bil z odločbo Vlade Republike Slovenije 20. julija 2023 ponovno imenovan na </w:t>
      </w:r>
      <w:proofErr w:type="gramStart"/>
      <w:r>
        <w:t>položaj</w:t>
      </w:r>
      <w:proofErr w:type="gramEnd"/>
      <w:r>
        <w:t xml:space="preserve"> glavnega inšpektorja v Inšpektoratu Republike Slovenije za varstvo pred naravnimi in drugimi nesrečami na Ministrstvu za obrambo za čet let od 1. novembra 2023 do 31. oktobra 2028. Imenovani </w:t>
      </w:r>
      <w:proofErr w:type="gramStart"/>
      <w:r>
        <w:t>je</w:t>
      </w:r>
      <w:proofErr w:type="gramEnd"/>
      <w:r>
        <w:t xml:space="preserve"> 12. marca 2025 podal vlogo za odpoved delovnega razmerja z 20. majem 2025 zaradi zaposlitve pri drugem delodajalcu in prošnjo za razrešitev s funkcije glavnega inšpektorja v Inšpektoratu Republike Slovenije za varstvo pred naravnimi in drugimi nesrečami. Minister za obrambo je v skladu z določili Zakona o javnih uslužbencih 9. maja 2025 podal predlog za razrešitev mag. Borisa Balanta s položaja glavnega inšpektorja v Inšpektoratu za varstvo pred naravnimi in drugimi nesrečami na Ministrstvu za obrambo z 20. majem 2025.</w:t>
      </w:r>
    </w:p>
    <w:p w14:paraId="283AF8C8" w14:textId="77777777" w:rsidR="00245CCD" w:rsidRDefault="00245CCD" w:rsidP="00245CCD"/>
    <w:p w14:paraId="7966C6FA" w14:textId="77777777" w:rsidR="00245CCD" w:rsidRDefault="00245CCD" w:rsidP="00245CCD">
      <w:r>
        <w:t xml:space="preserve">Minister za obrambo je v skladu z določili Zakona o javnih uslužbencih 9. maja 2025 podal predlog za imenovanje mag. Miloša Bizjaka za vršilca dolžnosti glavnega inšpektorja v Inšpektoratu za varstvo pred naravnimi in drugimi nesrečami na Ministrstvu za obrambo z 21. majem 2025 do imenovanja novega glavnega inšpektorja, vendar največ za šest mesecev, to je do </w:t>
      </w:r>
      <w:proofErr w:type="spellStart"/>
      <w:proofErr w:type="gramStart"/>
      <w:r>
        <w:t>20.</w:t>
      </w:r>
      <w:proofErr w:type="gramEnd"/>
      <w:r>
        <w:t>novembra</w:t>
      </w:r>
      <w:proofErr w:type="spellEnd"/>
      <w:r>
        <w:t xml:space="preserve"> 2025.</w:t>
      </w:r>
    </w:p>
    <w:p w14:paraId="69E0DA8C" w14:textId="10303407" w:rsidR="00DE1B54" w:rsidRDefault="00245CCD" w:rsidP="00245CCD">
      <w:pPr>
        <w:pStyle w:val="Vir"/>
      </w:pPr>
      <w:r>
        <w:t>Vir: Ministrstvo za obrambo</w:t>
      </w:r>
    </w:p>
    <w:sectPr w:rsidR="00DE1B54"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6828" w14:textId="77777777" w:rsidR="0067375D" w:rsidRDefault="0067375D" w:rsidP="00750D01">
      <w:pPr>
        <w:spacing w:line="240" w:lineRule="auto"/>
      </w:pPr>
      <w:r>
        <w:separator/>
      </w:r>
    </w:p>
  </w:endnote>
  <w:endnote w:type="continuationSeparator" w:id="0">
    <w:p w14:paraId="382D8D7B" w14:textId="77777777" w:rsidR="0067375D" w:rsidRDefault="006737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05DB" w14:textId="77777777" w:rsidR="0067375D" w:rsidRDefault="0067375D" w:rsidP="00750D01">
      <w:pPr>
        <w:spacing w:line="240" w:lineRule="auto"/>
      </w:pPr>
      <w:r>
        <w:separator/>
      </w:r>
    </w:p>
  </w:footnote>
  <w:footnote w:type="continuationSeparator" w:id="0">
    <w:p w14:paraId="56A3F1D9" w14:textId="77777777" w:rsidR="0067375D" w:rsidRDefault="006737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D8384B"/>
    <w:multiLevelType w:val="hybridMultilevel"/>
    <w:tmpl w:val="3F1801CE"/>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9D6470"/>
    <w:multiLevelType w:val="hybridMultilevel"/>
    <w:tmpl w:val="5B346B5E"/>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3642E1"/>
    <w:multiLevelType w:val="hybridMultilevel"/>
    <w:tmpl w:val="D98EBF7A"/>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8AE247A"/>
    <w:multiLevelType w:val="hybridMultilevel"/>
    <w:tmpl w:val="857C5A56"/>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176576364">
    <w:abstractNumId w:val="11"/>
  </w:num>
  <w:num w:numId="2" w16cid:durableId="984821814">
    <w:abstractNumId w:val="8"/>
  </w:num>
  <w:num w:numId="3" w16cid:durableId="150218247">
    <w:abstractNumId w:val="0"/>
  </w:num>
  <w:num w:numId="4" w16cid:durableId="1026903286">
    <w:abstractNumId w:val="9"/>
  </w:num>
  <w:num w:numId="5" w16cid:durableId="231817878">
    <w:abstractNumId w:val="4"/>
  </w:num>
  <w:num w:numId="6" w16cid:durableId="2110814889">
    <w:abstractNumId w:val="12"/>
  </w:num>
  <w:num w:numId="7" w16cid:durableId="695153758">
    <w:abstractNumId w:val="5"/>
  </w:num>
  <w:num w:numId="8" w16cid:durableId="853298866">
    <w:abstractNumId w:val="7"/>
  </w:num>
  <w:num w:numId="9" w16cid:durableId="1789348953">
    <w:abstractNumId w:val="3"/>
  </w:num>
  <w:num w:numId="10" w16cid:durableId="1036468392">
    <w:abstractNumId w:val="2"/>
  </w:num>
  <w:num w:numId="11" w16cid:durableId="139230733">
    <w:abstractNumId w:val="1"/>
  </w:num>
  <w:num w:numId="12" w16cid:durableId="1688167671">
    <w:abstractNumId w:val="6"/>
  </w:num>
  <w:num w:numId="13" w16cid:durableId="9233448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27840"/>
    <w:rsid w:val="00030B6B"/>
    <w:rsid w:val="000318E4"/>
    <w:rsid w:val="00050A56"/>
    <w:rsid w:val="00057AE3"/>
    <w:rsid w:val="0006358D"/>
    <w:rsid w:val="00076DF7"/>
    <w:rsid w:val="00085D04"/>
    <w:rsid w:val="00087069"/>
    <w:rsid w:val="00097B85"/>
    <w:rsid w:val="000A756A"/>
    <w:rsid w:val="000D5520"/>
    <w:rsid w:val="000E0657"/>
    <w:rsid w:val="00110B8F"/>
    <w:rsid w:val="0013016C"/>
    <w:rsid w:val="001602C9"/>
    <w:rsid w:val="0016530C"/>
    <w:rsid w:val="00165667"/>
    <w:rsid w:val="001673A5"/>
    <w:rsid w:val="00173343"/>
    <w:rsid w:val="001B01DD"/>
    <w:rsid w:val="001B42F9"/>
    <w:rsid w:val="001C3560"/>
    <w:rsid w:val="001F51BC"/>
    <w:rsid w:val="001F7F63"/>
    <w:rsid w:val="00203F5F"/>
    <w:rsid w:val="00215140"/>
    <w:rsid w:val="002166C4"/>
    <w:rsid w:val="00231021"/>
    <w:rsid w:val="00245CCD"/>
    <w:rsid w:val="002501CE"/>
    <w:rsid w:val="002C36A6"/>
    <w:rsid w:val="0032428F"/>
    <w:rsid w:val="003333DB"/>
    <w:rsid w:val="00346E22"/>
    <w:rsid w:val="00351E1E"/>
    <w:rsid w:val="00357DC0"/>
    <w:rsid w:val="00361255"/>
    <w:rsid w:val="00381018"/>
    <w:rsid w:val="003847C8"/>
    <w:rsid w:val="003877EB"/>
    <w:rsid w:val="00390DF7"/>
    <w:rsid w:val="00390E81"/>
    <w:rsid w:val="0039662C"/>
    <w:rsid w:val="003D64D8"/>
    <w:rsid w:val="003E1504"/>
    <w:rsid w:val="003E17B6"/>
    <w:rsid w:val="003E6170"/>
    <w:rsid w:val="003F4CC5"/>
    <w:rsid w:val="00415527"/>
    <w:rsid w:val="00432937"/>
    <w:rsid w:val="004403EC"/>
    <w:rsid w:val="00444650"/>
    <w:rsid w:val="00447B57"/>
    <w:rsid w:val="00460370"/>
    <w:rsid w:val="00465BF0"/>
    <w:rsid w:val="004A7CAD"/>
    <w:rsid w:val="004B4753"/>
    <w:rsid w:val="004B7346"/>
    <w:rsid w:val="00522637"/>
    <w:rsid w:val="00527867"/>
    <w:rsid w:val="00527AA5"/>
    <w:rsid w:val="005314D7"/>
    <w:rsid w:val="005515BD"/>
    <w:rsid w:val="005630FC"/>
    <w:rsid w:val="00564AF1"/>
    <w:rsid w:val="0059143B"/>
    <w:rsid w:val="005A570D"/>
    <w:rsid w:val="005B5886"/>
    <w:rsid w:val="005C1523"/>
    <w:rsid w:val="005C3DD3"/>
    <w:rsid w:val="005E1ABB"/>
    <w:rsid w:val="0061171A"/>
    <w:rsid w:val="00614FFD"/>
    <w:rsid w:val="006274BB"/>
    <w:rsid w:val="00634EFA"/>
    <w:rsid w:val="00635D43"/>
    <w:rsid w:val="00661D55"/>
    <w:rsid w:val="0066249C"/>
    <w:rsid w:val="0067375D"/>
    <w:rsid w:val="006C1B31"/>
    <w:rsid w:val="006F1E3F"/>
    <w:rsid w:val="0070324C"/>
    <w:rsid w:val="007130E1"/>
    <w:rsid w:val="00717E59"/>
    <w:rsid w:val="0073796B"/>
    <w:rsid w:val="00750D01"/>
    <w:rsid w:val="00754378"/>
    <w:rsid w:val="00757960"/>
    <w:rsid w:val="007643A0"/>
    <w:rsid w:val="007669A3"/>
    <w:rsid w:val="00781345"/>
    <w:rsid w:val="007A6460"/>
    <w:rsid w:val="007B0ADD"/>
    <w:rsid w:val="007E198F"/>
    <w:rsid w:val="007E2108"/>
    <w:rsid w:val="007F6EF7"/>
    <w:rsid w:val="008244C0"/>
    <w:rsid w:val="008336E7"/>
    <w:rsid w:val="00836E94"/>
    <w:rsid w:val="00847AD3"/>
    <w:rsid w:val="008624E8"/>
    <w:rsid w:val="008B7AF2"/>
    <w:rsid w:val="008D49BD"/>
    <w:rsid w:val="00905C96"/>
    <w:rsid w:val="009174DA"/>
    <w:rsid w:val="00933061"/>
    <w:rsid w:val="00945B27"/>
    <w:rsid w:val="009540E4"/>
    <w:rsid w:val="00965F9D"/>
    <w:rsid w:val="00974186"/>
    <w:rsid w:val="00983241"/>
    <w:rsid w:val="009900DE"/>
    <w:rsid w:val="009A41AA"/>
    <w:rsid w:val="009C2C98"/>
    <w:rsid w:val="009C2D77"/>
    <w:rsid w:val="009C562E"/>
    <w:rsid w:val="009D10D1"/>
    <w:rsid w:val="00A06971"/>
    <w:rsid w:val="00A30052"/>
    <w:rsid w:val="00A3377B"/>
    <w:rsid w:val="00A34FC4"/>
    <w:rsid w:val="00A445DF"/>
    <w:rsid w:val="00A5415F"/>
    <w:rsid w:val="00A60A37"/>
    <w:rsid w:val="00A67305"/>
    <w:rsid w:val="00A6745A"/>
    <w:rsid w:val="00A7412B"/>
    <w:rsid w:val="00AB1DC2"/>
    <w:rsid w:val="00AD1AFD"/>
    <w:rsid w:val="00AE6CD6"/>
    <w:rsid w:val="00B022E5"/>
    <w:rsid w:val="00B1401B"/>
    <w:rsid w:val="00B47F61"/>
    <w:rsid w:val="00B60F58"/>
    <w:rsid w:val="00B70F5B"/>
    <w:rsid w:val="00B731CE"/>
    <w:rsid w:val="00B753A8"/>
    <w:rsid w:val="00B813C0"/>
    <w:rsid w:val="00B84862"/>
    <w:rsid w:val="00BA743D"/>
    <w:rsid w:val="00BB1111"/>
    <w:rsid w:val="00BB73C0"/>
    <w:rsid w:val="00BE5C43"/>
    <w:rsid w:val="00C3152B"/>
    <w:rsid w:val="00C354D9"/>
    <w:rsid w:val="00C365A8"/>
    <w:rsid w:val="00C458C2"/>
    <w:rsid w:val="00C57ADD"/>
    <w:rsid w:val="00C666AC"/>
    <w:rsid w:val="00C84036"/>
    <w:rsid w:val="00C97F7B"/>
    <w:rsid w:val="00CA5624"/>
    <w:rsid w:val="00CC3123"/>
    <w:rsid w:val="00CC37B3"/>
    <w:rsid w:val="00D10EB4"/>
    <w:rsid w:val="00D14EEC"/>
    <w:rsid w:val="00D159B3"/>
    <w:rsid w:val="00D5212D"/>
    <w:rsid w:val="00D60A92"/>
    <w:rsid w:val="00D650E2"/>
    <w:rsid w:val="00D7373E"/>
    <w:rsid w:val="00D9208E"/>
    <w:rsid w:val="00D95BC6"/>
    <w:rsid w:val="00D966FF"/>
    <w:rsid w:val="00DB37C6"/>
    <w:rsid w:val="00DC76F9"/>
    <w:rsid w:val="00DE199D"/>
    <w:rsid w:val="00DE1B54"/>
    <w:rsid w:val="00DE27BA"/>
    <w:rsid w:val="00E02AB3"/>
    <w:rsid w:val="00E03815"/>
    <w:rsid w:val="00E05EEE"/>
    <w:rsid w:val="00E14AAE"/>
    <w:rsid w:val="00E2036F"/>
    <w:rsid w:val="00E3507E"/>
    <w:rsid w:val="00E562A5"/>
    <w:rsid w:val="00E7132A"/>
    <w:rsid w:val="00E83E60"/>
    <w:rsid w:val="00E86C78"/>
    <w:rsid w:val="00E948BD"/>
    <w:rsid w:val="00EC012E"/>
    <w:rsid w:val="00ED07E6"/>
    <w:rsid w:val="00F01966"/>
    <w:rsid w:val="00F20884"/>
    <w:rsid w:val="00F21123"/>
    <w:rsid w:val="00F21419"/>
    <w:rsid w:val="00F23144"/>
    <w:rsid w:val="00F462C7"/>
    <w:rsid w:val="00F93A56"/>
    <w:rsid w:val="00FA792D"/>
    <w:rsid w:val="00FC2D38"/>
    <w:rsid w:val="00FD6F18"/>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D5117429E6D7418C58FC90322A8638" ma:contentTypeVersion="3" ma:contentTypeDescription="Create a new document." ma:contentTypeScope="" ma:versionID="af7836002ab36a4cf9d574b9cf62edcf">
  <xsd:schema xmlns:xsd="http://www.w3.org/2001/XMLSchema" xmlns:xs="http://www.w3.org/2001/XMLSchema" xmlns:p="http://schemas.microsoft.com/office/2006/metadata/properties" xmlns:ns3="eb582466-1b59-4d29-8755-2962c9164f84" targetNamespace="http://schemas.microsoft.com/office/2006/metadata/properties" ma:root="true" ma:fieldsID="8f3c0790d4e523edad3a139ab2c0a08f" ns3:_="">
    <xsd:import namespace="eb582466-1b59-4d29-8755-2962c9164f8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82466-1b59-4d29-8755-2962c916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C695D88-41D0-4D94-8F20-06CCAE564D2D}">
  <ds:schemaRefs>
    <ds:schemaRef ds:uri="eb582466-1b59-4d29-8755-2962c9164f84"/>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54DDD5E-BF2A-42E4-BF83-F29C09BA9F1D}">
  <ds:schemaRefs>
    <ds:schemaRef ds:uri="http://schemas.microsoft.com/sharepoint/v3/contenttype/forms"/>
  </ds:schemaRefs>
</ds:datastoreItem>
</file>

<file path=customXml/itemProps3.xml><?xml version="1.0" encoding="utf-8"?>
<ds:datastoreItem xmlns:ds="http://schemas.openxmlformats.org/officeDocument/2006/customXml" ds:itemID="{6B5584C5-23D0-42C4-903E-C12EFBD1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82466-1b59-4d29-8755-2962c916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5881</Words>
  <Characters>33528</Characters>
  <Application>Microsoft Office Word</Application>
  <DocSecurity>0</DocSecurity>
  <Lines>279</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2025-05-14T07:47:00Z</dcterms:created>
  <dcterms:modified xsi:type="dcterms:W3CDTF">2025-05-15T12:18:00Z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0x010100E5D5117429E6D7418C58FC90322A8638</vt:lpwstr>
  </property>
</Properties>
</file>