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13D4572C" w:rsidR="0073796B" w:rsidRPr="0039662C" w:rsidRDefault="00D10EB4" w:rsidP="0039662C">
      <w:pPr>
        <w:pStyle w:val="Naslov1"/>
      </w:pPr>
      <w:r>
        <w:t>1</w:t>
      </w:r>
      <w:r w:rsidR="00432937">
        <w:t>5</w:t>
      </w:r>
      <w:r w:rsidR="008D49BD">
        <w:t>1</w:t>
      </w:r>
      <w:r w:rsidR="0073796B" w:rsidRPr="0039662C">
        <w:t>. redna seja Vlade Republike Slovenije</w:t>
      </w:r>
    </w:p>
    <w:p w14:paraId="27F30B92" w14:textId="7B535128" w:rsidR="0073796B" w:rsidRDefault="008D49BD" w:rsidP="008B7AF2">
      <w:pPr>
        <w:pStyle w:val="DatumSZJ"/>
      </w:pPr>
      <w:r>
        <w:t>24</w:t>
      </w:r>
      <w:r w:rsidR="00D10EB4">
        <w:t>.</w:t>
      </w:r>
      <w:r w:rsidR="0073796B" w:rsidRPr="008B7AF2">
        <w:t xml:space="preserve"> </w:t>
      </w:r>
      <w:r w:rsidR="00C365A8">
        <w:t xml:space="preserve">april </w:t>
      </w:r>
      <w:r w:rsidR="0073796B" w:rsidRPr="008B7AF2">
        <w:t>202</w:t>
      </w:r>
      <w:r w:rsidR="00F21123">
        <w:t>5</w:t>
      </w:r>
    </w:p>
    <w:p w14:paraId="4545CAD6" w14:textId="4049A627" w:rsidR="00A96E0E" w:rsidRDefault="009F335F" w:rsidP="009F335F">
      <w:pPr>
        <w:pStyle w:val="Naslov2"/>
      </w:pPr>
      <w:r>
        <w:t>U</w:t>
      </w:r>
      <w:r w:rsidR="00A96E0E">
        <w:t>redb</w:t>
      </w:r>
      <w:r>
        <w:t>a</w:t>
      </w:r>
      <w:r w:rsidR="00A96E0E">
        <w:t xml:space="preserve"> o določitvi modelov vrednotenja nepremičnin</w:t>
      </w:r>
    </w:p>
    <w:p w14:paraId="443CE194" w14:textId="77777777" w:rsidR="009F335F" w:rsidRDefault="009F335F" w:rsidP="009F335F">
      <w:r>
        <w:t xml:space="preserve">Vlada je na današnji seji sprejela Uredbo o določitvi modelov vrednotenja nepremičnin. Pravna podlaga za sprejem Uredbe o določitvi modelov vrednotenja nepremičnin je 20. člen Zakona o množičnem vrednotenju nepremičnin. </w:t>
      </w:r>
    </w:p>
    <w:p w14:paraId="6EA6CFC4" w14:textId="77777777" w:rsidR="009F335F" w:rsidRDefault="009F335F" w:rsidP="009F335F"/>
    <w:p w14:paraId="107D8CB7" w14:textId="3BC2B12E" w:rsidR="009F335F" w:rsidRDefault="009F335F" w:rsidP="009F335F">
      <w:r>
        <w:t>Zakon o množičnem vrednotenju nepremičnin našteva 17 modelov vrednotenja, s katerimi se posameznim nepremičninam izračuna posplošena vrednost ob upoštevanju stanja na trgu na datum določitve modela in glede na podatke konkretne nepremičnine, ki so v času izračuna za to nepremičnino vpisani v uradnih evidencah. Modeli vrednotenja so razdeljeni v tri skupine, in sicer skupino modelov za vrednotenje stavb in delov stavb, skupino za zemljišča in skupino za vrednotenje posebnih enot vrednotenja, uporabljati pa se lahko začnejo, ko so sprejeti kot predpis vlade.</w:t>
      </w:r>
    </w:p>
    <w:p w14:paraId="3B8BFB5B" w14:textId="77777777" w:rsidR="009F335F" w:rsidRDefault="009F335F" w:rsidP="009F335F"/>
    <w:p w14:paraId="0436B8B7" w14:textId="75010A06" w:rsidR="009F335F" w:rsidRDefault="009F335F" w:rsidP="009F335F">
      <w:r>
        <w:t xml:space="preserve">Geodetska uprava  Republike Slovenije je na podlagi 10. člena zakona, ki določa obveznost in način preverjanja modelov vrednotenja, kot organ vrednotenja, dolžna preveriti modele vrednotenja vsaki dve leti. Pri preverjanju modelov je geodetska uprava ugotovila, da modeli, določeni z veljavno Uredbo o določitvi modelov vrednotenja nepremičnin, ki je bila sprejeta v marcu 2020 in se je začela uporabljati 1. aprila 2020, niso več skladni z merili, ki jih določa zakon, zato je bilo potrebno vse modele vrednotenja prilagoditi novemu stanju na trgu nepremičnin ter jih določiti na novo. </w:t>
      </w:r>
    </w:p>
    <w:p w14:paraId="4258F21D" w14:textId="77777777" w:rsidR="009F335F" w:rsidRDefault="009F335F" w:rsidP="009F335F"/>
    <w:p w14:paraId="694D0DC3" w14:textId="20054C76" w:rsidR="009F335F" w:rsidRDefault="009F335F" w:rsidP="009F335F">
      <w:r>
        <w:t>Uredba o določitvi modelov vrednotenja nepremičnin je akt strokovne narave. V fazi priprave je bila usklajevana s strokovno javnostjo, z občinami in v postopku javne razgrnitve tudi z lastniki nepremičnin ter drugo strokovno in laično javnostjo. Rezultat tega usklajevanja je končni predlog modelov, ki ga je vlada sprejela z Uredbo o določitvi modelov vrednotenja nepremičnin.</w:t>
      </w:r>
    </w:p>
    <w:p w14:paraId="4C15D9C4" w14:textId="77777777" w:rsidR="009F335F" w:rsidRDefault="009F335F" w:rsidP="009F335F"/>
    <w:p w14:paraId="7D500B91" w14:textId="5A8BC82B" w:rsidR="009F335F" w:rsidRDefault="009F335F" w:rsidP="009F335F">
      <w:r>
        <w:t xml:space="preserve">Po sprejemu uredbe na vladi sledi objava v Uradnem listu RS in po 8 dneh od objave se novi modeli začnejo uporabljati. Z dnem uveljavitve Uredbe bo Geodetska uprava RS vsem nepremičninam v evidenci vrednotenja pripisala posodobljene posplošene vrednosti nepremičnin. O teh vrednostih bodo lastniki nepremičnin obveščeni z zbirnim pisnim potrdilom, ki ga bodo prejeli po pošti še v tem letu. </w:t>
      </w:r>
    </w:p>
    <w:p w14:paraId="02D8B1F1" w14:textId="77777777" w:rsidR="009F335F" w:rsidRDefault="009F335F" w:rsidP="009F335F"/>
    <w:p w14:paraId="4E2F0C31" w14:textId="7DCE970F" w:rsidR="009F335F" w:rsidRDefault="009F335F" w:rsidP="009F335F">
      <w:r>
        <w:t xml:space="preserve">Posplošene vrednosti, določene po sprejetih modelih vrednotenja, se bodo uporabljale skladno s 1. členom Zakona za davčne in druge javne namene (na primer za uveljavljanje pravic iz javnih sredstev), kadar bo tako določal zakon, ki bo določil tudi pogoje in način uporabe le teh. </w:t>
      </w:r>
    </w:p>
    <w:p w14:paraId="2785B82E" w14:textId="77777777" w:rsidR="009F335F" w:rsidRDefault="009F335F" w:rsidP="009F335F"/>
    <w:p w14:paraId="7DF3A2FE" w14:textId="798612A2" w:rsidR="009F335F" w:rsidRDefault="009F335F" w:rsidP="009F335F">
      <w:r>
        <w:t>Hkrati pa je uporaba množičnega vrednotenja nepremičnin širša, saj bodo podatki o tržni vrednosti nepremičnin javno dostopni in bodo imeli uporabno vrednost tudi za poslovne in zasebne namene, saj lahko ta podatek predstavlja pomemben podatek investitorjem, kupcem in prodajalcem nepremičnin, bankam, statističnim uporabam in podobno.</w:t>
      </w:r>
    </w:p>
    <w:p w14:paraId="6EE3A126" w14:textId="26C1C04C" w:rsidR="009F335F" w:rsidRDefault="009F335F" w:rsidP="009F335F">
      <w:pPr>
        <w:pStyle w:val="Vir"/>
      </w:pPr>
      <w:r w:rsidRPr="009F335F">
        <w:t>Vir: Ministrstvo za naravne vire in prostor</w:t>
      </w:r>
    </w:p>
    <w:p w14:paraId="39FE145A" w14:textId="49D8B9AD" w:rsidR="00CA3A76" w:rsidRDefault="00CA3A76" w:rsidP="00CA3A76">
      <w:pPr>
        <w:pStyle w:val="Naslov2"/>
      </w:pPr>
      <w:r>
        <w:t>Sklep o določitvi deležev posameznih vrst plastičnih proizvodov za enkratno uporabo, danih na trg v Sloveniji v letu 2024</w:t>
      </w:r>
    </w:p>
    <w:p w14:paraId="66D1FEC4" w14:textId="77777777" w:rsidR="00CA3A76" w:rsidRDefault="00CA3A76" w:rsidP="00CA3A76">
      <w:r>
        <w:lastRenderedPageBreak/>
        <w:t>Vlada je sprejela Sklep o določitvi deležev posameznih vrst plastičnih proizvodov za enkratno uporabo danih na trg v Sloveniji v letu 2024, ki se objavi v Uradnem listu Republike Slovenije.</w:t>
      </w:r>
    </w:p>
    <w:p w14:paraId="212790BA" w14:textId="77777777" w:rsidR="00CA3A76" w:rsidRDefault="00CA3A76" w:rsidP="00CA3A76"/>
    <w:p w14:paraId="05E7FC27" w14:textId="77777777" w:rsidR="00CA3A76" w:rsidRDefault="00CA3A76" w:rsidP="00CA3A76">
      <w:r>
        <w:t>Uredba o zmanjšanju vpliva nekaterih plastičnih proizvodov na okolje za plastične proizvode, kot so vsebniki pijač do treh litrov, lahke plastične nosilne vrečke, zavitki in ovoji, lončki za pijače, posodice za živila, vlažilni robčki, baloni, tobačni izdelki s filtri in filtri, ki se tržijo za uporabo s tobačnimi izdelki, določa sistem proizvajalčeve razširjene odgovornosti (sistem PRO) s skupinskim izpolnjevanjem obveznosti preko t.i. nosilcev skupnega načrta. Proizvajalci, ki dajejo na trg v Sloveniji omenjene proizvode, morajo v okviru sistema PRO javnim sistemom za čiščenje javnih površin plačevati stroške čiščenja okolja zaradi odvrženih smeti, ki izvirajo iz teh proizvodov ter naknadnega prevoza in obdelave teh smeti.</w:t>
      </w:r>
    </w:p>
    <w:p w14:paraId="2FC109B5" w14:textId="77777777" w:rsidR="00CA3A76" w:rsidRDefault="00CA3A76" w:rsidP="00CA3A76"/>
    <w:p w14:paraId="1B9E3EAC" w14:textId="77777777" w:rsidR="00CA3A76" w:rsidRDefault="00CA3A76" w:rsidP="00CA3A76">
      <w:r>
        <w:t>Za pregledno in sorazmerno porazdelitev stroškov čiščenja smetenja med nosilci skupnih načrtov je v Uredbi predpisana metodologija izračuna teh stroškov, ki temelji na deležu odpadnih plastičnih proizvodov za enkratno uporabo v smeteh, ki so že izračunani in objavljeni v Uradnem listu (številka 100/23) ter deležu plastičnih proizvodov za enkratno uporabo, danih na trg v Sloveniji, ki jih vlada objavlja v tem sklepu.</w:t>
      </w:r>
    </w:p>
    <w:p w14:paraId="129E54F5" w14:textId="20D6FEC3" w:rsidR="00A96E0E" w:rsidRDefault="00CA3A76" w:rsidP="00CA3A76">
      <w:pPr>
        <w:pStyle w:val="Vir"/>
      </w:pPr>
      <w:r>
        <w:t>Vir: Ministrstvo za okolje, podnebje in energijo</w:t>
      </w:r>
    </w:p>
    <w:p w14:paraId="05257A43" w14:textId="3419F75B" w:rsidR="00F90EB5" w:rsidRDefault="00F90EB5" w:rsidP="00F90EB5">
      <w:pPr>
        <w:pStyle w:val="Naslov2"/>
      </w:pPr>
      <w:r>
        <w:t>Vlada sprejela spremembe ustanovitvenega akta Narodne in univerzitetne knjižnice</w:t>
      </w:r>
    </w:p>
    <w:p w14:paraId="09D0076D" w14:textId="01185C4B" w:rsidR="00F90EB5" w:rsidRDefault="00F90EB5" w:rsidP="00F90EB5">
      <w:r>
        <w:t>Vlada je na današnji seji sprejela Sklep o spremembah in dopolnitvah Sklepa o ustanovitvi javnega zavoda Narodna in univerzitetna knjižnica (NUK). Namen sprememb je predvsem boljše in učinkovitejše upravljanje zavoda ter uskladitev z veljavno zakonodajo.</w:t>
      </w:r>
    </w:p>
    <w:p w14:paraId="7BAC80B5" w14:textId="77777777" w:rsidR="00F90EB5" w:rsidRDefault="00F90EB5" w:rsidP="00F90EB5"/>
    <w:p w14:paraId="0CB9A516" w14:textId="1E995708" w:rsidR="00F90EB5" w:rsidRDefault="00F90EB5" w:rsidP="00F90EB5">
      <w:r>
        <w:t>Spremembe sledijo priporočilom Računskega sodišča in zahtevam pravilnika o izvrševanju proračuna, ki ministrstvom nalaga posodobitev ustanovitvenih aktov vseh javnih zavodov. Z aktom se med drugim natančneje ureja postopek izbire predstavnikov ustanovitelja v svet zavoda, določa pogoje in merila za njihovo imenovanje ter odgovornosti in način sodelovanja s pristojnim ministrstvom. Vse to z namenom večje preglednosti, strokovnosti in odgovornosti pri upravljanju javnih zavodov.</w:t>
      </w:r>
    </w:p>
    <w:p w14:paraId="5F290010" w14:textId="77777777" w:rsidR="00F90EB5" w:rsidRDefault="00F90EB5" w:rsidP="00F90EB5"/>
    <w:p w14:paraId="48FEF138" w14:textId="23D28AF1" w:rsidR="00F90EB5" w:rsidRDefault="00F90EB5" w:rsidP="00F90EB5">
      <w:r>
        <w:t>Poleg tega spremembe prinašajo še nujna usklajevanja z zakonodajo na področju knjižnične dejavnosti in izobraževanja. Opredelitev nalog, ki jih NUK opravlja kot javno službo, je usklajena z zakonodajo, ki ureja knjižnično dejavnost, dejavnosti knjižnice pa so usklajene s standardno klasifikacijo dejavnosti. Posodobljeni so tudi izobrazbeni pogoji za vodstvene funkcije v zavodu v skladu z navodili pristojnega ministrstva za izobraževanje.</w:t>
      </w:r>
    </w:p>
    <w:p w14:paraId="3D999FF8" w14:textId="77777777" w:rsidR="00F90EB5" w:rsidRDefault="00F90EB5" w:rsidP="00F90EB5"/>
    <w:p w14:paraId="7778BBF8" w14:textId="77777777" w:rsidR="00F90EB5" w:rsidRDefault="00F90EB5" w:rsidP="00F90EB5">
      <w:r>
        <w:t>Spremembe ustanovitvenega akta bodo začele veljati petnajsti dan po objavi v Uradnem listu RS.</w:t>
      </w:r>
    </w:p>
    <w:p w14:paraId="03952EA8" w14:textId="6DD015FF" w:rsidR="00A96E0E" w:rsidRDefault="00F90EB5" w:rsidP="00F90EB5">
      <w:pPr>
        <w:pStyle w:val="Vir"/>
      </w:pPr>
      <w:r>
        <w:t>Vir: Ministrstvo za kulturo</w:t>
      </w:r>
    </w:p>
    <w:p w14:paraId="30C9D38F" w14:textId="495366C9" w:rsidR="00391317" w:rsidRDefault="00391317" w:rsidP="00391317">
      <w:pPr>
        <w:pStyle w:val="Naslov2"/>
      </w:pPr>
      <w:r>
        <w:t>Vlada podaljšala koncesijo za igralni salon Casino Admiral</w:t>
      </w:r>
    </w:p>
    <w:p w14:paraId="45B4D79A" w14:textId="77777777" w:rsidR="00391317" w:rsidRDefault="00391317" w:rsidP="00391317">
      <w:r>
        <w:t>Gospodarski družbi Admiral Portorož d. o. o., se koncesija za prirejanje posebnih iger na srečo v igralnem salonu Casino Admiral, Portorož podaljša do 31. 7. 2030.</w:t>
      </w:r>
    </w:p>
    <w:p w14:paraId="45C01572" w14:textId="77777777" w:rsidR="00391317" w:rsidRDefault="00391317" w:rsidP="00391317"/>
    <w:p w14:paraId="7503A2D5" w14:textId="77777777" w:rsidR="00391317" w:rsidRDefault="00391317" w:rsidP="00391317">
      <w:r>
        <w:t>Na podlagi Zakona o igrah na srečo se koncesija za prirejanje posebnih iger na srečo v igralnem salonu dodeli za največ deset let in se po poteku te dobe lahko podaljša, vsakokrat za pet let. Za podaljšanje koncesije lahko koncesionar zaprosi šest mesecev pred potekom roka, do katerega je vlada dodelila koncesijo.</w:t>
      </w:r>
    </w:p>
    <w:p w14:paraId="278ABF37" w14:textId="77777777" w:rsidR="00391317" w:rsidRDefault="00391317" w:rsidP="00391317"/>
    <w:p w14:paraId="10D661F2" w14:textId="77777777" w:rsidR="00391317" w:rsidRDefault="00391317" w:rsidP="00391317">
      <w:r>
        <w:lastRenderedPageBreak/>
        <w:t>Vlada je ob upoštevanju kriterijev, kot so zagotavljanje usklajenega, optimalnega in trajnostnega razvoja dejavnosti, obseg prirejanja iger na srečo z vidika dopolnjevanja turistične ponudbe ter dosedanje ravnanje in finančna boniteta pravne osebe, po prostem preudarku odločila, da se koncesionarju koncesija za prirejanje posebnih iger na srečo v igralnem salonu »Casino Admiral Portorož – igralni salon«, Obala 33, 6320 Portorož, podaljša do 31. 7. 2030.</w:t>
      </w:r>
    </w:p>
    <w:p w14:paraId="5789C465" w14:textId="0B7846E7" w:rsidR="00A96E0E" w:rsidRDefault="00391317" w:rsidP="00391317">
      <w:pPr>
        <w:pStyle w:val="Vir"/>
      </w:pPr>
      <w:r>
        <w:t>Vir: Ministrstvo za finance</w:t>
      </w:r>
    </w:p>
    <w:p w14:paraId="0BC06548" w14:textId="6C9EF2CF" w:rsidR="00C97F4A" w:rsidRDefault="00C97F4A" w:rsidP="00C97F4A">
      <w:pPr>
        <w:pStyle w:val="Naslov2"/>
      </w:pPr>
      <w:r>
        <w:t>Soglasje Smučarski zvezi Slovenije za vložitev kandidature za organizacijo FIS svetovnega prvenstva v nordijskem smučanju v Planici v letu 2031 ali 2033</w:t>
      </w:r>
    </w:p>
    <w:p w14:paraId="0CD0A610" w14:textId="77777777" w:rsidR="00C97F4A" w:rsidRDefault="00C97F4A" w:rsidP="00C97F4A">
      <w:r>
        <w:t>Vlada je Smučarski zvezi Slovenije – Združenju smučarskih panog podala soglasje za vložitev kandidature Mednarodni smučarski in deskarski zvezi za organizacijo FIS svetovnega prvenstva v nordijskem smučanju v Planici v letu 2031 ali 2033, ki bi potekalo predvidoma v drugi polovici februarja in začetku marca. Z vlogo Smučarske zveze Slovenije se je na 25. dopisni seji dne 3. aprila 2025 seznanil tudi Strokovni svet Republike Slovenije za šport in podal pozitivno mnenje k vlogi.</w:t>
      </w:r>
    </w:p>
    <w:p w14:paraId="16C965E8" w14:textId="77777777" w:rsidR="00C97F4A" w:rsidRDefault="00C97F4A" w:rsidP="00C97F4A"/>
    <w:p w14:paraId="3B7F7BF8" w14:textId="1BAEAA56" w:rsidR="00C97F4A" w:rsidRDefault="00C97F4A" w:rsidP="00C97F4A">
      <w:r>
        <w:t xml:space="preserve">V skladu z Zakonom o športu morajo kandidati za organizacijo velikih mednarodnih športnih prireditev v Republiki Sloveniji pred vložitvijo kandidature za evropska prvenstva pri mednarodni športni zvezi pridobiti soglasje Vlade Republike Slovenije ter soglasje za morebitno financiranje iz državnih sredstev. </w:t>
      </w:r>
    </w:p>
    <w:p w14:paraId="0A4888A4" w14:textId="77777777" w:rsidR="00C97F4A" w:rsidRDefault="00C97F4A" w:rsidP="00C97F4A"/>
    <w:p w14:paraId="023E71CD" w14:textId="475745C1" w:rsidR="00C97F4A" w:rsidRDefault="00C97F4A" w:rsidP="00C97F4A">
      <w:r>
        <w:t>Pri odločanju o soglasju k vložitvi kandidature za organizacijo je Vlada Republike Slovenije upoštevala tudi načela iz V. točke Sklepa o postopku za kandidiranje, ter ugotovila, da bo organizacija prireditve pozitivno prispevala k razvoju in širjenju športa oziroma športne panoge v državi, ter vplivala na uveljavljanje slovenskega športa in slovenske države. Iz vloge smučarske zveze Slovenije namreč izhaja, da z organizacijo prireditve obstaja možnost, da se slovenski športniki uvrstijo v prvo tretjino razvrščenih.</w:t>
      </w:r>
    </w:p>
    <w:p w14:paraId="30A08803" w14:textId="77777777" w:rsidR="00C97F4A" w:rsidRDefault="00C97F4A" w:rsidP="00C97F4A"/>
    <w:p w14:paraId="198E99F6" w14:textId="77777777" w:rsidR="00C97F4A" w:rsidRDefault="00C97F4A" w:rsidP="00C97F4A">
      <w:r>
        <w:t>Na podlagi sklepa vlade bo Smučarska zveza Slovenije lahko zaprosila za organizacijo FIS svetovnega prvenstva v nordijskem smučanju v Planici v letu 2031 ali 2033.</w:t>
      </w:r>
    </w:p>
    <w:p w14:paraId="4CDCB1AD" w14:textId="5673E166" w:rsidR="00A96E0E" w:rsidRDefault="00C97F4A" w:rsidP="00C97F4A">
      <w:pPr>
        <w:pStyle w:val="Vir"/>
      </w:pPr>
      <w:r>
        <w:t>Vir: Ministrstvo za gospodarstvo, turizem in šport</w:t>
      </w:r>
    </w:p>
    <w:p w14:paraId="3253BEE1" w14:textId="6B672BB1" w:rsidR="00AC42EB" w:rsidRDefault="00AC42EB" w:rsidP="00AC42EB">
      <w:pPr>
        <w:pStyle w:val="Naslov2"/>
      </w:pPr>
      <w:r>
        <w:t>Vlada spremenila sklep v zvezi s sofinanciranjem investicij na primarni ravni zdravstvene dejavnosti na podlagi neposrednih pogodb</w:t>
      </w:r>
    </w:p>
    <w:p w14:paraId="79780A07" w14:textId="77777777" w:rsidR="00AC42EB" w:rsidRDefault="00AC42EB" w:rsidP="00AC42EB">
      <w:r>
        <w:t>Vlada Republike Slovenije je spremenila sklep zvezi s sofinanciranjem investicij na primarni ravni zdravstvene dejavnosti v Republiki Sloveniji (RS) na podlagi neposrednih pogodb na način, da bo omogočeno sofinanciranje izvajanja zdravstvene dejavnosti na primarni ravni ves čas izvajanja Zakona o zagotavljanju finančnih sredstev za investicije v slovensko zdravstvo v letih od 2021 do 2031 (zakon).</w:t>
      </w:r>
    </w:p>
    <w:p w14:paraId="0D259C51" w14:textId="77777777" w:rsidR="00AC42EB" w:rsidRDefault="00AC42EB" w:rsidP="00AC42EB"/>
    <w:p w14:paraId="76EA86F2" w14:textId="77777777" w:rsidR="00AC42EB" w:rsidRDefault="00AC42EB" w:rsidP="00AC42EB">
      <w:r>
        <w:t xml:space="preserve">Zakon med drugim določa, da se za izvajanje investicij v proračunu RS zagotovita skupno dobri dve milijardi evrov, od tega za zdravstveno dejavnost na primarni ravni 200 milijonov evrov. </w:t>
      </w:r>
    </w:p>
    <w:p w14:paraId="1E47E29C" w14:textId="77777777" w:rsidR="00AC42EB" w:rsidRDefault="00AC42EB" w:rsidP="00AC42EB"/>
    <w:p w14:paraId="10501BB7" w14:textId="46CD3557" w:rsidR="00A96E0E" w:rsidRDefault="00AC42EB" w:rsidP="00AC42EB">
      <w:r>
        <w:t>Predlagana sprememba spreminja sklep Vlade tako, da določa skrajni rok dokončanja investicij do 30. novembra 2031.</w:t>
      </w:r>
    </w:p>
    <w:p w14:paraId="75FB01CC" w14:textId="5C09BE5B" w:rsidR="00AC42EB" w:rsidRDefault="00AC42EB" w:rsidP="00AC42EB">
      <w:pPr>
        <w:pStyle w:val="Vir"/>
      </w:pPr>
      <w:r w:rsidRPr="00AC42EB">
        <w:t>Vir: Ministrstvo za zdravje</w:t>
      </w:r>
    </w:p>
    <w:p w14:paraId="0E19658F" w14:textId="7914FEC9" w:rsidR="00DA4C6E" w:rsidRDefault="00DA4C6E" w:rsidP="00DA4C6E">
      <w:pPr>
        <w:pStyle w:val="Naslov2"/>
      </w:pPr>
      <w:r>
        <w:t xml:space="preserve">V Načrtu razvojnih programov se spremenita vrednost in datum zaključka projekta UKC Ljubljana, revitalizacija </w:t>
      </w:r>
      <w:proofErr w:type="spellStart"/>
      <w:r>
        <w:t>Hospitala</w:t>
      </w:r>
      <w:proofErr w:type="spellEnd"/>
      <w:r>
        <w:t xml:space="preserve"> </w:t>
      </w:r>
    </w:p>
    <w:p w14:paraId="73849340" w14:textId="77777777" w:rsidR="00DA4C6E" w:rsidRDefault="00DA4C6E" w:rsidP="00DA4C6E">
      <w:r>
        <w:lastRenderedPageBreak/>
        <w:t xml:space="preserve">Vlada Republike Slovenije je v veljavnem Načrtu razvojnih programov 2025-2028 spremenila vrednost projekta na 86.740.235 evrov in datum zaključka projekta UKC Ljubljana, revitalizacija </w:t>
      </w:r>
      <w:proofErr w:type="spellStart"/>
      <w:r>
        <w:t>Hospitala</w:t>
      </w:r>
      <w:proofErr w:type="spellEnd"/>
      <w:r>
        <w:t xml:space="preserve"> na 28. februar 2029.</w:t>
      </w:r>
    </w:p>
    <w:p w14:paraId="4011EABF" w14:textId="77777777" w:rsidR="00DA4C6E" w:rsidRDefault="00DA4C6E" w:rsidP="00DA4C6E"/>
    <w:p w14:paraId="0A677BD4" w14:textId="77777777" w:rsidR="00DA4C6E" w:rsidRDefault="00DA4C6E" w:rsidP="00DA4C6E">
      <w:r>
        <w:t xml:space="preserve">Vrednost projekta in datum zaključka se spremenita zaradi spremembe obsega gradbeno-obrtniških in inštalacijskih del, elektro in strojnih del, spremembe tehnološkega načrta medicinskih tehnologij za del objekta </w:t>
      </w:r>
      <w:proofErr w:type="spellStart"/>
      <w:r>
        <w:t>Hospital</w:t>
      </w:r>
      <w:proofErr w:type="spellEnd"/>
      <w:r>
        <w:t xml:space="preserve"> in odločitve za dodatno dobavo pohištvene in medicinske opreme. Ocenjeno je, da teh dodatnih in nepredvidenih del ni možno izvesti v okviru trenutno zastavljenega časovnega načrta in prvotno predvidene vrednosti investicije oziroma že odobrenih sredstev. </w:t>
      </w:r>
    </w:p>
    <w:p w14:paraId="3F0630B5" w14:textId="77777777" w:rsidR="00DA4C6E" w:rsidRDefault="00DA4C6E" w:rsidP="00DA4C6E"/>
    <w:p w14:paraId="0874992D" w14:textId="6B876E89" w:rsidR="00A96E0E" w:rsidRDefault="00DA4C6E" w:rsidP="00DA4C6E">
      <w:r>
        <w:t>Trenutna vrednost projekta na podlagi investicijske dokumentacije znaša 57.368.764 evrov. Dodatna sredstva za izvedbo del in opreme so zagotovljena iz proračuna.</w:t>
      </w:r>
    </w:p>
    <w:p w14:paraId="4B6D87FA" w14:textId="46E9158D" w:rsidR="00DA4C6E" w:rsidRDefault="00DA4C6E" w:rsidP="00DA4C6E">
      <w:pPr>
        <w:pStyle w:val="Vir"/>
      </w:pPr>
      <w:r w:rsidRPr="00DA4C6E">
        <w:t>Vir: Ministrstvo za zdravje</w:t>
      </w:r>
    </w:p>
    <w:p w14:paraId="0D927F36" w14:textId="77BEEA02" w:rsidR="001929E2" w:rsidRDefault="001929E2" w:rsidP="001929E2">
      <w:pPr>
        <w:pStyle w:val="Naslov2"/>
      </w:pPr>
      <w:r>
        <w:t>Slovenija okrepljeno proti posledicam podnebnih sprememb: ambiciozen projekt za prilagajanje in odpornost</w:t>
      </w:r>
    </w:p>
    <w:p w14:paraId="24977293" w14:textId="74C704F0" w:rsidR="00812FAD" w:rsidRDefault="00812FAD" w:rsidP="00812FAD">
      <w:r>
        <w:t xml:space="preserve">Vlada je na današnji seji sprejela Uvrstitev projekta št. 2570-25-0010 »LIFE Prilagodimo se podnebnim spremembam« v veljavni Načrt razvojnih programov 2025-2028. Slovenija je tako stopila na pot celovitega in strateškega prilagajanja podnebnim spremembam z novim, obsežnim projektom, katerega namen je okrepiti odpornost države na vse pogostejše vročinske valove, suše, požare in poplave. </w:t>
      </w:r>
    </w:p>
    <w:p w14:paraId="6113440C" w14:textId="77777777" w:rsidR="00812FAD" w:rsidRDefault="00812FAD" w:rsidP="00812FAD"/>
    <w:p w14:paraId="3B26679C" w14:textId="77777777" w:rsidR="00812FAD" w:rsidRDefault="00812FAD" w:rsidP="00812FAD">
      <w:r>
        <w:t>Vlada je na današnji seji sprejela Uvrstitev projekta št. 2570-25-0010 »LIFE Prilagodimo se podnebnim spremembam« v veljavni Načrt razvojnih programov 2025-2028. Čeprav je država v preteklosti že veliko vložila v zmanjševanje izpustov toplogrednih plinov, pa je področje prilagajanja šele zdaj deležno ustrezne pozornosti – in to z jasnim ciljem: zaščititi ljudi, naravo in infrastrukturo. Projekt se navezuje na Strateški okvir za prilagajanje podnebnim spremembam, sprejet leta 2016, in pomeni ključni korak k sistemski in dolgoročni odpornosti Slovenije. Z vključitvijo 19 partnerjev iz znanstvene, upravne, nevladne in lokalne sfere bo projekt do leta 2032 spodbujal sodelovanje, znanje in krepitev delovanja na vseh ravneh upravljanja.</w:t>
      </w:r>
    </w:p>
    <w:p w14:paraId="4B61B10D" w14:textId="77777777" w:rsidR="00812FAD" w:rsidRDefault="00812FAD" w:rsidP="00812FAD"/>
    <w:p w14:paraId="7DD21058" w14:textId="77777777" w:rsidR="00812FAD" w:rsidRDefault="00812FAD" w:rsidP="00812FAD">
      <w:r>
        <w:t>Kaj projekt prinaša ljudem?</w:t>
      </w:r>
    </w:p>
    <w:p w14:paraId="50FB606B" w14:textId="77777777" w:rsidR="00812FAD" w:rsidRDefault="00812FAD" w:rsidP="00812FAD"/>
    <w:p w14:paraId="7EC9EAE3" w14:textId="437B0BDB" w:rsidR="00812FAD" w:rsidRDefault="00812FAD" w:rsidP="00812FAD">
      <w:pPr>
        <w:pStyle w:val="Odstavekseznama"/>
        <w:numPr>
          <w:ilvl w:val="0"/>
          <w:numId w:val="13"/>
        </w:numPr>
      </w:pPr>
      <w:r>
        <w:t>Boljšo pripravljenost regij in lokalnih skupnosti: preko izobraževanj in pilotnih projektov bodo občine bolje načrtovale in izvajale ukrepe za zaščito pred posledicami podnebnih sprememb.</w:t>
      </w:r>
    </w:p>
    <w:p w14:paraId="3C0987DA" w14:textId="47DB8946" w:rsidR="00812FAD" w:rsidRDefault="00812FAD" w:rsidP="00812FAD">
      <w:pPr>
        <w:pStyle w:val="Odstavekseznama"/>
        <w:numPr>
          <w:ilvl w:val="0"/>
          <w:numId w:val="13"/>
        </w:numPr>
      </w:pPr>
      <w:r>
        <w:t xml:space="preserve">Zanesljivejše informacije in orodja za odzivanje: na ARSO se vzpostavlja Center za podnebne analize in projekcije, ki bo nudil strokovne podatke vsem deležnikom, posodobljene bodo podnebne projekcije – napovedi kaj nas čaka v prihodnosti, nadgrajuje se podnebni portal </w:t>
      </w:r>
      <w:r w:rsidRPr="00812FAD">
        <w:rPr>
          <w:b/>
          <w:bCs/>
        </w:rPr>
        <w:t xml:space="preserve"> </w:t>
      </w:r>
      <w:hyperlink r:id="rId13" w:tgtFrame="_new" w:history="1">
        <w:r w:rsidRPr="00812FAD">
          <w:rPr>
            <w:rStyle w:val="Hiperpovezava"/>
            <w:b/>
            <w:bCs/>
          </w:rPr>
          <w:t>www.samo1planet.si</w:t>
        </w:r>
      </w:hyperlink>
      <w:r>
        <w:t>, kar pomeni boljše podatke za javnost in odločevalce.</w:t>
      </w:r>
    </w:p>
    <w:p w14:paraId="54AD9042" w14:textId="350FA0B1" w:rsidR="00812FAD" w:rsidRDefault="00812FAD" w:rsidP="00812FAD">
      <w:pPr>
        <w:pStyle w:val="Odstavekseznama"/>
        <w:numPr>
          <w:ilvl w:val="0"/>
          <w:numId w:val="13"/>
        </w:numPr>
      </w:pPr>
      <w:r>
        <w:t>Večja podpora javnim službam: preko usposabljanj, ogledov dobrih praks in strateškega sodelovanja bodo uradniki in inšpektorji bolje pripravljeni na izvajanje prilagoditvenih politik.</w:t>
      </w:r>
    </w:p>
    <w:p w14:paraId="21842831" w14:textId="14B296DB" w:rsidR="00812FAD" w:rsidRDefault="00812FAD" w:rsidP="00812FAD">
      <w:pPr>
        <w:pStyle w:val="Odstavekseznama"/>
        <w:numPr>
          <w:ilvl w:val="0"/>
          <w:numId w:val="13"/>
        </w:numPr>
      </w:pPr>
      <w:r>
        <w:t>Dostop do dobrih praks: katalogi, mobilne razstave in videi bodo ljudem približali uspešne domače in tuje rešitve.</w:t>
      </w:r>
    </w:p>
    <w:p w14:paraId="6606AF13" w14:textId="68140142" w:rsidR="00812FAD" w:rsidRDefault="00812FAD" w:rsidP="00812FAD">
      <w:pPr>
        <w:pStyle w:val="Odstavekseznama"/>
        <w:numPr>
          <w:ilvl w:val="0"/>
          <w:numId w:val="13"/>
        </w:numPr>
      </w:pPr>
      <w:r>
        <w:t xml:space="preserve">Podpora kmetijstvu, gozdarstvu, upravljanju voda, zdravju, naravi in gospodarstvu: z 14 pilotnimi projekti bodo </w:t>
      </w:r>
      <w:proofErr w:type="spellStart"/>
      <w:r>
        <w:t>naslavljeni</w:t>
      </w:r>
      <w:proofErr w:type="spellEnd"/>
      <w:r>
        <w:t xml:space="preserve"> konkretni izzivi v sektorjih, ki jih podnebne spremembe najbolj </w:t>
      </w:r>
      <w:proofErr w:type="spellStart"/>
      <w:r>
        <w:t>prizadenejo.Boljša</w:t>
      </w:r>
      <w:proofErr w:type="spellEnd"/>
      <w:r>
        <w:t xml:space="preserve"> informiranost mladih: razvoj učnih vsebin in izobraževanj bo okrepil vlogo šol in univerz pri ozaveščanju in izgradnji odpornosti prihodnjih generacij.</w:t>
      </w:r>
    </w:p>
    <w:p w14:paraId="29774C7D" w14:textId="739643F9" w:rsidR="00812FAD" w:rsidRDefault="00812FAD" w:rsidP="00812FAD">
      <w:pPr>
        <w:pStyle w:val="Odstavekseznama"/>
        <w:numPr>
          <w:ilvl w:val="0"/>
          <w:numId w:val="13"/>
        </w:numPr>
      </w:pPr>
      <w:r>
        <w:t>Poslovne priložnosti: organizirana bodo tri tekmovanja, na katerih bodo udeleženci finančno nagrajeni za svoje ideje na področju prilagajanja podnebnim spremembam.</w:t>
      </w:r>
    </w:p>
    <w:p w14:paraId="60BE100E" w14:textId="22D48D89" w:rsidR="00812FAD" w:rsidRDefault="00812FAD" w:rsidP="00812FAD">
      <w:pPr>
        <w:pStyle w:val="Odstavekseznama"/>
        <w:numPr>
          <w:ilvl w:val="0"/>
          <w:numId w:val="13"/>
        </w:numPr>
      </w:pPr>
      <w:r>
        <w:lastRenderedPageBreak/>
        <w:t xml:space="preserve">Boljši dostop do virov financiranja: preko seznama možnih virov financiranja bodo lokalne skupnosti, podjetja in ostali deležniki lažje našli priložnost za financiranje ukrepov prilagajanja podnebnim spremembam. </w:t>
      </w:r>
    </w:p>
    <w:p w14:paraId="767ACF36" w14:textId="77777777" w:rsidR="00812FAD" w:rsidRDefault="00812FAD" w:rsidP="00812FAD"/>
    <w:p w14:paraId="606C3A8F" w14:textId="77777777" w:rsidR="00812FAD" w:rsidRDefault="00812FAD" w:rsidP="00812FAD">
      <w:r>
        <w:t>Finančna podpora in partnerstvo</w:t>
      </w:r>
    </w:p>
    <w:p w14:paraId="186CDFF7" w14:textId="77777777" w:rsidR="00812FAD" w:rsidRDefault="00812FAD" w:rsidP="00812FAD"/>
    <w:p w14:paraId="330F682D" w14:textId="77777777" w:rsidR="00812FAD" w:rsidRDefault="00812FAD" w:rsidP="00812FAD">
      <w:r>
        <w:t>Projekt je bil izbran na razpisu LIFE-2023-STRAT in je vreden več kot 26,5 milijona evrov, od tega bo Evropska unija prispevala dobrih 14 milijonov, dodatnih skoraj 6 milijonov bo prišlo iz Sklada za podnebne spremembe. Projekt vodi Ministrstvo za okolje, podnebje in energijo, v njem pa sodelujejo najpomembnejše institucije s področij naravnega okolja, upravljanja voda, gozdarstva, kmetijstva, znanosti, izobraževanja in civilne družbe.</w:t>
      </w:r>
    </w:p>
    <w:p w14:paraId="3616F4B3" w14:textId="7BF6A5F0" w:rsidR="001929E2" w:rsidRDefault="001929E2" w:rsidP="001929E2">
      <w:pPr>
        <w:pStyle w:val="Vir"/>
      </w:pPr>
      <w:r w:rsidRPr="001929E2">
        <w:t>Vir: Ministrstvo za okolje, podnebje in energijo</w:t>
      </w:r>
    </w:p>
    <w:p w14:paraId="28A57293" w14:textId="7FBC523A" w:rsidR="00E62CE0" w:rsidRDefault="00E62CE0" w:rsidP="00E62CE0">
      <w:pPr>
        <w:pStyle w:val="Naslov2"/>
      </w:pPr>
      <w:r>
        <w:t>Vlada sprejela poročilo o delu državne geodetske službe za leto 2024</w:t>
      </w:r>
    </w:p>
    <w:p w14:paraId="7B711C50" w14:textId="295A9890" w:rsidR="00E62CE0" w:rsidRDefault="00E62CE0" w:rsidP="00E62CE0">
      <w:r>
        <w:t xml:space="preserve">Vlada je na podlagi Zakona o geodetski dejavnosti sprejela Poročilo o izvedbi Programa dela državne geodetske službe za preteklo koledarsko leto. Poročilo opisuje vsebinsko in finančno izvedbo nalog, ki jih vlada za leto 2024 določila s </w:t>
      </w:r>
      <w:r w:rsidR="002D588E">
        <w:t>p</w:t>
      </w:r>
      <w:r>
        <w:t xml:space="preserve">rogramom dela državne geodetske službe. </w:t>
      </w:r>
    </w:p>
    <w:p w14:paraId="3D581DCD" w14:textId="77777777" w:rsidR="00E62CE0" w:rsidRDefault="00E62CE0" w:rsidP="00E62CE0"/>
    <w:p w14:paraId="787C1B4F" w14:textId="145CE079" w:rsidR="00E62CE0" w:rsidRDefault="00E62CE0" w:rsidP="00E62CE0">
      <w:r>
        <w:t>Zakon o geodetski dejavnosti določa, da vlada sprejme letni program dela državne geodetske službe, v katerem določi podrobnejšo opredelitev in predvideni obseg nalog službe ter višino sredstev za izvajanje teh nalog. Zakon tudi določa, da vlada sprejme poročilo o izvedbi letnega programa državne geodetske službe za preteklo koledarsko leto.</w:t>
      </w:r>
    </w:p>
    <w:p w14:paraId="4C309DBC" w14:textId="3E1B9B76" w:rsidR="00E62CE0" w:rsidRDefault="00E62CE0" w:rsidP="00E62CE0">
      <w:pPr>
        <w:pStyle w:val="Vir"/>
      </w:pPr>
      <w:r w:rsidRPr="00E62CE0">
        <w:t>Vir: Ministrstvo za naravne vire in prostor</w:t>
      </w:r>
    </w:p>
    <w:p w14:paraId="047668DA" w14:textId="4D091AE5" w:rsidR="00F14E74" w:rsidRDefault="00F14E74" w:rsidP="00F14E74">
      <w:pPr>
        <w:pStyle w:val="Naslov2"/>
      </w:pPr>
      <w:r>
        <w:t>Vlada je obravnavala poročilo delovne skupine za več lokalne hrane v javnih zavodih</w:t>
      </w:r>
    </w:p>
    <w:p w14:paraId="38AED92B" w14:textId="2F1FFED7" w:rsidR="00F14E74" w:rsidRDefault="00F14E74" w:rsidP="00F14E74">
      <w:r>
        <w:t xml:space="preserve">Vlada je obravnavala poročilo Delovne skupine za več lokalne hrane v javnih zavodih (delovna skupina). Ob ustanovitvi 24. aprila 2024 je bil njen cilj, da doseže več lokalne hrane v javnih zavodih. Njena naloga je bila, da pripravi identifikacijo zaznanih vrzeli na področju javnega naročanja živil v javnih zavodih in pri ponudnikih živil ter pripravi predloge rešitev za zaznane vrzeli, nosilce posameznih rešitev, sodelujoče in morebitne finančne posledice. Nosilec delovne skupine je bilo Ministrstvo za kmetijstvo, gozdarstvo in prehrano (MKGP). </w:t>
      </w:r>
    </w:p>
    <w:p w14:paraId="20E36490" w14:textId="77777777" w:rsidR="00F14E74" w:rsidRDefault="00F14E74" w:rsidP="00F14E74"/>
    <w:p w14:paraId="26CE17FF" w14:textId="1E9DA583" w:rsidR="00F14E74" w:rsidRDefault="00F14E74" w:rsidP="00F14E74">
      <w:r>
        <w:t xml:space="preserve">Delovna skupina je po sestankih, predstavitvah in ogledih dobrih praks prišla do zaključka, da se javni zavodi pri izvajanju zakonodajnih zahtev glede vključevanja ekoloških živil in živil izbrane kakovosti spoprijemajo z različnimi izzivi. Med ključnimi so kadrovske omejitve, višine cene obroka, pomanjkljivo znanje in izkušnje za vključevanje trajnostno pridelanih lokalnih sezonskih živil, opremljenost kuhinj, skladiščne kapacitete za živila in dostopnost do lokalnih ponudnikov. Na drugi strani prihaja do neorganiziranosti in nepovezanosti ponudnikov lokalne hrane, težav pri zahtevah po dnevnih dobavah in manjših količinah in sklepanja okvirnih sporazumov. </w:t>
      </w:r>
    </w:p>
    <w:p w14:paraId="60A276B8" w14:textId="77777777" w:rsidR="00F14E74" w:rsidRDefault="00F14E74" w:rsidP="00F14E74"/>
    <w:p w14:paraId="4B7B4F27" w14:textId="4AFA1940" w:rsidR="00F14E74" w:rsidRDefault="00F14E74" w:rsidP="00F14E74">
      <w:r>
        <w:t>Delovna skupina je identificirala več področij in konkretnih aktivnosti, ki jih je treba podpreti v</w:t>
      </w:r>
      <w:r w:rsidR="00060724">
        <w:t xml:space="preserve"> </w:t>
      </w:r>
      <w:r>
        <w:t>naslednjih letih. Med njimi je tudi možnost vzpostavitve mobilne svetovalne oz. izobraževalne ekipe za javne zavode za izboljšanje in usklajevanje (sezonskih) jedilnikov s poudarkom na ekoloških živilih in živilih iz drugih shem kakovosti, pedagoške pristope, izobraževanje in svetovanje kuharjem ter osebju in pomoč pri pripravi javnih naročil.</w:t>
      </w:r>
    </w:p>
    <w:p w14:paraId="5767C0C2" w14:textId="77777777" w:rsidR="00F14E74" w:rsidRDefault="00F14E74" w:rsidP="00F14E74"/>
    <w:p w14:paraId="549869E0" w14:textId="53B16475" w:rsidR="00F14E74" w:rsidRDefault="00F14E74" w:rsidP="00F14E74">
      <w:r>
        <w:t xml:space="preserve">Ključno sporočilo je vzpostavitev novega projekta za praktično usposabljanje in s tem dodatno motivacijo in podporo osebju v javnih zavodih za vpeljevanje bolj zdravih obrokov iz trajnostno </w:t>
      </w:r>
      <w:r>
        <w:lastRenderedPageBreak/>
        <w:t xml:space="preserve">pridelane lokalne hrane ter dodatnih aktivnosti za razvoj lokalnega trga ekoloških živil in povezovanja pridelovalcev. Izkušnje iz drugih držav članic kažejo, da je to najcenejši in učinkovit ukrep za večanje motiviranosti in zmogljivosti za pripravo boljših obrokov, ki pripelje do konkretnih izboljšav v smeri več lokalne hrane, bolj zdravih obrokov in boljše učinkovitosti porabe sredstev. </w:t>
      </w:r>
    </w:p>
    <w:p w14:paraId="71E3E59C" w14:textId="77777777" w:rsidR="00060724" w:rsidRDefault="00060724" w:rsidP="00F14E74"/>
    <w:p w14:paraId="7622A6FD" w14:textId="77A78D47" w:rsidR="00F14E74" w:rsidRDefault="00F14E74" w:rsidP="00F14E74">
      <w:r>
        <w:t>Poleg tega bo MKGP skozi dvostranske pogovore z Ministrstvom za vzgojo in izobraževanje prispeval k pilotnemu projektu osrednja šolska kuhinja. Sistemske rešitve bodo MKGP in drugi resorji razvijali tudi s sodelovanjem v medresorski skupini za pripravo novega Nacionalnega programa za prehrano in gibanje ter pri pripravi dolgoročne vizije za razvoj slovenskega kmetijstva, ki jo v letu 2025 tudi pripravlja MKGP.</w:t>
      </w:r>
    </w:p>
    <w:p w14:paraId="1A3CA210" w14:textId="3B1721F8" w:rsidR="00A96E0E" w:rsidRDefault="00F14E74" w:rsidP="00F14E74">
      <w:pPr>
        <w:pStyle w:val="Vir"/>
      </w:pPr>
      <w:r>
        <w:t>Vir: Ministrstvo za kmetijstvo, gozdarstvo in prehrano</w:t>
      </w:r>
    </w:p>
    <w:p w14:paraId="1847066B" w14:textId="73FCA381" w:rsidR="00123BF7" w:rsidRDefault="00123BF7" w:rsidP="00123BF7">
      <w:pPr>
        <w:pStyle w:val="Naslov2"/>
      </w:pPr>
      <w:r>
        <w:t>Prvo prostovoljno poročilo Slovenije o izvajanju mednarodnega humanitarnega prava in seznanjanja z njim</w:t>
      </w:r>
    </w:p>
    <w:p w14:paraId="31596D5E" w14:textId="77777777" w:rsidR="00123BF7" w:rsidRDefault="00123BF7" w:rsidP="00123BF7">
      <w:r>
        <w:t xml:space="preserve">Vlada Republike Slovenije se je seznanila s Prostovoljnim poročilom Republike Slovenije o izvajanju mednarodnega humanitarnega prava in seznanjanju z njim v času od 2021 do junija 2024. Gre za prvo poročilo Slovenije na tem področju, s čimer se naša država uvršča v skupino najbolj aktivnih držav na področju MHP. Izvedba poročila Sloveniji omogoča mednarodno sodelovanje, izmenjavo dobrih praks in izzivov z državami v evropskem prostoru, ki so to poročilo že oblikovale (Združeno Kraljestvo, Nemčija, Švica, Romunija, Poljska in Italija). </w:t>
      </w:r>
    </w:p>
    <w:p w14:paraId="4EC58098" w14:textId="77777777" w:rsidR="00123BF7" w:rsidRDefault="00123BF7" w:rsidP="00123BF7"/>
    <w:p w14:paraId="09E33212" w14:textId="77777777" w:rsidR="00123BF7" w:rsidRDefault="00123BF7" w:rsidP="00123BF7">
      <w:r>
        <w:t>Namen poročila, ki je zasnovano na pobudo Stalne koordinacijske skupine za MHP, je širši javnosti predstaviti številne in raznolike ukrepe za izvajanje MHP na nacionalni ravni, kot so: zakonodajni ukrepi (zakonski in podzakonski akti); izobraževanja in usposabljanja o aktualnih vsebinah MHP, ki so jih izvajali različni deležniki (ministrstva, Rdeči križ Slovenije, Pravna fakulteta Univerze v Ljubljani, Center za usposabljanje za mirovne operacije (POTC)); primeri odličnih praks (med drugim dvostranska in regionalna posvetovanja med nacionalni odbori za MHP, katerih pobudnica je bila slovenska Stalna koordinacijska skupina za MHP); ter humanitarna pomoč in humanitarni projekti, ki jih je Slovenija namenila najbolj ranljivim.</w:t>
      </w:r>
    </w:p>
    <w:p w14:paraId="26C247AA" w14:textId="063279D6" w:rsidR="00A96E0E" w:rsidRDefault="00123BF7" w:rsidP="00123BF7">
      <w:pPr>
        <w:pStyle w:val="Vir"/>
      </w:pPr>
      <w:r>
        <w:t>Vir: Ministrstvo za zunanje in evropske zadeve</w:t>
      </w:r>
    </w:p>
    <w:p w14:paraId="5FEBA331" w14:textId="5C25C897" w:rsidR="00D158B5" w:rsidRDefault="00D158B5" w:rsidP="00D158B5">
      <w:pPr>
        <w:pStyle w:val="Naslov2"/>
      </w:pPr>
      <w:r>
        <w:t>Vlada se je seznanila s poročilom o izvajanju strategije razvoja trga kapitala</w:t>
      </w:r>
    </w:p>
    <w:p w14:paraId="552F4C58" w14:textId="77777777" w:rsidR="00D158B5" w:rsidRDefault="00D158B5" w:rsidP="00D158B5">
      <w:r>
        <w:t>Vlada se je danes seznanila s Poročilom o izvajanju strategije razvoja trga kapitala v Sloveniji v letu 2024. Med drugim smo pripravili predlog Zakona o individualnih naložbenih računih in izdali obveznice za male vlagatelje.</w:t>
      </w:r>
    </w:p>
    <w:p w14:paraId="1290AEF4" w14:textId="77777777" w:rsidR="00D158B5" w:rsidRDefault="00D158B5" w:rsidP="00D158B5"/>
    <w:p w14:paraId="53947818" w14:textId="77777777" w:rsidR="00D158B5" w:rsidRDefault="00D158B5" w:rsidP="00D158B5">
      <w:r>
        <w:t xml:space="preserve">Vlada je marca 2023 sprejela Strategijo razvoja trga kapitala za obdobje 2023-2030, ki vsebuje konkretne ukrepe za krepitev in razvoj slovenskega trga kapitala. Ministrstvo za finance na podlagi poročil organov, pristojnih za posamezne ukrepe, za vlado pripravi letno poročilo o izvajanju strategije. </w:t>
      </w:r>
    </w:p>
    <w:p w14:paraId="01D00611" w14:textId="77777777" w:rsidR="00D158B5" w:rsidRDefault="00D158B5" w:rsidP="00D158B5"/>
    <w:p w14:paraId="24856962" w14:textId="77777777" w:rsidR="00D158B5" w:rsidRDefault="00D158B5" w:rsidP="00D158B5">
      <w:r>
        <w:t>Med ključnimi aktivnostmi, izvedenimi v preteklem letu, je bila priprava predloga Zakona o individualnih naložbenih računih, ki je bil decembra lani v javni obravnavi, vlada pa ga je potrdila aprila letos. Predlog zakona predvideva ugodnejšo administrativno in posebno davčno obravnavo za dolgoročno varčevanje ter spodbuja vlaganje v finančne instrumente na slovenskem kapitalskem trgu.</w:t>
      </w:r>
    </w:p>
    <w:p w14:paraId="2D2898B7" w14:textId="77777777" w:rsidR="00D158B5" w:rsidRDefault="00D158B5" w:rsidP="00D158B5"/>
    <w:p w14:paraId="0977733C" w14:textId="77777777" w:rsidR="00D158B5" w:rsidRDefault="00D158B5" w:rsidP="00D158B5">
      <w:r>
        <w:t>Februarja lani smo prvič izdali državne obveznice, namenjene izključno malim vlagateljem (fizičnim osebam). Izdali smo jih v skupni nominalni vrednosti 261 milijonov evrov z letno obrestno mero 3,4 odstotka in ročnostjo treh let. Letos je sledila druga izdaja tako imenovanih ljudskih obveznic.</w:t>
      </w:r>
    </w:p>
    <w:p w14:paraId="468C749A" w14:textId="77777777" w:rsidR="00D158B5" w:rsidRDefault="00D158B5" w:rsidP="00D158B5"/>
    <w:p w14:paraId="15620D71" w14:textId="77777777" w:rsidR="00D158B5" w:rsidRDefault="00D158B5" w:rsidP="00D158B5">
      <w:r>
        <w:lastRenderedPageBreak/>
        <w:t xml:space="preserve">Na področju doseganja statusa razvijajočega trga je delovna skupina določila tri ključna področja delovanja: ukrepi za spodbujanje novih kotacij, povečanje likvidnosti trga in izboljšanje stroškovne učinkovitosti, kar je podlaga za nadaljnje delo skupine. </w:t>
      </w:r>
    </w:p>
    <w:p w14:paraId="6DAA6531" w14:textId="77777777" w:rsidR="00D158B5" w:rsidRDefault="00D158B5" w:rsidP="00D158B5">
      <w:r>
        <w:t xml:space="preserve"> </w:t>
      </w:r>
    </w:p>
    <w:p w14:paraId="3CF8EB08" w14:textId="77777777" w:rsidR="00D158B5" w:rsidRDefault="00D158B5" w:rsidP="00D158B5">
      <w:r>
        <w:t>V okviru spodbujanja finančnega opismenjevanja je bilo izvedenih več dogodkov v obliki panelov, okroglih miz in posvetov, na katerih so aktivno sodelovali predstavniki Ministrstva za finance. Skupaj z Banko Slovenije sodelujemo pri projektu Bodi FIN (finančno radoveden nadobudnež), začeli pa smo tudi redno objavljati poljudne vsebine o finančnih in drugih povezanih temah. Pripravili smo tudi nov Nacionalni program finančnega opismenjevanja.</w:t>
      </w:r>
    </w:p>
    <w:p w14:paraId="345D70D7" w14:textId="77777777" w:rsidR="00D158B5" w:rsidRDefault="00D158B5" w:rsidP="00D158B5"/>
    <w:p w14:paraId="7FBEC743" w14:textId="77777777" w:rsidR="00D158B5" w:rsidRDefault="00D158B5" w:rsidP="00D158B5">
      <w:r>
        <w:t>V poročilu so opisane tudi druge aktivnosti za krepitev in razvoj slovenskega trga kapitala v letu 2024. Delo se bo nadaljevalo tudi letos; načrtujemo pripravo zakonodajnih predlogov in nadaljnje korake iz akcijskih načrtov za doseganje strateških ciljev krepitve slovenskega trga kapitala.</w:t>
      </w:r>
    </w:p>
    <w:p w14:paraId="7B5447E9" w14:textId="54EF4967" w:rsidR="00A96E0E" w:rsidRDefault="00D158B5" w:rsidP="00D158B5">
      <w:pPr>
        <w:pStyle w:val="Vir"/>
      </w:pPr>
      <w:r>
        <w:t>Vir: Ministrstvo za finance</w:t>
      </w:r>
    </w:p>
    <w:p w14:paraId="2915F80E" w14:textId="03118DA8" w:rsidR="00F24B78" w:rsidRDefault="00F24B78" w:rsidP="00F24B78">
      <w:pPr>
        <w:pStyle w:val="Naslov2"/>
      </w:pPr>
      <w:r>
        <w:t>Vlada o poročilu o državnih pomočeh</w:t>
      </w:r>
    </w:p>
    <w:p w14:paraId="4ADA0A66" w14:textId="77777777" w:rsidR="00F24B78" w:rsidRDefault="00F24B78" w:rsidP="00F24B78">
      <w:r>
        <w:t xml:space="preserve">Vlada je sprejela štiriindvajseto poročilo o državnih pomočeh v Sloveniji za leta 2021, 2022 in 2023. Poročilo predstavlja analitični pregled državnih pomoči, izplačanih v Sloveniji, katerega namen je zagotavljanje preglednosti in nadzor nad dodeljevanjem državnih pomoči v državi. </w:t>
      </w:r>
    </w:p>
    <w:p w14:paraId="31429A39" w14:textId="77777777" w:rsidR="00F24B78" w:rsidRDefault="00F24B78" w:rsidP="00F24B78"/>
    <w:p w14:paraId="29CDD8AD" w14:textId="54ED5E2C" w:rsidR="00F24B78" w:rsidRDefault="00F24B78" w:rsidP="00F24B78">
      <w:r>
        <w:t xml:space="preserve">V zadnjih treh letih se struktura in razmerje med največjimi kategorijami pomoči nista bistveno spremenila. Največji delež ohranjajo pomoči za varstvo okolja in energijo (182,66 milijonov evrov ali 25,86 odstotkov vseh pomoči v letu 2023), sledijo pomoči za zaposlovanje, in sicer 146,08 milijonov evrov oziroma 20,68 odstotkov vseh pomoči v letu 2023, od tega skoraj v celoti (99,8 odstotkov) namenjene za zaposlovanje invalidnih oseb in prilagoditev delovnega mesta za invalidne osebe. Pomemben obseg državnih pomoči je dodeljen tudi v transportnem sektorju (109,73 milijonov evrov oziroma 15,53 odstotkov, večina dodeljena v železniškem prometu). V letu 2023 se je povečal še obseg pomoči za kmetijstvo na 65,08 milijonov evrov ali 9,21 odstotkov vseh pomoči. Prav tako so v primerjavi s preteklim letom višje pomoči za raziskave, razvoj in inovacije (51,58 milijonov evrov oziroma 7,3 odstotkov), za športno in večnamensko rekreacijsko infrastrukturo (54,95 milijonov evrov oziroma 7,78 odstotkov) ter pomoči za naravne nesreče in izredne dogodke (41,69 milijonov evrov oziroma 5,9 odstotkov). </w:t>
      </w:r>
    </w:p>
    <w:p w14:paraId="5B6EC50B" w14:textId="77777777" w:rsidR="00F24B78" w:rsidRDefault="00F24B78" w:rsidP="00F24B78"/>
    <w:p w14:paraId="58FE34B8" w14:textId="6323472F" w:rsidR="00F24B78" w:rsidRDefault="00F24B78" w:rsidP="00F24B78">
      <w:r>
        <w:t>Državne pomoči so bile v letu 2023 večinoma izplačane kot subvencije (80,4 odstotkov), v obliki znižanja prispevkov za socialno varnost je bilo dodeljenih 15,93 odstotkov, ter v obliki davčnih oprostitev in izjem 2,83 odstotkov vseh državnih pomoči. Obseg ugodnih posojil in garancij je predstavljal 0,63 odstotkov vseh pomoči.</w:t>
      </w:r>
    </w:p>
    <w:p w14:paraId="22C312C5" w14:textId="77777777" w:rsidR="00F24B78" w:rsidRDefault="00F24B78" w:rsidP="00F24B78"/>
    <w:p w14:paraId="2B3968D0" w14:textId="438A1136" w:rsidR="00F24B78" w:rsidRDefault="00F24B78" w:rsidP="00F24B78">
      <w:r>
        <w:t xml:space="preserve">Primerjava z Evropsko unijo kaže, da ima Slovenija primerljiv obseg in strukturo državnih pomoči. </w:t>
      </w:r>
    </w:p>
    <w:p w14:paraId="5476B19A" w14:textId="77777777" w:rsidR="00F24B78" w:rsidRDefault="00F24B78" w:rsidP="00F24B78">
      <w:r>
        <w:t xml:space="preserve">Sestavni del poročila so tudi ocene o uspešnosti dodeljenih državnih pomoči, ki so sestavljene iz povzetka poročil, ki so jih posredovali dajalci pomoči. Skupni učinek dodeljenih državnih pomoči je v povprečju ocenjen kot pozitiven. </w:t>
      </w:r>
    </w:p>
    <w:p w14:paraId="1DA06653" w14:textId="68884A11" w:rsidR="00A96E0E" w:rsidRDefault="00F24B78" w:rsidP="00F24B78">
      <w:pPr>
        <w:pStyle w:val="Vir"/>
      </w:pPr>
      <w:r>
        <w:t>Vir: Ministrstvo za finance</w:t>
      </w:r>
    </w:p>
    <w:p w14:paraId="166FB2B9" w14:textId="2F31361A" w:rsidR="00915827" w:rsidRDefault="00915827" w:rsidP="00915827">
      <w:pPr>
        <w:pStyle w:val="Naslov2"/>
      </w:pPr>
      <w:r>
        <w:t>Sprejeta opredelitev v sodnem postopku pred Splošnim sodiščem Evropske unije v zadevi Zdravniška zbornica Slovenije proti Komisiji</w:t>
      </w:r>
    </w:p>
    <w:p w14:paraId="04D4988A" w14:textId="6DE942F0" w:rsidR="00915827" w:rsidRDefault="00915827" w:rsidP="00915827">
      <w:r>
        <w:t>Vlada Republike Slovenije je na današnji seji sprejela opredelitev v sodnem postopku pred Splošnim sodiščem Evropske unije v zadevi Zdravniška zbornica Slovenije proti Komisiji in ga posredovala Državnemu odvetništvu Republike Slovenije.</w:t>
      </w:r>
    </w:p>
    <w:p w14:paraId="6AEC8F31" w14:textId="77777777" w:rsidR="00915827" w:rsidRDefault="00915827" w:rsidP="00915827"/>
    <w:p w14:paraId="103E3953" w14:textId="77777777" w:rsidR="00915827" w:rsidRDefault="00915827" w:rsidP="00915827">
      <w:r>
        <w:t xml:space="preserve">Zdravniška zbornica Slovenije je 24. junija 2016 v imenu koncesionarjev vložila pritožbo pri Evropski komisiji (EK) glede državne pomoči javnim zdravstvenim zavodom (bolnišnicam in zdravstvenim domovom). V svoji pritožbi je navedla, da javni zdravstveni zavodi prejemajo različne oblike državne pomoči, kar naj bi bilo v nasprotju s pravili EU o konkurenci, kot so: </w:t>
      </w:r>
    </w:p>
    <w:p w14:paraId="3E29D5A2" w14:textId="54BC6FEE" w:rsidR="00915827" w:rsidRDefault="00915827" w:rsidP="00915827">
      <w:pPr>
        <w:pStyle w:val="Odstavekseznama"/>
        <w:numPr>
          <w:ilvl w:val="0"/>
          <w:numId w:val="12"/>
        </w:numPr>
      </w:pPr>
      <w:r>
        <w:t>financiranje stroškov nakupa medicinske in druge opreme ter operativnih stroškov,</w:t>
      </w:r>
    </w:p>
    <w:p w14:paraId="65F56F55" w14:textId="219387A6" w:rsidR="00915827" w:rsidRDefault="00915827" w:rsidP="00915827">
      <w:pPr>
        <w:pStyle w:val="Odstavekseznama"/>
        <w:numPr>
          <w:ilvl w:val="0"/>
          <w:numId w:val="12"/>
        </w:numPr>
      </w:pPr>
      <w:r>
        <w:t>investicije v izgradnjo in adaptacijo objektov,</w:t>
      </w:r>
    </w:p>
    <w:p w14:paraId="13BCF4A9" w14:textId="65DB83D7" w:rsidR="00915827" w:rsidRDefault="00915827" w:rsidP="00915827">
      <w:pPr>
        <w:pStyle w:val="Odstavekseznama"/>
        <w:numPr>
          <w:ilvl w:val="0"/>
          <w:numId w:val="12"/>
        </w:numPr>
      </w:pPr>
      <w:r>
        <w:t xml:space="preserve">dodeljevanje posebno ugodnih likvidnostnih posojil iz državnega proračuna. </w:t>
      </w:r>
    </w:p>
    <w:p w14:paraId="5302B6A2" w14:textId="77777777" w:rsidR="00915827" w:rsidRDefault="00915827" w:rsidP="00915827"/>
    <w:p w14:paraId="2A254A62" w14:textId="77777777" w:rsidR="00915827" w:rsidRDefault="00915827" w:rsidP="00915827">
      <w:r>
        <w:t xml:space="preserve">Evropska komisija je 10. junija 2024 odločila v korist RS, in sicer, da JZZ pri zagotavljanju javnih zdravstvenih storitev ne opravljajo dejavnosti »gospodarske narave« in se zato ne štejejo za »podjetja« v smislu konkurenčnega prava EU. Zdravniška zbornica Slovenije se z odločitvijo Komisije ni strinjala, zato je proti EK vložila ničnostno tožbo pred Splošnim sodiščem EU. </w:t>
      </w:r>
    </w:p>
    <w:p w14:paraId="73A349CC" w14:textId="77777777" w:rsidR="00915827" w:rsidRDefault="00915827" w:rsidP="00915827"/>
    <w:p w14:paraId="5A52F9CA" w14:textId="77777777" w:rsidR="00915827" w:rsidRDefault="00915827" w:rsidP="00915827">
      <w:r>
        <w:t>RS pred Splošnim sodiščem Evropske unije v zadevi intervenira v podporo Komisiji in nasprotuje razglasitvi ničnosti sklepa ter v celoti podpira ugotovitve in predloge Komisije. Meni, da so očitki tožeče stranke neutemeljeni ter predlaga, naj Splošno sodišče Evropske unije tožbo zavrne, tožeči stranki pa naloži povrnitev stroškov.</w:t>
      </w:r>
    </w:p>
    <w:p w14:paraId="791DE37B" w14:textId="3C459CC4" w:rsidR="00A96E0E" w:rsidRDefault="00915827" w:rsidP="00915827">
      <w:pPr>
        <w:pStyle w:val="Vir"/>
      </w:pPr>
      <w:r>
        <w:t>Vir: Ministrstvo za zdravje</w:t>
      </w:r>
    </w:p>
    <w:p w14:paraId="235D67BE" w14:textId="5A76E5F9" w:rsidR="00112955" w:rsidRDefault="00112955" w:rsidP="00112955">
      <w:pPr>
        <w:pStyle w:val="Naslov2"/>
      </w:pPr>
      <w:r>
        <w:t>Slovenija podpira predlog direktive o opremi za polnjenje električnih vozil, naprav za polnjenje s stisnjenim plinom ter števcev električne energije, plinomerov in merilnikov toplotne energije</w:t>
      </w:r>
    </w:p>
    <w:p w14:paraId="28655685" w14:textId="77777777" w:rsidR="00112955" w:rsidRDefault="00112955" w:rsidP="00112955">
      <w:r>
        <w:t>Republika Slovenija pozdravlja predlog Direktive Evropskega parlamenta in Sveta o spremembi direktive 2014/32/EU glede opreme za polnjenje električnih vozil, naprav za polnjenje s stisnjenim plinom ter števcev električne energije, plinomerov in merilnikov toplotne energije.</w:t>
      </w:r>
    </w:p>
    <w:p w14:paraId="2A52FADB" w14:textId="77777777" w:rsidR="00112955" w:rsidRDefault="00112955" w:rsidP="00112955"/>
    <w:p w14:paraId="52B4E470" w14:textId="5D1C8624" w:rsidR="00112955" w:rsidRDefault="00112955" w:rsidP="00112955">
      <w:r>
        <w:t xml:space="preserve">Predlagana direktiva spreminja sedaj veljavno Direktivo 2014/32/EU Evropskega parlamenta in Sveta o merilnih instrumentih, katere cilj je zagotovitev pravilnega delovanja notranjega trga. </w:t>
      </w:r>
    </w:p>
    <w:p w14:paraId="4358000D" w14:textId="77777777" w:rsidR="00112955" w:rsidRDefault="00112955" w:rsidP="00112955"/>
    <w:p w14:paraId="00AC7867" w14:textId="4C6E6CFD" w:rsidR="00112955" w:rsidRDefault="00112955" w:rsidP="00112955">
      <w:r>
        <w:t>Republika Slovenija predlog direktive podpira, saj se strinja, da je za doseganje ciljev evropskega zelenega prehoda in izboljšanja delovanja notranjega trga potrebno prilagoditi zahteve veljavne direktive na nove harmonizirane zahteve za merilne instrumente za polnjenje električnih vozil ter naprave za polnjenje s stisnjenim plinom.</w:t>
      </w:r>
    </w:p>
    <w:p w14:paraId="7716C22F" w14:textId="77777777" w:rsidR="00112955" w:rsidRDefault="00112955" w:rsidP="00112955"/>
    <w:p w14:paraId="07589F24" w14:textId="7595B7EC" w:rsidR="00112955" w:rsidRDefault="00112955" w:rsidP="00112955">
      <w:r>
        <w:t>Sprememba je ključna, saj na področju uporabe merilnih instrumentov obseg in zahteve niso bile spremenjene že več kot 20 let. Na trgu so se pojavili novi merilni instrumenti, ki so zelo pomembni za uspešno uvedbo čiste mobilnosti. Poleg tega sedaj veljavna direktiva ne omogoča polnega izkoristka pametnega merjenja, ki ima pomembno vlogo pri doseganju podnebnih ciljev Unije. Cilj predloga je tudi harmonizacija notranjega trga v izogib povečevanju stroškov tako za gospodarske subjekte kot potrošnike.</w:t>
      </w:r>
    </w:p>
    <w:p w14:paraId="74A11838" w14:textId="77777777" w:rsidR="00112955" w:rsidRDefault="00112955" w:rsidP="00112955">
      <w:pPr>
        <w:pStyle w:val="Vir"/>
      </w:pPr>
      <w:r>
        <w:t>Vir: Ministrstvo za gospodarstvo, turizem in šport</w:t>
      </w:r>
    </w:p>
    <w:p w14:paraId="415B5A13" w14:textId="66D17250" w:rsidR="00F4496A" w:rsidRDefault="00F4496A" w:rsidP="00F4496A">
      <w:pPr>
        <w:pStyle w:val="Naslov2"/>
      </w:pPr>
      <w:r>
        <w:t>Vlada podpira stališče EU v Mednarodnem svetu za žito glede oblikovanja novih pravil o pisnem postopku in dostopa članic do arhivov Mednarodnega sveta za žito</w:t>
      </w:r>
    </w:p>
    <w:p w14:paraId="1EC59CEE" w14:textId="2AFF95C0" w:rsidR="00F4496A" w:rsidRDefault="00F4496A" w:rsidP="00F4496A">
      <w:r>
        <w:t xml:space="preserve">Vlada je sprejela stališče, da Slovenija podpira </w:t>
      </w:r>
      <w:r w:rsidR="00A62F63">
        <w:t>p</w:t>
      </w:r>
      <w:r>
        <w:t xml:space="preserve">redlog sklepa Sveta o stališču, ki se v imenu Evropske unije zastopa v Mednarodnem svetu za žito glede oblikovanja novih pravil o pisnem postopku in dostopa članic do arhivov Mednarodnega sveta za žito. </w:t>
      </w:r>
    </w:p>
    <w:p w14:paraId="1E2221B1" w14:textId="77777777" w:rsidR="00F4496A" w:rsidRDefault="00F4496A" w:rsidP="00F4496A"/>
    <w:p w14:paraId="1E7344DE" w14:textId="543C2813" w:rsidR="00F4496A" w:rsidRDefault="00F4496A" w:rsidP="00F4496A">
      <w:r>
        <w:lastRenderedPageBreak/>
        <w:t xml:space="preserve">Predloga, ki bosta dana v odločitev na 62. seji Mednarodnega sveta za žito 12. junija 2025, sta:  </w:t>
      </w:r>
      <w:r w:rsidR="00A62F63">
        <w:t>v</w:t>
      </w:r>
      <w:r>
        <w:t xml:space="preserve">zpostavitev jasnih pravil o odločanju po pisnem postopku, saj doslej poslovnik teh pravil ni vseboval in </w:t>
      </w:r>
      <w:r w:rsidR="00A62F63">
        <w:t>d</w:t>
      </w:r>
      <w:r>
        <w:t>oločitev pravil za dostop do arhivov Mednarodnega sveta za žito, saj so arhivi trenutno nedotakljivi, kar je v določenih primerih neustrezno.</w:t>
      </w:r>
    </w:p>
    <w:p w14:paraId="4725A9A7" w14:textId="77777777" w:rsidR="00F4496A" w:rsidRDefault="00F4496A" w:rsidP="00F4496A"/>
    <w:p w14:paraId="0AEA3D91" w14:textId="77777777" w:rsidR="00F4496A" w:rsidRDefault="00F4496A" w:rsidP="00F4496A">
      <w:r>
        <w:t>V zadnjih letih je Mednarodni svet za žito že sprejemal nekatere odločitve po pisnem postopku, vendar poslovnik tega postopka ni urejal. EU je 2. maja 2024 predlagala, da se vanj doda formalna pravila za sprejemanje sklepov na daljavo. Arhivi Mednarodnega sveta za žito trenutno uživajo popolno nedotakljivost na podlagi člena 20 Konvencije in sporazuma s sedežno državo (Združeno kraljestvo). Leta 2024 je prišlo do nepooblaščenega dostopa do zaprtega dela spletne strani članic Mednarodnega sveta za žito, kar je sprožilo razpravo o dostopnosti arhivov. Novo pravilo 26 bo določalo, da morajo biti zahteve za dostop do arhivov vložene v pisni obliki s točno določenim vložnikom.</w:t>
      </w:r>
    </w:p>
    <w:p w14:paraId="5748AB9B" w14:textId="77777777" w:rsidR="00F4496A" w:rsidRDefault="00F4496A" w:rsidP="00F4496A"/>
    <w:p w14:paraId="19EC4189" w14:textId="77777777" w:rsidR="00F4496A" w:rsidRDefault="00F4496A" w:rsidP="00F4496A">
      <w:r>
        <w:t>EU podpira predlagane spremembe poslovnika, saj bodo prispevale k večji jasnosti pri odločanju po pisnem postopku, povečanju preglednosti pri dostopu do arhivov organizacije in boljši organiziranosti Mednarodnega sveta za žito.</w:t>
      </w:r>
    </w:p>
    <w:p w14:paraId="179AF1A6" w14:textId="77777777" w:rsidR="00F4496A" w:rsidRDefault="00F4496A" w:rsidP="00F4496A"/>
    <w:p w14:paraId="2E352EB8" w14:textId="77777777" w:rsidR="00F4496A" w:rsidRDefault="00F4496A" w:rsidP="00F4496A">
      <w:r>
        <w:t xml:space="preserve">Evropska unija je pogodbenica Konvencije o trgovanju z žitom, ki je začela veljati leta 1995 in se redno podaljšuje za obdobja do dveh let. Mednarodni svet za žito si kot medvladna organizacija  prizadeva za večjo stabilnost trga žit, krepitev prehranske varnosti in transparentnost trgovanja s kmetijskimi proizvodi. </w:t>
      </w:r>
    </w:p>
    <w:p w14:paraId="494E1246" w14:textId="77777777" w:rsidR="00F4496A" w:rsidRDefault="00F4496A" w:rsidP="00F4496A"/>
    <w:p w14:paraId="531FE191" w14:textId="77777777" w:rsidR="00F4496A" w:rsidRDefault="00F4496A" w:rsidP="00F4496A">
      <w:r>
        <w:t xml:space="preserve">Pričakovati je pozitiven vpliv na gospodarstvo. Cilj Konvencije o trgovanju z žitom iz leta 1995 je namreč pospešiti mednarodno sodelovanje glede vseh vidikov trgovanja z žitom, spodbuditi širitev mednarodnega trgovanja z žitom ter zagotoviti čim bolj prost pretok tega trgovanja. </w:t>
      </w:r>
    </w:p>
    <w:p w14:paraId="222A5387" w14:textId="091D653A" w:rsidR="00A96E0E" w:rsidRDefault="00F4496A" w:rsidP="00F4496A">
      <w:pPr>
        <w:pStyle w:val="Vir"/>
      </w:pPr>
      <w:r>
        <w:t>Vir: Ministrstvo za kmetijstvo, gozdarstvo in prehrano</w:t>
      </w:r>
    </w:p>
    <w:p w14:paraId="400EFF78" w14:textId="143C71A7" w:rsidR="00625831" w:rsidRDefault="00625831" w:rsidP="00625831">
      <w:pPr>
        <w:pStyle w:val="Naslov2"/>
      </w:pPr>
      <w:r>
        <w:t>Vlada podpira podaljšanje Konvencije o trgovanju z žitom do 30. junija 2027</w:t>
      </w:r>
    </w:p>
    <w:p w14:paraId="20E6C33F" w14:textId="4329618D" w:rsidR="00625831" w:rsidRDefault="00625831" w:rsidP="00625831">
      <w:r>
        <w:t xml:space="preserve">Vlada je sprejela stališče Slovenije, da podpira </w:t>
      </w:r>
      <w:r w:rsidR="00A62F63">
        <w:t>p</w:t>
      </w:r>
      <w:r>
        <w:t>redlog sklepa Sveta o stališču, ki se v imenu Evropske unije zastopa v Mednarodnem svetu za žito glede podaljšanja Konvencije o trgovanju z žitom iz leta 1995, in sicer, da se to podaljša do 30. junija 2027. Tako se bo omogočilo Mednarodnemu svetu za žito, da delo nadaljuje.</w:t>
      </w:r>
    </w:p>
    <w:p w14:paraId="4FDD0148" w14:textId="77777777" w:rsidR="00625831" w:rsidRDefault="00625831" w:rsidP="00625831"/>
    <w:p w14:paraId="6C87063D" w14:textId="77777777" w:rsidR="00625831" w:rsidRDefault="00625831" w:rsidP="00625831">
      <w:r>
        <w:t>Evropska unija je s Sklepom Sveta 96/88/ES postala pogodbenica Konvencije o trgovanju z žitom. Ta je začela veljati 1. julija 1995 in se je od takrat redno podaljševala. Vsako podaljšanje ne sme biti daljše od dveh let, nazadnje pa je bila podaljšana junija 2023 in je veljavna do 30. junija 2025. Mednarodni svet za žito bo na 62. zasedanju, ki bo 12. junija 2025, odločil o podaljšanju Konvencije za nadaljnje obdobje dveh let, torej od 1. julija 2025 do 30. junija 2027.</w:t>
      </w:r>
    </w:p>
    <w:p w14:paraId="13073F42" w14:textId="77777777" w:rsidR="00625831" w:rsidRDefault="00625831" w:rsidP="00625831"/>
    <w:p w14:paraId="18128C70" w14:textId="77777777" w:rsidR="00625831" w:rsidRDefault="00625831" w:rsidP="00625831">
      <w:r>
        <w:t>Evropska unija je dejavna članica Mednarodnega sveta za žito, zato je ponovno podaljšanje konvencije v njenem interesu. Unija je ena od glavnih proizvajalk žita, vodilna izvoznica pšenice in ječmena ter največja uvoznica koruze.</w:t>
      </w:r>
    </w:p>
    <w:p w14:paraId="4CD32E52" w14:textId="1AA266C7" w:rsidR="00A96E0E" w:rsidRDefault="00625831" w:rsidP="00625831">
      <w:pPr>
        <w:pStyle w:val="Vir"/>
      </w:pPr>
      <w:r>
        <w:t>Vir: Ministrstvo za kmetijstvo, gozdarstvo in prehrano</w:t>
      </w:r>
    </w:p>
    <w:p w14:paraId="3DF2BE1D" w14:textId="120AC54C" w:rsidR="00316CCE" w:rsidRDefault="00316CCE" w:rsidP="00316CCE">
      <w:pPr>
        <w:pStyle w:val="Naslov2"/>
      </w:pPr>
      <w:r>
        <w:t>Vlada sprejela stališče o trgovinskem standardu za oljčno olje in olje iz oljčnih tropin</w:t>
      </w:r>
    </w:p>
    <w:p w14:paraId="4E69866D" w14:textId="4EEC8596" w:rsidR="00316CCE" w:rsidRDefault="00316CCE" w:rsidP="00316CCE">
      <w:r>
        <w:lastRenderedPageBreak/>
        <w:t>Vlada Republike Slovenije je sprejela stališče Slovenije k predlogu sklepa Sveta o stališču, ki se v imenu Evropske unije zastopa v svetu članic Mednarodnega sveta za oljke (IOC), o trgovinskem standardu za oljčno olje in olje iz oljčnih tropin.</w:t>
      </w:r>
    </w:p>
    <w:p w14:paraId="4156DD83" w14:textId="77777777" w:rsidR="00316CCE" w:rsidRDefault="00316CCE" w:rsidP="00316CCE"/>
    <w:p w14:paraId="3C7CC33B" w14:textId="77777777" w:rsidR="00316CCE" w:rsidRDefault="00316CCE" w:rsidP="00316CCE">
      <w:r>
        <w:t>Slovenija podpira Predlog sklepa Sveta o stališču, ki se v imenu Evropske unije zastopa v svetu članic Mednarodnega sveta za oljke (IOC), o trgovinskem standardu za oljčno olje in olje iz oljčnih tropin.</w:t>
      </w:r>
    </w:p>
    <w:p w14:paraId="195A83B4" w14:textId="77777777" w:rsidR="00316CCE" w:rsidRDefault="00316CCE" w:rsidP="00316CCE"/>
    <w:p w14:paraId="407B5EFE" w14:textId="77777777" w:rsidR="00316CCE" w:rsidRDefault="00316CCE" w:rsidP="00316CCE">
      <w:r>
        <w:t>S tem sklepom Svet EU pooblasti Komisijo za zastopanje stališča Unije v svetu članic Mednarodnega sveta za oljke (IOC) za sprejetje predlaganega sklepa o spremembi trgovinskega standarda za oljčno olje in olje iz oljčnih tropin. Sklep naj bi bil sprejet na 121. zasedanju sveta članic IOC, ki bo potekalo julija 2025, ali v postopku z izmenjavo pisem pred naslednjim rednim zasedanjem novembra 2025. Namen sklepa je spremeniti trgovinski standard za oljčna olja in olja iz oljčnih tropin, kar obsega posodobitev metode za določanje vsebnosti voskov in etil estrov maščobnih kislin s kapilarno kolonsko plinsko kromatografijo; vključitev novo metodo za določanje digliceridov in trigliceridov; prilagoditev mejnih vrednosti sterolov za nekatere sorte ter črtanje zahteve glede zaznavanja sledi halogeniranih topil. Sklep prispeva k mednarodni harmonizaciji standardov za oljčno olje in s tem k pošteni konkurenci pri trgovanju s proizvodi iz sektorja oljčnega olja. Potrebne bodo še tehnične spremembe evropske zakonodaje na področju tržnih standardov za oljčno olje.</w:t>
      </w:r>
    </w:p>
    <w:p w14:paraId="57F7FE81" w14:textId="77777777" w:rsidR="00316CCE" w:rsidRDefault="00316CCE" w:rsidP="00316CCE">
      <w:pPr>
        <w:pStyle w:val="Vir"/>
      </w:pPr>
      <w:r>
        <w:t>Vir: Ministrstvo za kmetijstvo, gozdarstvo in prehrano</w:t>
      </w:r>
    </w:p>
    <w:p w14:paraId="115ADB78" w14:textId="14C02812" w:rsidR="00316CCE" w:rsidRDefault="00316CCE" w:rsidP="00316CCE">
      <w:pPr>
        <w:pStyle w:val="Naslov2"/>
      </w:pPr>
      <w:r>
        <w:t>Vlada sprejela stališče, da Slovenija podpira predlog v zvezi s pristopom Republike Irak k Mednarodnemu sporazumu o oljčnem olju in namiznih oljkah iz leta 2015</w:t>
      </w:r>
    </w:p>
    <w:p w14:paraId="135975E7" w14:textId="03DE783F" w:rsidR="00316CCE" w:rsidRDefault="00316CCE" w:rsidP="00316CCE">
      <w:r>
        <w:t xml:space="preserve">Vlada je sprejela stališče Slovenije k predlogu sklepa Sveta o stališču, ki se v imenu Evropske unije zastopa v svetu članic Mednarodnega sveta za oljke (IOC), v zvezi s pristopom Republike Irak k Mednarodnemu sporazumu o oljčnem olju in namiznih oljkah iz leta 2015. </w:t>
      </w:r>
    </w:p>
    <w:p w14:paraId="6A0CDF21" w14:textId="77777777" w:rsidR="00316CCE" w:rsidRDefault="00316CCE" w:rsidP="00316CCE"/>
    <w:p w14:paraId="0AD8E862" w14:textId="77777777" w:rsidR="00316CCE" w:rsidRDefault="00316CCE" w:rsidP="00316CCE">
      <w:r>
        <w:t>Republika Slovenija podpira Predlog sklepa Sveta o stališču, ki se v imenu Evropske unije zastopa v svetu članic Mednarodnega sveta za oljke (IOC), v zvezi s pristopom Republike Irak k Mednarodnemu sporazumu o oljčnem olju in namiznih oljkah iz leta 2015.</w:t>
      </w:r>
    </w:p>
    <w:p w14:paraId="3E57A096" w14:textId="77777777" w:rsidR="00316CCE" w:rsidRDefault="00316CCE" w:rsidP="00316CCE"/>
    <w:p w14:paraId="42B8820B" w14:textId="77777777" w:rsidR="00316CCE" w:rsidRDefault="00316CCE" w:rsidP="00316CCE">
      <w:r>
        <w:t>S tem sklepom Svet EU pooblasti Evropsko komisijo, da zastopa stališče Unije v Mednarodnem svetu za oljčno olje in sicer glede pristopa Iraka k Mednarodnemu sporazumu o oljčnem olju in namiznih oljkah iz leta 2015 (prihodnje zasedanje ali pisno glasovanje).</w:t>
      </w:r>
    </w:p>
    <w:p w14:paraId="3B61BAE2" w14:textId="77777777" w:rsidR="00316CCE" w:rsidRDefault="00316CCE" w:rsidP="00316CCE"/>
    <w:p w14:paraId="2F4B569B" w14:textId="77777777" w:rsidR="00316CCE" w:rsidRDefault="00316CCE" w:rsidP="00316CCE">
      <w:r>
        <w:t>V interesu Unije je, da Irak postane članica Mednarodnega sveta za oljčno olje, saj ima slednji dolgo tradicijo pridelave namiznih oljk in porabe oljčnih proizvodov, ter si prizadeva za razvoj domače proizvodnje.</w:t>
      </w:r>
    </w:p>
    <w:p w14:paraId="4367DA6B" w14:textId="78463E5D" w:rsidR="00A96E0E" w:rsidRDefault="00316CCE" w:rsidP="00316CCE">
      <w:pPr>
        <w:pStyle w:val="Vir"/>
      </w:pPr>
      <w:r>
        <w:t>Vir: Ministrstvo za kmetijstvo, gozdarstvo in prehrano</w:t>
      </w:r>
    </w:p>
    <w:p w14:paraId="00D58C4A" w14:textId="292732E2" w:rsidR="00AC1532" w:rsidRDefault="00AC1532" w:rsidP="00AC1532">
      <w:pPr>
        <w:pStyle w:val="Naslov2"/>
      </w:pPr>
      <w:r>
        <w:t xml:space="preserve">Pobuda za sklenitev Splošnega sporazuma o sodelovanju med Vlado Republike Slovenije in Vlado Kraljevine </w:t>
      </w:r>
      <w:proofErr w:type="spellStart"/>
      <w:r>
        <w:t>Saudove</w:t>
      </w:r>
      <w:proofErr w:type="spellEnd"/>
      <w:r>
        <w:t xml:space="preserve"> Arabije</w:t>
      </w:r>
    </w:p>
    <w:p w14:paraId="3DA27607" w14:textId="77777777" w:rsidR="00AC1532" w:rsidRDefault="00AC1532" w:rsidP="00AC1532">
      <w:r>
        <w:t xml:space="preserve">Vlada Republike Slovenije je sprejela pobudo za sklenitev Splošnega sporazuma o sodelovanju med Vlado Republike Slovenije in Vlado Kraljevine </w:t>
      </w:r>
      <w:proofErr w:type="spellStart"/>
      <w:r>
        <w:t>Saudove</w:t>
      </w:r>
      <w:proofErr w:type="spellEnd"/>
      <w:r>
        <w:t xml:space="preserve"> Arabije ter za podpis pooblastila ministrico za zunanje in evropske zadeve Tanjo Fajon.</w:t>
      </w:r>
    </w:p>
    <w:p w14:paraId="1C96C58C" w14:textId="77777777" w:rsidR="00AC1532" w:rsidRDefault="00AC1532" w:rsidP="00AC1532"/>
    <w:p w14:paraId="5F25434E" w14:textId="77777777" w:rsidR="00AC1532" w:rsidRDefault="00AC1532" w:rsidP="00AC1532">
      <w:r>
        <w:t xml:space="preserve">Sklenitev splošnega sporazuma o sodelovanju s Kraljevino </w:t>
      </w:r>
      <w:proofErr w:type="spellStart"/>
      <w:r>
        <w:t>Saudovo</w:t>
      </w:r>
      <w:proofErr w:type="spellEnd"/>
      <w:r>
        <w:t xml:space="preserve"> Arabijo bi omogočila ugodnejše pogoje za medsebojno sodelovanje podjetij in inštitucij obeh držav, saj sporazum predstavlja pravno-formalni okvir bilateralnega gospodarskega sodelovanja. </w:t>
      </w:r>
    </w:p>
    <w:p w14:paraId="3393F110" w14:textId="77777777" w:rsidR="00AC1532" w:rsidRDefault="00AC1532" w:rsidP="00AC1532"/>
    <w:p w14:paraId="4D93B19A" w14:textId="77777777" w:rsidR="00AC1532" w:rsidRDefault="00AC1532" w:rsidP="00AC1532">
      <w:r>
        <w:lastRenderedPageBreak/>
        <w:t xml:space="preserve">Kraljevina </w:t>
      </w:r>
      <w:proofErr w:type="spellStart"/>
      <w:r>
        <w:t>Saudova</w:t>
      </w:r>
      <w:proofErr w:type="spellEnd"/>
      <w:r>
        <w:t xml:space="preserve"> Arabija je med državami Perzijskega zaliva najpomembnejša zunanje-trgovinska partnerica Slovenije. Državi sta pripravljeni še poglobiti dvostransko sodelovanje in v tej smeri je že bilo storjenih nekaj konkretnih korakov in obiskov na ministrski ravni, nazadnje minister za gospodarstvo, turizem in šport Matjaž Han skupaj s 54-člansko gospodarsko delegacijo decembra 2024. </w:t>
      </w:r>
    </w:p>
    <w:p w14:paraId="7BDF6519" w14:textId="4F453477" w:rsidR="00A96E0E" w:rsidRDefault="00AC1532" w:rsidP="00AC1532">
      <w:pPr>
        <w:pStyle w:val="Vir"/>
      </w:pPr>
      <w:r>
        <w:t>Vir: Ministrstvo za zunanje in evropske zadeve</w:t>
      </w:r>
    </w:p>
    <w:p w14:paraId="776251AB" w14:textId="45B5476B" w:rsidR="001B0F1B" w:rsidRDefault="001B0F1B" w:rsidP="001B0F1B">
      <w:pPr>
        <w:pStyle w:val="Naslov2"/>
      </w:pPr>
      <w:r>
        <w:t>Vlada se je seznanila z informacijo o podpisu spremembe memoranduma o večnacionalnem sodelovanju pri zagotavljanju streliva</w:t>
      </w:r>
    </w:p>
    <w:p w14:paraId="725C17DE" w14:textId="77777777" w:rsidR="001B0F1B" w:rsidRDefault="001B0F1B" w:rsidP="001B0F1B">
      <w:r>
        <w:t xml:space="preserve">Ministrstvo za obrambo RS sodeluje v pobudi o večnacionalnem sodelovanju na področju zagotavljanja pomembnejšega streliva za kopensko bojevanje že od leta 2018, ko je bil podpisan memorandum o soglasju o sodelovanju v tej pobudi. V skladu z določili memoranduma k pobudi lahko pristopijo vse članice zavezništva, partnerske države Nata, Natove agencije ali mednarodne organizacije. </w:t>
      </w:r>
    </w:p>
    <w:p w14:paraId="520C8267" w14:textId="77777777" w:rsidR="001B0F1B" w:rsidRDefault="001B0F1B" w:rsidP="001B0F1B"/>
    <w:p w14:paraId="44F392D8" w14:textId="77777777" w:rsidR="001B0F1B" w:rsidRDefault="001B0F1B" w:rsidP="001B0F1B">
      <w:r>
        <w:t>Namen spremembe št. 4 k memorandumu je uveljavitev sodelovanja Ministrstva za obrambo Madžarske v Memorandumu o soglasju o večnacionalnem sodelovanju pri zagotavljanju pomembnejšega streliva za kopensko bojevanje.</w:t>
      </w:r>
    </w:p>
    <w:p w14:paraId="7FED4138" w14:textId="77777777" w:rsidR="00C925EA" w:rsidRDefault="00C925EA" w:rsidP="00C925EA">
      <w:pPr>
        <w:pStyle w:val="Vir"/>
      </w:pPr>
      <w:r>
        <w:t>Vir: Ministrstvo za obrambo</w:t>
      </w:r>
    </w:p>
    <w:p w14:paraId="00B94BF1" w14:textId="64A57E4A" w:rsidR="004263C9" w:rsidRDefault="004263C9" w:rsidP="004263C9">
      <w:pPr>
        <w:pStyle w:val="Naslov2"/>
      </w:pPr>
      <w:r>
        <w:t xml:space="preserve">Vlada sprejela novelo Zakona o zaščiti živali </w:t>
      </w:r>
    </w:p>
    <w:p w14:paraId="6CC27BBF" w14:textId="77777777" w:rsidR="004263C9" w:rsidRDefault="004263C9" w:rsidP="004263C9">
      <w:r>
        <w:t>Vlada je določila besedilo predloga Zakona o spremembah in dopolnitvah Zakona o zaščiti živali in ga poslala v obravnavo Državnemu zboru Republike Slovenije. Med predlaganimi spremembami so ureditev financiranja skrbi za zapuščene živali, prepoved baterijske reje kokoši in uvedba omejitve posedovanja prostoživečih vrst živali.</w:t>
      </w:r>
    </w:p>
    <w:p w14:paraId="23DF691E" w14:textId="77777777" w:rsidR="004263C9" w:rsidRDefault="004263C9" w:rsidP="004263C9"/>
    <w:p w14:paraId="7C123675" w14:textId="5589D5E4" w:rsidR="004263C9" w:rsidRDefault="004263C9" w:rsidP="004263C9">
      <w:r>
        <w:t>Kar zadeva posedovanje prostoživečih vrst živali, je predvideno črtanje seznama prepovedanih vrst, ohranja pa se omejitev posedovanja prostoživečih vrst s seznamom dovoljenih vrst živali, ki jih bo mogoče imeti. Za spremembe tega seznama bo pristojno strokovno delovno telo, ki bo tudi opredelilo postopek za njegovo dopolnjevanje.</w:t>
      </w:r>
    </w:p>
    <w:p w14:paraId="7086A61A" w14:textId="77777777" w:rsidR="004263C9" w:rsidRDefault="004263C9" w:rsidP="004263C9"/>
    <w:p w14:paraId="61C0323E" w14:textId="4CD05CD8" w:rsidR="004263C9" w:rsidRDefault="004263C9" w:rsidP="004263C9">
      <w:r>
        <w:t>Na področju ravnanja z zapuščenimi živalmi zakon prinaša dodatne obveznosti za skrbnike, med drugim obvezno označitev mačk z namenom zmanjševanja števila zapuščenih mačk. Zvišujejo se normativi za izvajanje javne službe na ravni lokalnih skupnosti, predvidena pa je tudi uvedba začasnih skrbnikov zapuščenih živali. Predlog vzpostavlja celovito in pregledno ureditev financiranja oskrbe zapuščenih živali, s čimer se uvaja jasna delitev finančne odgovornosti glede na konkretno situacijo in spodbujajo učinkovitejše oddaje živali.</w:t>
      </w:r>
    </w:p>
    <w:p w14:paraId="0F64CF6E" w14:textId="77777777" w:rsidR="004263C9" w:rsidRDefault="004263C9" w:rsidP="004263C9"/>
    <w:p w14:paraId="25546B96" w14:textId="789F3944" w:rsidR="004263C9" w:rsidRDefault="004263C9" w:rsidP="004263C9">
      <w:r>
        <w:t>Z novelo zakona se uvajajo tudi višji standardi dobrobiti živali. Med predlaganimi ukrepi so prepoved reje kokoši v baterijski reji, dopolnitev zahtev glede znanja skrbnikov živali ter uvedba obvezne analgezije in anestezije pri kirurški kastraciji sesnih pujskov. Razširjen je tudi seznam prepovedanih ravnanj: med drugim se omejuje uporaba kletk za pse v stanovanjih ter prepoveduje prodaja in uporaba nedovoljenih pasti za lov divjadi.</w:t>
      </w:r>
    </w:p>
    <w:p w14:paraId="3F6020B4" w14:textId="77777777" w:rsidR="004263C9" w:rsidRDefault="004263C9" w:rsidP="004263C9"/>
    <w:p w14:paraId="213210B5" w14:textId="29766DD4" w:rsidR="00B02F91" w:rsidRDefault="004263C9" w:rsidP="004263C9">
      <w:r>
        <w:t>Med spremembami so še ureditev zaščite živali, ki sodelujejo pri nalogah državnih organov, in višje globe za fizične osebe, ki kršijo določbe zakona.</w:t>
      </w:r>
    </w:p>
    <w:p w14:paraId="7A04469B" w14:textId="01E8FE8F" w:rsidR="004263C9" w:rsidRDefault="004263C9" w:rsidP="004263C9">
      <w:pPr>
        <w:pStyle w:val="Vir"/>
      </w:pPr>
      <w:r w:rsidRPr="004263C9">
        <w:t>Vir: Ministrstvo za kmetijstvo, gozdarstvo in prehrano</w:t>
      </w:r>
    </w:p>
    <w:p w14:paraId="2F3ED718" w14:textId="00F4C92E" w:rsidR="000A4E16" w:rsidRDefault="000A4E16" w:rsidP="000A4E16">
      <w:pPr>
        <w:pStyle w:val="Naslov2"/>
      </w:pPr>
      <w:r>
        <w:lastRenderedPageBreak/>
        <w:t>Vlada se je seznanila s pripravo ZPIZ</w:t>
      </w:r>
    </w:p>
    <w:p w14:paraId="43762286" w14:textId="6618EC3D" w:rsidR="000A4E16" w:rsidRDefault="000A4E16" w:rsidP="000A4E16">
      <w:r>
        <w:t xml:space="preserve">Vlada Republike Slovenije se je danes seznanila s pripravo predloga zakona o spremembah in dopolnitvah Zakona o pokojninskem in invalidskem zavarovanju, ki ga bo jutri na seji obravnaval tudi Ekonomsko-socialni svet.  </w:t>
      </w:r>
    </w:p>
    <w:p w14:paraId="26174094" w14:textId="77777777" w:rsidR="000A4E16" w:rsidRDefault="000A4E16" w:rsidP="000A4E16"/>
    <w:p w14:paraId="651535B2" w14:textId="77777777" w:rsidR="000A4E16" w:rsidRDefault="000A4E16" w:rsidP="000A4E16">
      <w:r>
        <w:t>Spremembe obstoječega sistema pokojninskega in invalidskega zavarovanja v Republiki Sloveniji so potrebne predvsem zaradi prilagoditev sistema staranju prebivalstva, reforma pa je tudi del zavez Republike Slovenije v okviru Načrta za okrevanje in odpornost (NOO).</w:t>
      </w:r>
    </w:p>
    <w:p w14:paraId="79B9D5E3" w14:textId="77777777" w:rsidR="000A4E16" w:rsidRDefault="000A4E16" w:rsidP="000A4E16"/>
    <w:p w14:paraId="694F58B4" w14:textId="77777777" w:rsidR="000A4E16" w:rsidRDefault="000A4E16" w:rsidP="000A4E16">
      <w:r>
        <w:t>V okviru prenove sistema pokojninskega in invalidskega zavarovanja so predlagane celovite rešitve, ki bodo v luči široke družbene razprave in socialnega dialoga pripeljale do pravičnega pokojninskega sistema, pri katerem ne bo potrebe po nenehnih izrednih in pogosto arbitrarnih posegih v sistem.</w:t>
      </w:r>
    </w:p>
    <w:p w14:paraId="240AD951" w14:textId="77777777" w:rsidR="000A4E16" w:rsidRDefault="000A4E16" w:rsidP="000A4E16">
      <w:r>
        <w:t xml:space="preserve">Temeljna cilja predlaganih sprememb sta pripraviti sistem na demografski prehod in izboljšati blaginjo obstoječih in prihodnjih upokojencev. Z zagotovitvijo javnofinančne vzdržnosti sistema in večje preglednosti ter razumljivosti posameznih parametrov (in celotnega pokojninskega sistema) se bo povečalo tudi zaupanje v sistem. Cilj predlaganih sprememb na področju prostovoljnega dodatnega pokojninskega zavarovanja je zvišanje števila vključenih v kolektivno dodatno pokojninsko zavarovanje, ki ga za svoje zaposlene oblikuje delodajalec. </w:t>
      </w:r>
    </w:p>
    <w:p w14:paraId="4F3FCFCB" w14:textId="77777777" w:rsidR="000A4E16" w:rsidRDefault="000A4E16" w:rsidP="000A4E16"/>
    <w:p w14:paraId="599EAD5A" w14:textId="23B232F2" w:rsidR="00B02F91" w:rsidRDefault="000A4E16" w:rsidP="000A4E16">
      <w:r>
        <w:t>Dogovorjene spremembe ne bodo uvedene na hitro, temveč bodo začele veljati po ustreznem prehodnem obdobju, kar bo omogočilo prilagoditev načrtov posameznikov in prilagoditev dela pri izvajalcih sistemov</w:t>
      </w:r>
      <w:r w:rsidR="00085BD7">
        <w:t>,</w:t>
      </w:r>
      <w:r>
        <w:t xml:space="preserve"> ter preprečilo nenadne spremembe v dinamiki upokojevanja.</w:t>
      </w:r>
    </w:p>
    <w:p w14:paraId="16C7B804" w14:textId="77777777" w:rsidR="000A4E16" w:rsidRDefault="000A4E16" w:rsidP="000A4E16">
      <w:pPr>
        <w:pStyle w:val="Vir"/>
      </w:pPr>
      <w:r>
        <w:t>Vir: Ministrstvo za delo, družino, socialne zadeve in enake možnosti</w:t>
      </w:r>
    </w:p>
    <w:p w14:paraId="34797497" w14:textId="098EB1D1" w:rsidR="00AF6549" w:rsidRDefault="00AF6549" w:rsidP="00AF6549">
      <w:pPr>
        <w:pStyle w:val="Naslov2"/>
      </w:pPr>
      <w:r>
        <w:t>Kakovost življenja v Sloveniji – Poročilo o razvoju 2025</w:t>
      </w:r>
    </w:p>
    <w:p w14:paraId="327A9B66" w14:textId="77777777" w:rsidR="00AF6549" w:rsidRDefault="00AF6549" w:rsidP="00AF6549">
      <w:r>
        <w:t>Vlada se je na današnji seji seznanila z dokumentom Kakovost življenja v Sloveniji – Poročilo o razvoju 2025 Urada RS za makroekonomske analize in razvoj (UMAR). UMAR je zadolžen za spremljanje uresničevanja krovne strategije razvoja Slovenije, v vlogi nacionalnega odbora za produktivnost pa podrobneje analizira in daje priporočila za izboljšanje produktivnosti. V preteklih letih je pripravljal dve ločeni, a vsebinsko zelo povezani poročili: Poročilo o razvoju in Poročilo o produktivnosti. Dokument Kakovost življenja v Sloveniji – Poročilo o razvoju 2025 združuje vsebine obeh dosedanjih poročil: vključuje spremljanje napredka na področju gospodarskega, družbenega in okoljskega razvoja, hkrati pa tudi podrobnejšo analizo produktivnosti, ki je eden od pomembnih dolgoročnih dejavnikov za doseganje višje kakovosti življenja.</w:t>
      </w:r>
    </w:p>
    <w:p w14:paraId="6DDA44BA" w14:textId="77777777" w:rsidR="00AF6549" w:rsidRDefault="00AF6549" w:rsidP="00AF6549"/>
    <w:p w14:paraId="24A86A07" w14:textId="49F6FF6F" w:rsidR="00AF6549" w:rsidRDefault="00AF6549" w:rsidP="00AF6549">
      <w:r>
        <w:t>V letošnjem poročilu UMAR ocenjuje, da je kakovost življenja v Sloven</w:t>
      </w:r>
      <w:r w:rsidR="00085BD7">
        <w:t>i</w:t>
      </w:r>
      <w:r>
        <w:t>ji visoka, ob precejšnjem zaostanku pri produktivnosti pa je treba ukrepe ekonomske politike prednostno usmeriti v pospešen prehod v inovacijsko podprto rast in nizkoogljično krožno gospodarstvo ter krepitev ustvarjalne dolgožive družbe in institucionalnega okolja.</w:t>
      </w:r>
    </w:p>
    <w:p w14:paraId="6BF85D71" w14:textId="77777777" w:rsidR="00AF6549" w:rsidRDefault="00AF6549" w:rsidP="00AF6549"/>
    <w:p w14:paraId="32259C28" w14:textId="77777777" w:rsidR="00AF6549" w:rsidRDefault="00AF6549" w:rsidP="00AF6549">
      <w:r>
        <w:t xml:space="preserve">Publikacija Kakovost življenja v Sloveniji – Poročilo o razvoju 2025 bo na voljo na spletni strani UMAR. </w:t>
      </w:r>
    </w:p>
    <w:p w14:paraId="42D417E9" w14:textId="4F214A16" w:rsidR="00AF6549" w:rsidRDefault="00AF6549" w:rsidP="00AF6549">
      <w:pPr>
        <w:pStyle w:val="Vir"/>
      </w:pPr>
      <w:r>
        <w:t>Urad za makroekonomske analize in razvoj</w:t>
      </w:r>
    </w:p>
    <w:p w14:paraId="03A9EAB0" w14:textId="6749B76D" w:rsidR="00FD71C0" w:rsidRDefault="00FD71C0" w:rsidP="00FD71C0">
      <w:pPr>
        <w:pStyle w:val="Naslov2"/>
      </w:pPr>
      <w:r>
        <w:t>Petnajsto poročilo o napredku pri koriščenju sredstev evropske kohezijske politike</w:t>
      </w:r>
    </w:p>
    <w:p w14:paraId="289D2500" w14:textId="77777777" w:rsidR="00FD71C0" w:rsidRDefault="00FD71C0" w:rsidP="00FD71C0">
      <w:r>
        <w:t xml:space="preserve">Vlada Republike Slovenije se je seznanila s 15 poročilom o napredku pri koriščenju sredstev evropske kohezijske politike 2021-2027, ki zajema obdobje od 1. do 31. marca 2025. Ministrstvo za kohezijo in regionalni razvoj (MKRR) je kot organ upravljanja do 31. marca 2025 izdalo za 1,1 milijarde evrov (EU del) odločitev o podpori. V tem obdobju je bilo potrjenih operacij v skupni vrednosti 586,8 mio evrov </w:t>
      </w:r>
      <w:r>
        <w:lastRenderedPageBreak/>
        <w:t>(EU del), izplačil iz proračuna pa 81,7 mio evrov (EU del). Ministrstvo za finance je v vlogi organa za računovodenje do presečnega datuma v Bruselj posredovalo zahtevke za vmesno plačilo v skupni višini 51,8 mio evrov.</w:t>
      </w:r>
    </w:p>
    <w:p w14:paraId="3617A981" w14:textId="2FA13A48" w:rsidR="00FD71C0" w:rsidRDefault="00FD71C0" w:rsidP="00FD71C0">
      <w:pPr>
        <w:pStyle w:val="Vir"/>
      </w:pPr>
      <w:r>
        <w:t>Vir: Ministrstvo za kohezijo in regionalni razvoj</w:t>
      </w:r>
    </w:p>
    <w:p w14:paraId="6554D476" w14:textId="4C6DF527" w:rsidR="00800506" w:rsidRPr="002D588E" w:rsidRDefault="00800506" w:rsidP="002D588E">
      <w:pPr>
        <w:pStyle w:val="Naslov2"/>
      </w:pPr>
      <w:r w:rsidRPr="002D588E">
        <w:t>Vlada prerazporeja sredstva državnega proračuna</w:t>
      </w:r>
    </w:p>
    <w:p w14:paraId="5A9081C9" w14:textId="77777777" w:rsidR="00800506" w:rsidRDefault="00800506" w:rsidP="00800506">
      <w:r>
        <w:t>Vlada je na današnji seji odločila o prerazporeditvah pravic porabe v letošnjem državnem proračunu.</w:t>
      </w:r>
    </w:p>
    <w:p w14:paraId="74CFE225" w14:textId="77777777" w:rsidR="00800506" w:rsidRDefault="00800506" w:rsidP="00800506"/>
    <w:p w14:paraId="6623AC63" w14:textId="77777777" w:rsidR="00800506" w:rsidRDefault="00800506" w:rsidP="00800506">
      <w:r>
        <w:t xml:space="preserve">Ministrstvo za solidarno prihodnost znotraj lastnega finančnega okvirja prerazporeja sredstva v višini 2,7 milijonov evrov, in sicer za namen izplačila stroškov dela javnim zavodom na področju dolgotrajne oskrbe. </w:t>
      </w:r>
    </w:p>
    <w:p w14:paraId="0199310E" w14:textId="77777777" w:rsidR="00800506" w:rsidRDefault="00800506" w:rsidP="00800506"/>
    <w:p w14:paraId="6CFB8674" w14:textId="77777777" w:rsidR="00800506" w:rsidRDefault="00800506" w:rsidP="00800506">
      <w:r>
        <w:t>Ministrstvo za visoko šolstvo, znanost in inovacije pa prerazporeja sredstva znotraj lastnih pravic porabe, in sicer v višini 1,6 milijonov evrov za namen plačila dodatnih stroškov, ki izvirajo iz naslova prenove plačnega sistema v javnem sektorju.</w:t>
      </w:r>
    </w:p>
    <w:p w14:paraId="57A86C87" w14:textId="0861FBF8" w:rsidR="00800506" w:rsidRDefault="00800506" w:rsidP="00800506">
      <w:pPr>
        <w:pStyle w:val="Vir"/>
      </w:pPr>
      <w:r>
        <w:t>Vir: Ministrstvo za finance</w:t>
      </w:r>
    </w:p>
    <w:p w14:paraId="2B96EA45" w14:textId="0F0CAE36" w:rsidR="006522DD" w:rsidRDefault="006522DD" w:rsidP="006522DD">
      <w:pPr>
        <w:pStyle w:val="Naslov2"/>
      </w:pPr>
      <w:r>
        <w:t>V Načrtu razvojnih programov se spremenita vrednost in datum zaključka projekta UKC Maribor Novogradnja infekcijske klinike</w:t>
      </w:r>
    </w:p>
    <w:p w14:paraId="1C525319" w14:textId="77777777" w:rsidR="006522DD" w:rsidRDefault="006522DD" w:rsidP="006522DD">
      <w:r>
        <w:t>Investicijska dokumentacija za projekt novogradnje infekcijske klinike v UKC Maribor je bila posodobljena na podlagi spremenjene projektne dokumentacije (PZI), ki predvideva znatno povečanje površine objekta, števila prostorov in bolniških postelj. Zaradi upoštevanja inflacije na področju gradbenih in inštalacijskih del ter sprememb v virih financiranja se posledično zvišuje tudi skupna vrednost investicije in podaljšuje predviden čas izvedbe.</w:t>
      </w:r>
    </w:p>
    <w:p w14:paraId="1D4A9537" w14:textId="77777777" w:rsidR="006522DD" w:rsidRDefault="006522DD" w:rsidP="006522DD"/>
    <w:p w14:paraId="514B1C1F" w14:textId="77777777" w:rsidR="006522DD" w:rsidRDefault="006522DD" w:rsidP="006522DD">
      <w:r>
        <w:t xml:space="preserve">Ključni razlogi za povišanje vrednosti projekta je povečanje površine objekta iz 13.300 m2 na 18.300 m2, in sicer zaradi 3. kleti (1.830 m2), 6. etaže (1.420 m2) in ostalo povečanje kvadrature (1.750 m2). Skladno s povišano kvadraturo in etažnostjo se poviša tudi količina in strošek medicinske in pohištvene opreme ter stavbnega pohištva. Tudi vrednost opreme se iz prvotnih 15 milijonov evrov poviša na 28 milijonov evrov. </w:t>
      </w:r>
    </w:p>
    <w:p w14:paraId="4982B37E" w14:textId="77777777" w:rsidR="006522DD" w:rsidRDefault="006522DD" w:rsidP="006522DD"/>
    <w:p w14:paraId="362CC7A2" w14:textId="77777777" w:rsidR="006522DD" w:rsidRDefault="006522DD" w:rsidP="006522DD">
      <w:r>
        <w:t xml:space="preserve">Skladno s področno zakonodajo je potrebno v primeru gradnje visoke stavbe zagotavljati tudi požarno varovanje za visoko stavbo, zato je bilo treba tloris celotnega objekta prilagoditi in dodati še dodatno centralno stopniščno jedro in dvigalni jašek, ki omogočata evakuacijo v primeru požara. </w:t>
      </w:r>
    </w:p>
    <w:p w14:paraId="6EF36A0A" w14:textId="77777777" w:rsidR="006522DD" w:rsidRDefault="006522DD" w:rsidP="006522DD"/>
    <w:p w14:paraId="0B37F9D2" w14:textId="74144DBB" w:rsidR="006522DD" w:rsidRDefault="006522DD" w:rsidP="006522DD">
      <w:r>
        <w:t>Prvotna vrednost investicije je določena na podlagi Dokumenta identifikacije investicijskega projekta iz julija 2020 in znaša 54,6 milijonov evrov. Na podlagi Investicijskega programa, ki je izdelana na podlagi projektne naloge, vrednost projekta zdaj znaša 109.476.504,00 evr</w:t>
      </w:r>
      <w:r w:rsidR="00085BD7">
        <w:t>e</w:t>
      </w:r>
      <w:r>
        <w:t xml:space="preserve"> z DDV. </w:t>
      </w:r>
    </w:p>
    <w:p w14:paraId="7D77AE40" w14:textId="77777777" w:rsidR="006522DD" w:rsidRDefault="006522DD" w:rsidP="006522DD"/>
    <w:p w14:paraId="7364B998" w14:textId="77777777" w:rsidR="006522DD" w:rsidRDefault="006522DD" w:rsidP="006522DD">
      <w:r>
        <w:t xml:space="preserve">Čeprav bodo dela predvidoma zaključena do konca decembra leta 2027 se zaključek projekta podaljša v leto 2028 zaradi izvedbe plačil, urejanje dokumentacije in dovoljenj ter primopredaje objekta. Dodatna sredstva za izvedbo del in opreme so zagotovljena iz proračuna. </w:t>
      </w:r>
    </w:p>
    <w:p w14:paraId="0590F831" w14:textId="7A30EF3B" w:rsidR="00A119B7" w:rsidRDefault="006522DD" w:rsidP="006522DD">
      <w:pPr>
        <w:pStyle w:val="Vir"/>
      </w:pPr>
      <w:r>
        <w:t>Vir: Ministrstvo za zdravje</w:t>
      </w:r>
    </w:p>
    <w:p w14:paraId="1D2147BA" w14:textId="6A60E25B" w:rsidR="00DA4C6E" w:rsidRDefault="00DA4C6E" w:rsidP="00DA4C6E">
      <w:pPr>
        <w:pStyle w:val="Naslov2"/>
      </w:pPr>
      <w:r>
        <w:t>Vlada o zahtevi za oceno ustavnosti členov Zakona o finančni upravi</w:t>
      </w:r>
    </w:p>
    <w:p w14:paraId="6C0F3727" w14:textId="77777777" w:rsidR="00DA4C6E" w:rsidRDefault="00DA4C6E" w:rsidP="00DA4C6E">
      <w:r>
        <w:t>Vlada je sprejela Mnenje o zahtevi Okrožnega sodišča v Ljubljani za oceno ustavnosti 14. in 38. člena Zakona o finančni upravi (ZFU). Po vladnem mnenju sta člena v skladu z ustavo.</w:t>
      </w:r>
    </w:p>
    <w:p w14:paraId="1EC3C85C" w14:textId="77777777" w:rsidR="00DA4C6E" w:rsidRDefault="00DA4C6E" w:rsidP="00DA4C6E"/>
    <w:p w14:paraId="104227CB" w14:textId="57EA2831" w:rsidR="00B02F91" w:rsidRDefault="00DA4C6E" w:rsidP="00DA4C6E">
      <w:r>
        <w:t>Vlada meni, da sta 14. in 38. člen ZFU v skladu z ustavo, saj ne omogočata protiustavnega posega v ustavno pravico do varstva tajnosti pisem in drugih občil iz 37. člena ustave, temveč zagotavljata zakonito in sorazmerno izvajanje nalog Finančne uprave Republike Slovenije. Po mnenju vlade je tako zahteva Okrožnega sodišča v Ljubljani neutemeljena, saj izenačuje poštne pošiljke, ki so predmet carinskega nadzora, s pismi in drugimi občili. Takšno razumevanje navedenih členov zakona ni v skladu s pravno ureditvijo in zahtevami carinskih kontrol v EU.</w:t>
      </w:r>
    </w:p>
    <w:p w14:paraId="7D8B3A71" w14:textId="2929C8A5" w:rsidR="00DA4C6E" w:rsidRDefault="00DA4C6E" w:rsidP="00DA4C6E">
      <w:pPr>
        <w:pStyle w:val="Vir"/>
      </w:pPr>
      <w:r w:rsidRPr="00DA4C6E">
        <w:t>Vir: Ministrstvo za finance</w:t>
      </w:r>
    </w:p>
    <w:p w14:paraId="3B3F81B6" w14:textId="72D22D9C" w:rsidR="00A36BCA" w:rsidRDefault="00A36BCA" w:rsidP="00A36BCA">
      <w:pPr>
        <w:pStyle w:val="Naslov2"/>
      </w:pPr>
      <w:r>
        <w:t>Vlada soglaša s predlogi amandmajev k noveli ZFPPIPP-I</w:t>
      </w:r>
    </w:p>
    <w:p w14:paraId="751677A3" w14:textId="77777777" w:rsidR="00A36BCA" w:rsidRDefault="00A36BCA" w:rsidP="00A36BCA">
      <w:r>
        <w:t>Vlada je na današnji seji soglašala s predlogi amandmajev k Predlogu zakona o spremembah in dopolnitvah Zakona o finančnem poslovanju, postopkih zaradi insolventnosti in prisilnem prenehanju (ZFPPIPP-I).</w:t>
      </w:r>
    </w:p>
    <w:p w14:paraId="79F8A2F2" w14:textId="77777777" w:rsidR="00A36BCA" w:rsidRDefault="00A36BCA" w:rsidP="00A36BCA"/>
    <w:p w14:paraId="52900C22" w14:textId="77777777" w:rsidR="00A36BCA" w:rsidRDefault="00A36BCA" w:rsidP="00A36BCA">
      <w:r>
        <w:t>S predlaganimi amandmaji se sledi pripombam Zakonodajno pravne službe Državnega zbora, glede katerih Vlada Republike Slovenije ocenjuje, da so utemeljene.</w:t>
      </w:r>
    </w:p>
    <w:p w14:paraId="7B2E55AE" w14:textId="77777777" w:rsidR="00A36BCA" w:rsidRDefault="00A36BCA" w:rsidP="00A36BCA"/>
    <w:p w14:paraId="3B99F28A" w14:textId="77777777" w:rsidR="00A36BCA" w:rsidRDefault="00A36BCA" w:rsidP="00A36BCA">
      <w:r>
        <w:t>Prav tako se z amandmajem in spremembo k 8. členu sledi glavnemu cilju spremembe 390. člena zakona, po kateri naj se terjatve iz naslova davkov in prispevkov, ki jih mora izplačevalec obračunati ali plačati hkrati in nezavarovane terjatve za plačilo prispevkov, ki so nastale pred začetkom postopka zaradi insolventnosti (drugi odstavek 21. člena ZFPPIPP), obravnavajo pri prednostni razdelitvi in plačilu v okviru postopka osebnega stečaja ter da naj za te terjatve po začetku postopka osebnega stečaja veljajo pravila o prekinitvi in ustavitvi postopkov davčne izvršbe. Za druge prednostne terjatve po 390. členu ZFPPIPP pa se glede na predlagani amandma veljavna ureditev ne spreminja.</w:t>
      </w:r>
    </w:p>
    <w:p w14:paraId="1BFA7B91" w14:textId="77777777" w:rsidR="00A36BCA" w:rsidRDefault="00A36BCA" w:rsidP="00A36BCA"/>
    <w:p w14:paraId="4B292ABD" w14:textId="73631E93" w:rsidR="00A36BCA" w:rsidRDefault="00A36BCA" w:rsidP="00A36BCA">
      <w:r>
        <w:t>Poleg tega amandma predvideva tudi prehodno določbo, ki omogoča ustavitev že začetih postopkov davčnih izvršb, če so ti bili uvedeni pred uveljavitvijo spremembe zakona.</w:t>
      </w:r>
    </w:p>
    <w:p w14:paraId="77C2B152" w14:textId="4CE14437" w:rsidR="00A36BCA" w:rsidRDefault="00A36BCA" w:rsidP="00A36BCA">
      <w:pPr>
        <w:pStyle w:val="Vir"/>
      </w:pPr>
      <w:r w:rsidRPr="00A36BCA">
        <w:t>Vir: Ministrstvo za pravosodje</w:t>
      </w:r>
    </w:p>
    <w:p w14:paraId="19115A80" w14:textId="723975DE" w:rsidR="007B0AF9" w:rsidRDefault="007B0AF9" w:rsidP="007B0AF9">
      <w:pPr>
        <w:pStyle w:val="Naslov2"/>
      </w:pPr>
      <w:r>
        <w:t xml:space="preserve">Vlada potrdila poslovni načrt Družbe za upravljanje javnega potniškega prometa za leto 2025 </w:t>
      </w:r>
    </w:p>
    <w:p w14:paraId="49C9A8A8" w14:textId="77777777" w:rsidR="007B0AF9" w:rsidRDefault="007B0AF9" w:rsidP="007B0AF9">
      <w:r>
        <w:t xml:space="preserve">Vlada je na današnji redni seji kot skupščina Družbe za upravljanje javnega potniškega prometa potrdila poslovni načrt družbe za letošnje leto.  </w:t>
      </w:r>
    </w:p>
    <w:p w14:paraId="58580BCC" w14:textId="77777777" w:rsidR="007B0AF9" w:rsidRDefault="007B0AF9" w:rsidP="007B0AF9">
      <w:r>
        <w:t xml:space="preserve"> </w:t>
      </w:r>
    </w:p>
    <w:p w14:paraId="44C977FC" w14:textId="77777777" w:rsidR="007B0AF9" w:rsidRDefault="007B0AF9" w:rsidP="007B0AF9">
      <w:r>
        <w:t>Poslovni načrt družbe je bil pripravljen na podlagi del in nalog, ki so določene v Zakonu o upravljanju javnega potniškega prometa. Predstavlja zastavljene cilje za razvoj in delovanje družbe. Poleg tega bo družba nadaljevala z upravljanjem avtobusnega in železniškega javnega potniškega prometa v Sloveniji. Planirane aktivnosti bodo temeljile na optimizaciji, integraciji in informatizaciji javnega potniškega prometa.</w:t>
      </w:r>
    </w:p>
    <w:p w14:paraId="5F97A299" w14:textId="000CE773" w:rsidR="007B0AF9" w:rsidRDefault="007B0AF9" w:rsidP="007B0AF9">
      <w:pPr>
        <w:pStyle w:val="Vir"/>
      </w:pPr>
      <w:r>
        <w:t>Vir: Ministrstvo za okolje, podnebje in energijo</w:t>
      </w:r>
    </w:p>
    <w:p w14:paraId="6E972879" w14:textId="666364AA" w:rsidR="00127FDD" w:rsidRDefault="00127FDD" w:rsidP="00127FDD">
      <w:pPr>
        <w:pStyle w:val="Naslov2"/>
      </w:pPr>
      <w:r>
        <w:t>Predlog za postavitev izredne in pooblaščene veleposlanice Republike Slovenije v Republiki Keniji s sedežem v Adis Abebi</w:t>
      </w:r>
    </w:p>
    <w:p w14:paraId="576012C4" w14:textId="77777777" w:rsidR="00127FDD" w:rsidRDefault="00127FDD" w:rsidP="00127FDD">
      <w:r>
        <w:t xml:space="preserve">Vlada Republike Slovenije je po posvetovanju s predsednico Republike Slovenije določila predlog, da se Kristina Radej postavi za izredno in pooblaščeno veleposlanico Republike Slovenije v Republiki Keniji s sedežem v Adis Abebi.  </w:t>
      </w:r>
    </w:p>
    <w:p w14:paraId="1BBCBE06" w14:textId="77777777" w:rsidR="00127FDD" w:rsidRDefault="00127FDD" w:rsidP="00127FDD"/>
    <w:p w14:paraId="32D2B755" w14:textId="77777777" w:rsidR="00127FDD" w:rsidRDefault="00127FDD" w:rsidP="00127FDD">
      <w:r>
        <w:lastRenderedPageBreak/>
        <w:t>V zadnjem času Republika Slovenija širi svojo diplomatsko mrežo na afriški celini. Tako smo leta 2023 v Adis Abebi, Etiopija, ki velja za politično prestolnico Afrike, odprli prvo diplomatsko predstavništvo Republike Slovenije v Podsaharski Afriki. Zaradi geostrateške lege, dobrih poslovnih in letalskih povezav je Adis Abeba primerno izhodišče za krepitev političnih in gospodarskih vezi s številnimi državami v tem delu sveta, ki so vedno bolj aktivno vpete v mednarodne odnose. Nerezidenčno pokrivanje Kenije preko Adis Abebe je smiselno, ker se dvostransko sodelovanje med Kenijo in Slovenijo v zadnjem času krepi, identificirane so bile tudi številne gospodarske priložnosti za sodelovanje med državama. Ministrica za zunanje in evropske zadeve Tanja Fajon je Kenijo obiskala novembra 2024, junija 2025 je načrtovan tudi obisk predsednice Republike Slovenije Nataše Pirc Musar.</w:t>
      </w:r>
    </w:p>
    <w:p w14:paraId="63E7290D" w14:textId="4255A53B" w:rsidR="00A96E0E" w:rsidRDefault="00127FDD" w:rsidP="00127FDD">
      <w:pPr>
        <w:pStyle w:val="Vir"/>
      </w:pPr>
      <w:r>
        <w:t>Vir: Ministrstvo za zunanje in evropske zadeve</w:t>
      </w:r>
    </w:p>
    <w:p w14:paraId="261A8D8F" w14:textId="52B2AB1C" w:rsidR="00127FDD" w:rsidRPr="00127FDD" w:rsidRDefault="00127FDD" w:rsidP="00127FDD">
      <w:pPr>
        <w:pStyle w:val="Naslov2"/>
        <w:rPr>
          <w:rStyle w:val="Naslov2Znak"/>
          <w:b/>
          <w:bCs/>
        </w:rPr>
      </w:pPr>
      <w:r w:rsidRPr="00127FDD">
        <w:t xml:space="preserve">Predlog za odpoklic izrednega in pooblaščenega veleposlanika Republike Slovenije na Irskem </w:t>
      </w:r>
      <w:r w:rsidRPr="00127FDD">
        <w:rPr>
          <w:rStyle w:val="Naslov2Znak"/>
          <w:b/>
          <w:bCs/>
        </w:rPr>
        <w:t>zaradi poteka časa razporeditve v tujini</w:t>
      </w:r>
    </w:p>
    <w:p w14:paraId="4451601C" w14:textId="77777777" w:rsidR="00127FDD" w:rsidRDefault="00127FDD" w:rsidP="00127FDD">
      <w:r>
        <w:t xml:space="preserve">Vlada Republike Slovenije je določila predlog, da se zaradi poteka časa razporeditve v tujini z 31. 5. 2025 z dolžnosti izrednega in pooblaščenega veleposlanika Republike Slovenije v Irski odpokliče mag. Stanislava Vidoviča, ki je bil na položaju veleposlanika od 23. 10. 2020. </w:t>
      </w:r>
    </w:p>
    <w:p w14:paraId="57D2D654" w14:textId="4CF6A15A" w:rsidR="00A96E0E" w:rsidRDefault="00127FDD" w:rsidP="00127FDD">
      <w:pPr>
        <w:pStyle w:val="Vir"/>
      </w:pPr>
      <w:r>
        <w:t>Vir: Ministrstvo za zunanje in evropske zadeve</w:t>
      </w:r>
    </w:p>
    <w:p w14:paraId="6614DBB8" w14:textId="08A74828" w:rsidR="002E0A1B" w:rsidRDefault="002E0A1B" w:rsidP="002E0A1B">
      <w:pPr>
        <w:pStyle w:val="Naslov2"/>
      </w:pPr>
      <w:r>
        <w:t>Vlada imenovala člane sveta javnega zavoda SNG Nova Gorica</w:t>
      </w:r>
    </w:p>
    <w:p w14:paraId="6C881C3D" w14:textId="537187CE" w:rsidR="002E0A1B" w:rsidRDefault="002E0A1B" w:rsidP="002E0A1B">
      <w:r>
        <w:t>Vlada je na današnji seji imenovala štiri predstavnike ustanovitelja v svet javnega zavoda Slovensko narodno gledališče Nova Gorica. Novi člani bodo mandat nastopili s 5. majem 2025, ko se izteče mandat trenutnim članom sveta zavoda. Imenovani so za štiri leta, z možnostjo ponovnega imenovanja. Kot predstavnice in predstavnika ustanovitelja so bili v svet javnega zavoda imenovani Elvira Hasanagić, Katja Jordan, Martina Pavlin in Marjan Zahar.</w:t>
      </w:r>
    </w:p>
    <w:p w14:paraId="057711E7" w14:textId="77777777" w:rsidR="002E0A1B" w:rsidRDefault="002E0A1B" w:rsidP="002E0A1B"/>
    <w:p w14:paraId="53698D22" w14:textId="7DFC4617" w:rsidR="002E0A1B" w:rsidRDefault="002E0A1B" w:rsidP="002E0A1B">
      <w:r>
        <w:t xml:space="preserve">Elvira Hasanagić je diplomirana koncertna in operna pevka ter diplomirana komunikologinja, zaključila je tudi podiplomski študij iz koncertnega petja in gledališča na Visoki šoli za glasbo in gledališče v Münchnu. Deluje kot operna in koncertna pevka in kot ustanoviteljica in umetniški vodja </w:t>
      </w:r>
      <w:proofErr w:type="spellStart"/>
      <w:r>
        <w:t>Stignani</w:t>
      </w:r>
      <w:proofErr w:type="spellEnd"/>
      <w:r>
        <w:t xml:space="preserve"> programov za mlade pevce Imola (Italija). Kot izkušena operna pevka na nacionalnih in mednarodnih odrih ima poglobljeno razumevanje umetniškega procesa, petja in izvedbe na odru, z več kot 18-letnimi izkušnjami sodelovanja z različnimi gledališči in opernimi institucijami temeljito razume delovanje kulturnih zavodov ter izzivov, s katerimi se srečujejo v današnjem kulturnem okolju, tako da dobro pozna tudi področje dela zavoda, poslovanje in upravljanje zavoda. Elviro Hasanagić ministrica predlaga za članico sveta zavoda kot strokovnjakinjo s področja financ, saj je v dolgoletnem sodelovanju z nacionalnimi javnimi zavodi kot tudi z javno kulturno ustanovo </w:t>
      </w:r>
      <w:proofErr w:type="spellStart"/>
      <w:r>
        <w:t>Teatro</w:t>
      </w:r>
      <w:proofErr w:type="spellEnd"/>
      <w:r>
        <w:t xml:space="preserve"> </w:t>
      </w:r>
      <w:proofErr w:type="spellStart"/>
      <w:r>
        <w:t>Ebe</w:t>
      </w:r>
      <w:proofErr w:type="spellEnd"/>
      <w:r>
        <w:t xml:space="preserve"> </w:t>
      </w:r>
      <w:proofErr w:type="spellStart"/>
      <w:r>
        <w:t>Stignani</w:t>
      </w:r>
      <w:proofErr w:type="spellEnd"/>
      <w:r>
        <w:t xml:space="preserve"> v Imoli in vodenjem </w:t>
      </w:r>
      <w:proofErr w:type="spellStart"/>
      <w:r>
        <w:t>Stignani</w:t>
      </w:r>
      <w:proofErr w:type="spellEnd"/>
      <w:r>
        <w:t xml:space="preserve"> programov, kjer je odgovorna za celostno financiranje </w:t>
      </w:r>
      <w:proofErr w:type="spellStart"/>
      <w:r>
        <w:t>preh</w:t>
      </w:r>
      <w:proofErr w:type="spellEnd"/>
      <w:r>
        <w:t xml:space="preserve"> programov, pridobila poglobljena znanja na področju finančnega upravljanja javnega zavoda, kar ji bo, kot članici sveta zavoda, omogočilo vpogled v optimizacijo finančnega poslovanja in iskanje novih virov financiranja. Zaradi svojega bogatega strokovnega znanja, dolgoletnih izkušenj, umetniškega, organizacijskega in finančnega vpogleda v delovanje javne in</w:t>
      </w:r>
      <w:r w:rsidR="00085BD7">
        <w:t>s</w:t>
      </w:r>
      <w:r>
        <w:t>titucije bo Elvira Hasanagić odlično pripomogla k izpolnjevanju nalog sveta zavoda.</w:t>
      </w:r>
    </w:p>
    <w:p w14:paraId="623EFBA8" w14:textId="77777777" w:rsidR="002E0A1B" w:rsidRDefault="002E0A1B" w:rsidP="002E0A1B"/>
    <w:p w14:paraId="3B778634" w14:textId="07088773" w:rsidR="002E0A1B" w:rsidRDefault="002E0A1B" w:rsidP="002E0A1B">
      <w:r>
        <w:t xml:space="preserve">Katja Jordan je univerzitetna diplomirana kulturologinja in socialna antropologinja. Deluje kot direktorica javnega zavoda Kosovelov dom Sežana, pred tem pa je šest let vodila Kulturni dom Postojna, ki je organizacijska enota javnega zavoda Zavod Znanje Postojna. Je poznavalka delovanja in upravljanja javnih zavodov, tako na področju poslovanja, kot tudi na področju financ in pravnih zadev. Katja Jordan je tudi dobra poznavalka področja uprizoritvenih umetnosti, tako z vsebinskega kot produkcijskega vidika, spremlja gledališko produkcijo institucionalnih in neinstitucionalnih </w:t>
      </w:r>
      <w:r>
        <w:lastRenderedPageBreak/>
        <w:t>producentov in kot javni zavod tudi vstopa v koproducentske odnose. Analitično razmišlja o umetnosti in kulturi ter o njunem položaju v sodobnem svetu ter se udeležuje številnih izobraževanj doma in v tujini. Katjo Jordan ministrica predlaga za članico sveta zavoda kot strokovnjakinjo s področja pravnih zadev in poznavalko dela zavoda, saj kot dolgoletna vodja in direktorica javnega zavoda, ki vsebinsko pokriva tudi področje uprizoritvenih umetnosti, odlično pozna zakonodajo in predpise, ki določajo delovanje javnega zavoda ter področje dela zavoda. Zaradi svoje široke razgledanosti, znanj, izkušenj in veščin, vodstvenih izkušenj v javnih zavodih na področju kulture, dobro razvejane mreže kontaktov, pozitivne naravnanosti in odgovornosti bo Katja Jordan odlično pripomogla k izpolnjevanju nalog sveta zavoda.</w:t>
      </w:r>
    </w:p>
    <w:p w14:paraId="4EF68C93" w14:textId="77777777" w:rsidR="002E0A1B" w:rsidRDefault="002E0A1B" w:rsidP="002E0A1B"/>
    <w:p w14:paraId="6806614A" w14:textId="16A83B45" w:rsidR="002E0A1B" w:rsidRDefault="002E0A1B" w:rsidP="002E0A1B">
      <w:r>
        <w:t>Martina Pavlin je univerzitetna diplomirana filozofinja in literarna komparativistka. Deluje kot vodja projektov korporativnega komuniciranja ter projekta Muzej Doblar v hidroelektrarni Doblar. Je strokovnjakinja na področju odnosov z javnostmi in marketinških aktivnosti. V Soških elektrarnah, kjer je zaposlena, ob vodenju vseh aktivnosti odnosov z javnostmi koordinira tudi družbeno odgovorne projektov v podjetju in upravlja proračunska sponzorstva in donacije. Redno spremlja program SNG Nova Gorica. Martino Pavlin ministrica predlaga za članico sveta zavoda kot strokovnjakinjo s področja dela zavoda. S svojimi izkušnjami na področju vodenja projektov in korporativnega komuniciranja, organizacijskimi in komunikacijskimi veščinami ter doslednostjo bo Martina Pavlin odlično pripomogla k izpolnjevanju nalog sveta zavoda.</w:t>
      </w:r>
    </w:p>
    <w:p w14:paraId="1CA7AA3E" w14:textId="77777777" w:rsidR="002E0A1B" w:rsidRDefault="002E0A1B" w:rsidP="002E0A1B"/>
    <w:p w14:paraId="57CF398F" w14:textId="637BBA51" w:rsidR="002E0A1B" w:rsidRDefault="002E0A1B" w:rsidP="002E0A1B">
      <w:r>
        <w:t>Marjan Zahar je diplomiran ekonomist, zaključil je tudi študij na fakulteti za upravo (višji upravni delavec) in študij turističnega managementa ter pridobil tudi pedagoško andragoško izobrazbo. Deloval je kot član uprave Hit d.d. V svoji dolgoletni karieri je deloval v več svetih javnih zavodov, nadzornih svetih in upravnih odborih. Opravljeni ima tudi usposabljanji za člane nadzornih svetov in upravnih odborov družb ter usposabljanje za člane svetov javnih zavodov na področju kulture. Je tudi član aktualnega sveta SNG Nova Gorica. Odlično pozna delo javnih zavodov in svetov zavodov. Redno spremlja program SNG Nova Gorica in tudi v drugih gledaliških institucijah doma in v tujini.</w:t>
      </w:r>
    </w:p>
    <w:p w14:paraId="43E00F72" w14:textId="77777777" w:rsidR="002E0A1B" w:rsidRDefault="002E0A1B" w:rsidP="002E0A1B">
      <w:r>
        <w:t>Marjana Zaharja mestna občina Nova Gorica predlaga za člana sveta zavoda kot strokovnjaka s področja dela zavoda, financ in pravnih zadev. S svojim znanjem, delovnimi izkušnjami, izkušnjami s članstvom v svetih zavodov, upravnih odborov in nadzornih svetih, z odličnim poznavanjem programa zavoda in, kot član aktualnega sveta SNG Nova Gorica, poslovanja zavoda, bo Marjan Zahar odlično pripomogel k izpolnjevanju nalog sveta zavoda.</w:t>
      </w:r>
    </w:p>
    <w:p w14:paraId="090CC70F" w14:textId="77777777" w:rsidR="002E0A1B" w:rsidRDefault="002E0A1B" w:rsidP="002E0A1B"/>
    <w:p w14:paraId="05BD62DB" w14:textId="5F31801D" w:rsidR="002E0A1B" w:rsidRDefault="002E0A1B" w:rsidP="002E0A1B">
      <w:r>
        <w:t>Kandidati so bili izbrani na podlagi javnega poziva in predlogov ministrice za kulturo ter mestne občine Nova Gorica. Vsi imenovani izpolnjujejo pogoje za imenovanje, so podali soglasje in predložili ustrezne izjave.</w:t>
      </w:r>
    </w:p>
    <w:p w14:paraId="477EC552" w14:textId="4D862840" w:rsidR="00A96E0E" w:rsidRDefault="002E0A1B" w:rsidP="002E0A1B">
      <w:pPr>
        <w:pStyle w:val="Vir"/>
      </w:pPr>
      <w:r>
        <w:t>Vir: Ministrstvo za kulturo</w:t>
      </w:r>
    </w:p>
    <w:p w14:paraId="7E0ED2C6" w14:textId="2EFC621C" w:rsidR="00F15582" w:rsidRDefault="00F15582" w:rsidP="00F15582">
      <w:pPr>
        <w:pStyle w:val="Naslov2"/>
      </w:pPr>
      <w:r>
        <w:t>Vlada imenovala člane sveta javnega zavoda SNG Opera in balet Ljubljana</w:t>
      </w:r>
    </w:p>
    <w:p w14:paraId="67D2C794" w14:textId="67B61605" w:rsidR="00F15582" w:rsidRDefault="00F15582" w:rsidP="00F15582">
      <w:r>
        <w:t>Vlada RS je na današnji seji imenovala pet predstavnikov ustanovitelja v svet javnega zavoda Slovensko narodno gledališče Opera in balet Ljubljana. Novi člani bodo mandat nastopili 28. maja 2025, ko se izteče mandat sedanjemu svetu. Mandat traja štiri leta, z možnostjo ponovnega imenovanja. V svet javnega zavoda so imenovani Toni Tovornik, Franco Juri, Anže Perne, Yasmin Martin Vodopivec in Luka Kropivnik.</w:t>
      </w:r>
    </w:p>
    <w:p w14:paraId="1C3F6F01" w14:textId="77777777" w:rsidR="00F15582" w:rsidRDefault="00F15582" w:rsidP="00F15582"/>
    <w:p w14:paraId="489244F7" w14:textId="7DD744F4" w:rsidR="00F15582" w:rsidRDefault="00F15582" w:rsidP="00F15582">
      <w:r>
        <w:t>Toni Tovornik je univerzitetni diplomirani pravnik Pravne fakultete Univerze v Ljubljani. Deloval je kot novinar in avtor pri GV Založbi, založniškemu podjetju d.</w:t>
      </w:r>
      <w:r w:rsidR="00085BD7">
        <w:t xml:space="preserve"> </w:t>
      </w:r>
      <w:r>
        <w:t>o.</w:t>
      </w:r>
      <w:r w:rsidR="00085BD7">
        <w:t xml:space="preserve"> </w:t>
      </w:r>
      <w:r>
        <w:t xml:space="preserve">o., vodil pravne zadeve in bil skrbnik podatkov in vsebin pri IUS Software ter novinar in urednik in redni zunanji sodelavec RTV Slovenija. Trenutno je zaposlen kot generalni sekretar na Ministrstvu za kulturo in koordinira izvajanje nalog med  organizacijskimi enotami ministrstva in organoma v sestavi ter zagotavlja neposredno pomoč pri </w:t>
      </w:r>
      <w:r>
        <w:lastRenderedPageBreak/>
        <w:t>vodenju strokovnih nalog na področju upravljanja s kadrovskimi, finančnimi, informacijskimi in drugimi viri ministrstva. Je član sveta javnega zavoda Narodni muzej Slovenije in ima opravljeno usposabljanje za člane svetov javnih zavodov na področju kulture. Je strokovnjak na pravnem področju, pozna delovanje javnega zavoda SNG Opera in balet Ljubljana.</w:t>
      </w:r>
    </w:p>
    <w:p w14:paraId="2E6C9C23" w14:textId="77777777" w:rsidR="00F15582" w:rsidRDefault="00F15582" w:rsidP="00F15582"/>
    <w:p w14:paraId="17AEAD7B" w14:textId="77777777" w:rsidR="00F15582" w:rsidRDefault="00F15582" w:rsidP="00F15582">
      <w:r>
        <w:t>Franco Juri je leta 1987 diplomiral iz geografije in italijanskega jezika s književnostjo na Filozofski fakulteti. Po končanem študiju se je zaposlil kot profesor na italijanski gimnaziji in Srednji ekonomski šoli v Kopru, nato pa na Filozofski fakulteti kot asistent italijanske književnosti. Leta 1988 je bil ustanovni član Odbora za človekove pravice in Skupine/</w:t>
      </w:r>
      <w:proofErr w:type="spellStart"/>
      <w:r>
        <w:t>Gruppo</w:t>
      </w:r>
      <w:proofErr w:type="spellEnd"/>
      <w:r>
        <w:t xml:space="preserve"> 88. V letih 1990 do 1993 je bil poslanec v državnem zboru, bil je član prve ustavne komisije državnega zbora in vodja delovne skupine državnega zbora za pomoč vojnim beguncem iz nekdanje Jugoslavije. V obdobju 1993–1997 je bil veleposlanik RS v Španiji in na Kubi, v letih od 1997 do 2000 državni sekretar na Ministrstvu za zunanje zadeve. Od leta 2000 je samostojni novinar, publicist, karikaturist, avtor in voditelj TV in radio oddaj. Pred upokojitvijo je bil 12 let direktor Pomorskega muzeja Sergej Mašera v Piranu. Je strokovnjak s področja delovanja javnega zavoda SNG Opera in balet Ljubljana, vrsto let spremlja produkcijo in pozna delovanje ter organizacijo dela javnega zavoda. Kot bivši direktor Pomorskega muzeja Sergej Mašera v Piranu, kjer je kot direktor vodil področje financ, pa je tudi strokovnjak s področja financ</w:t>
      </w:r>
    </w:p>
    <w:p w14:paraId="2341F518" w14:textId="77777777" w:rsidR="00F15582" w:rsidRDefault="00F15582" w:rsidP="00F15582"/>
    <w:p w14:paraId="3464500B" w14:textId="77777777" w:rsidR="00F15582" w:rsidRDefault="00F15582" w:rsidP="00F15582">
      <w:r>
        <w:t xml:space="preserve">Anže Perne je diplomiral iz angleščine na Filozofski fakulteti Univerze v Ljubljani. Trenutno je zaposlen na Gimnaziji Vič, kjer je tudi član sveta javnega zavoda. Ima petnajst let delovnih izkušenj s poučevanjem in vodenjem skupin ter projektov in ima ravnateljski izpit. Je izvedenec za splošno maturo iz angleščine Državnega izpitnega centra, koordinator projektov: Uvajanje inovativnih pristopov v pedagoško in svetovalno delo, Kreativnost 3,0 in Prva zaposlitev na področju VIZ. Deloval je tudi kot mentor šolskih mednarodnih izmenjav na Nizozemskem in bil recenzent učbeniških kompletov Solutions pri Mladinski knjigi. Je reden obiskovalec opernih in baletnih predstav SNG Opera in balet Ljubljana, pozna delovanje javnega zavoda in organizacijo dela. Je strokovnjak s področja javnega zavoda SNG Opera in balet Ljubljana. </w:t>
      </w:r>
    </w:p>
    <w:p w14:paraId="075F83ED" w14:textId="77777777" w:rsidR="00F15582" w:rsidRDefault="00F15582" w:rsidP="00F15582"/>
    <w:p w14:paraId="7654CAF9" w14:textId="197CB330" w:rsidR="00F15582" w:rsidRDefault="00F15582" w:rsidP="00F15582">
      <w:r>
        <w:t xml:space="preserve">Yasmin Martin Vodopivec je diplomirala iz slovanskih jezikov na Univerzi </w:t>
      </w:r>
      <w:proofErr w:type="spellStart"/>
      <w:r>
        <w:t>Complutense</w:t>
      </w:r>
      <w:proofErr w:type="spellEnd"/>
      <w:r>
        <w:t xml:space="preserve"> v Madridu, podiplomski študij pa je končala iz mednarodnega sodelovanja in kulturnega menedžmenta na Univerzi v Barceloni. Od leta 2011 je zaposlena v Mednarodnem grafičnem likovnem centru kot pomočnica direktorice za pravne, finančne in poslovne zadeve. Na Veleposlaništvu Španije v Ljubljani je dve leti vodila kulturni program, dve leti pa je bila producentka v uredništvu za resno glasbo in balet RTV Slovenije. Je članica več strokovnih komisij Mestne občine Ljubljana, za področje kulturnih in kreativnih industrij, intermedijske umetnosti in podpornih kulturnih programov. Pozna delovanje javnega zavoda SNG Opera in balet Ljubljana, saj je kot kustosinja vizualnih umetnosti sodelovala z javnim zavodom in strokovnimi sodelavci. Je strokovnjakinja s področja delovanja javnega zavoda SNG Opera in balet Ljubljana, pozna delovanje in organizacijo javnega zavoda, kot pomočnica direktorice, na področju</w:t>
      </w:r>
      <w:r w:rsidR="00085BD7">
        <w:t>,</w:t>
      </w:r>
      <w:r>
        <w:t xml:space="preserve"> kjer sedaj deluje, pa tudi strokovnjakinja s področja financ.</w:t>
      </w:r>
    </w:p>
    <w:p w14:paraId="2DFBB549" w14:textId="77777777" w:rsidR="00F15582" w:rsidRDefault="00F15582" w:rsidP="00F15582"/>
    <w:p w14:paraId="2C666AB1" w14:textId="77777777" w:rsidR="00F15582" w:rsidRDefault="00F15582" w:rsidP="00F15582">
      <w:r>
        <w:t>Luka Kropivnik je diplomiral iz ruščine in slovenistike na Filozofski fakulteti Univerze v Ljubljani ter na isti fakulteti magistriral iz slovenščine in zgodovine in etnologije in kulturne antropologije. Trenutno je mladi raziskovalec pri ZRC SASZU, Inštitutu za slovensko narodopisje. Dva mandata je sodeloval v svetu javnega zavoda Centralne tehnične knjižnice Univerze v Ljubljani. Leta 2019 je bil zaposlen v službi za odnose z javnostmi Ministrstva za kulturo, leta 2020 pa predstavnik za odnose z javnostmi Ministrstva za javno upravo. Je član upravnega odbora Zveze kulturnih društev Ljubljana, predavatelj in strokovni svetovalec za folklorne skupine pri Javnem skladu Republike Slovenije za kulturne dejavnosti. Vrsto let spremlja produkcijo SNG Opera in balet Ljubljana, pozna delovanje javnega zavoda in organizacijo dela in pozna strateški načrt javnega zavoda. Je strokovnjak s področja delovanja javnega zavoda.</w:t>
      </w:r>
    </w:p>
    <w:p w14:paraId="7017D27A" w14:textId="77777777" w:rsidR="00F15582" w:rsidRDefault="00F15582" w:rsidP="00F15582"/>
    <w:p w14:paraId="5CF28BC7" w14:textId="77777777" w:rsidR="00F15582" w:rsidRDefault="00F15582" w:rsidP="00F15582">
      <w:r>
        <w:lastRenderedPageBreak/>
        <w:t>Vsi imenovani kandidati so bili izbrani na podlagi javnega poziva, so podali soglasje k imenovanju ter izpolnjujejo pogoje za člane sveta javnega zavoda. Imenovanje zagotavlja uravnoteženo strokovno zastopanost s področij, pomembnih za uspešno delovanje javnega zavoda.</w:t>
      </w:r>
    </w:p>
    <w:p w14:paraId="6564AA70" w14:textId="5FE93C10" w:rsidR="00A96E0E" w:rsidRDefault="00F15582" w:rsidP="00F15582">
      <w:pPr>
        <w:pStyle w:val="Vir"/>
      </w:pPr>
      <w:r>
        <w:t>Vir: Ministrstvo za kulturo</w:t>
      </w:r>
    </w:p>
    <w:p w14:paraId="5F57436E" w14:textId="60925CAB" w:rsidR="000F4877" w:rsidRDefault="000F4877" w:rsidP="000F4877">
      <w:pPr>
        <w:pStyle w:val="Naslov2"/>
      </w:pPr>
      <w:r>
        <w:t>Vlada zavrgla zahtevo za izločitev ministra in državnega sekretarja iz odločanja o zadevah v zvezi s kanalom C0</w:t>
      </w:r>
    </w:p>
    <w:p w14:paraId="171B073D" w14:textId="77777777" w:rsidR="000F4877" w:rsidRDefault="000F4877" w:rsidP="000F4877">
      <w:r>
        <w:t>Vlada je sprejela sklep, s katerim je zavrgla zahtevo za izločitev ministra za naravne vire in prostor ter državnega sekretarja istega ministrstva iz postopkov odločanja o pritožbah in drugih upravnih dejanjih, povezanih z izdajo gradbenega dovoljenja za kanal C0. Zahteva je bila vložena z utemeljitvijo domnevne nepristranskosti navedenih funkcionarjev.</w:t>
      </w:r>
    </w:p>
    <w:p w14:paraId="02F16EB4" w14:textId="77777777" w:rsidR="000F4877" w:rsidRDefault="000F4877" w:rsidP="000F4877"/>
    <w:p w14:paraId="0330A412" w14:textId="77777777" w:rsidR="000F4877" w:rsidRDefault="000F4877" w:rsidP="000F4877">
      <w:r>
        <w:t>Pri odločanju je vlada upoštevala, da na Ministrstvu za naravne vire in prostor upravne postopke na drugi stopnji s področja urejanja prostora in graditve objektov vodi Oddelek za graditev. Odločitve v teh zadevah sprejemajo strokovne službe ministrstva samostojno, v skladu z zakonodajo, podzakonskimi akti, predpisi lokalnih skupnosti ter splošnimi akti, izdanimi za izvrševanje javnih pooblastil. Samostojnost in neodvisnost uradnikov sta zagotovljeni z organizacijsko in procesno zakonodajo.</w:t>
      </w:r>
    </w:p>
    <w:p w14:paraId="7C12EE40" w14:textId="77777777" w:rsidR="000F4877" w:rsidRDefault="000F4877" w:rsidP="000F4877"/>
    <w:p w14:paraId="7D4B086D" w14:textId="77777777" w:rsidR="000F4877" w:rsidRDefault="000F4877" w:rsidP="000F4877">
      <w:r>
        <w:t>V obravnavanem primeru ni mogoče govoriti o tem, da bi stranka uveljavljala kakšno svojo procesno pravico, zato o zahtevi vlagatelja ni bilo mogoče odločati kot o upravni zadevi. Ugotovljeno je bilo, da niti minister niti državni sekretar nista osebi, ki bi doslej ali v bodoče konkretno odločali ali opravljali posamezna dejanja v postopku odločanja o pritožbah zoper sklep Upravne enote Ljubljana, št. 351-1721/2023-6224-612 z dne 21. 2. 2025, oziroma v zvezi z vsemi upravnimi dejanji, povezanimi z izdajo gradbenih dovoljenj za kanal C0.</w:t>
      </w:r>
    </w:p>
    <w:p w14:paraId="373EB015" w14:textId="08EFD981" w:rsidR="006A38EF" w:rsidRDefault="000F4877" w:rsidP="000F4877">
      <w:pPr>
        <w:pStyle w:val="Vir"/>
      </w:pPr>
      <w:r>
        <w:t>Vir: Ministrstvo za naravne vire in prostor</w:t>
      </w:r>
    </w:p>
    <w:p w14:paraId="17A50EA1" w14:textId="7B809D55" w:rsidR="00644845" w:rsidRDefault="00644845" w:rsidP="00644845">
      <w:pPr>
        <w:pStyle w:val="Naslov2"/>
      </w:pPr>
      <w:r>
        <w:t xml:space="preserve">Vlada ni dala soglasja k imenovanju prof. dr. Bojana Zalarja za direktorja Univerzitetne psihiatrične klinike Ljubljana </w:t>
      </w:r>
    </w:p>
    <w:p w14:paraId="5C1657B7" w14:textId="77777777" w:rsidR="00C031A4" w:rsidRDefault="00C031A4" w:rsidP="00C031A4">
      <w:pPr>
        <w:pStyle w:val="Vir"/>
      </w:pPr>
      <w:r>
        <w:t xml:space="preserve">Po opravljeni presoji predloga in ob upoštevanju širšega konteksta delovanja zavoda v preteklem mandatnem obdobju Vlada Republike Slovenije soglasja k predlaganemu imenovanju ne daje. </w:t>
      </w:r>
    </w:p>
    <w:p w14:paraId="66A22C60" w14:textId="2A1E00ED" w:rsidR="00C031A4" w:rsidRDefault="00C031A4" w:rsidP="00C031A4">
      <w:pPr>
        <w:pStyle w:val="Vir"/>
      </w:pPr>
      <w:r>
        <w:t>Utemeljitev odločitve temelji na celoviti presoji odgovornosti, ki jo ima ustanovitelj pri zagotavljanju ustreznih pogojev za učinkovito upravljanje in delovanje javnega zdravstvenega zavoda, pri čemer se upoštevajo tako strokovni kot organizacijski vidiki, ki pomembno vplivajo na kakovostno in varno izvajanje javne službe na področju zdravstva.</w:t>
      </w:r>
    </w:p>
    <w:p w14:paraId="23A00C53" w14:textId="2BFA2963" w:rsidR="00C031A4" w:rsidRDefault="00C031A4" w:rsidP="00C031A4">
      <w:pPr>
        <w:pStyle w:val="Vir"/>
      </w:pPr>
      <w:r>
        <w:t xml:space="preserve">Vlada ocenjuje, da v tem trenutku ni vzpostavljeno zadostno zaupanje v kandidatovo sposobnost, da bi edino psihiatrično bolnišnico na terciarni ravni zdravstvene dejavnosti v državi vodil na način čim manjše medijske izpostavljenosti, saj morajo psihiatrične bolnišnice vzbujati najvišjo stopnjo zaupanja, pri čemer pa dvomi, ki so bili vzpostavljeni v javnosti, lahko vplivajo na zaupanje bolnikov in njihovih svojcev v inštitucijo, kar se predvsem na področju duševnega zdravja ne sme spregledati. </w:t>
      </w:r>
    </w:p>
    <w:p w14:paraId="5F0406F0" w14:textId="48C0DE53" w:rsidR="00C031A4" w:rsidRDefault="00C031A4" w:rsidP="00C031A4">
      <w:pPr>
        <w:pStyle w:val="Vir"/>
      </w:pPr>
      <w:r>
        <w:t xml:space="preserve">Glede na navedeno Vlada Republike Slovenije ne daje soglasja k imenovanju prof. dr. Bojana Zalarja za direktorja javnega zdravstvenega zavoda UPK Ljubljana za mandatno dobo štirih let.  </w:t>
      </w:r>
    </w:p>
    <w:p w14:paraId="69E0DA8C" w14:textId="0EFB6FFD" w:rsidR="00DE1B54" w:rsidRDefault="00644845" w:rsidP="00644845">
      <w:pPr>
        <w:pStyle w:val="Vir"/>
      </w:pPr>
      <w:r>
        <w:t>Vir: Ministrstvo za zdravje</w:t>
      </w:r>
    </w:p>
    <w:sectPr w:rsidR="00DE1B54"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EE57CA"/>
    <w:multiLevelType w:val="multilevel"/>
    <w:tmpl w:val="54E4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D468F"/>
    <w:multiLevelType w:val="hybridMultilevel"/>
    <w:tmpl w:val="9B44EC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CC2E0F"/>
    <w:multiLevelType w:val="hybridMultilevel"/>
    <w:tmpl w:val="46E061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C2603DC"/>
    <w:multiLevelType w:val="hybridMultilevel"/>
    <w:tmpl w:val="B504E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10"/>
  </w:num>
  <w:num w:numId="2" w16cid:durableId="984821814">
    <w:abstractNumId w:val="8"/>
  </w:num>
  <w:num w:numId="3" w16cid:durableId="150218247">
    <w:abstractNumId w:val="0"/>
  </w:num>
  <w:num w:numId="4" w16cid:durableId="1026903286">
    <w:abstractNumId w:val="9"/>
  </w:num>
  <w:num w:numId="5" w16cid:durableId="231817878">
    <w:abstractNumId w:val="4"/>
  </w:num>
  <w:num w:numId="6" w16cid:durableId="2110814889">
    <w:abstractNumId w:val="11"/>
  </w:num>
  <w:num w:numId="7" w16cid:durableId="695153758">
    <w:abstractNumId w:val="5"/>
  </w:num>
  <w:num w:numId="8" w16cid:durableId="853298866">
    <w:abstractNumId w:val="7"/>
  </w:num>
  <w:num w:numId="9" w16cid:durableId="1789348953">
    <w:abstractNumId w:val="3"/>
  </w:num>
  <w:num w:numId="10" w16cid:durableId="1082802076">
    <w:abstractNumId w:val="12"/>
  </w:num>
  <w:num w:numId="11" w16cid:durableId="438523938">
    <w:abstractNumId w:val="1"/>
  </w:num>
  <w:num w:numId="12" w16cid:durableId="160043479">
    <w:abstractNumId w:val="2"/>
  </w:num>
  <w:num w:numId="13" w16cid:durableId="1578175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60724"/>
    <w:rsid w:val="00076DF7"/>
    <w:rsid w:val="00085BD7"/>
    <w:rsid w:val="00085D04"/>
    <w:rsid w:val="00087069"/>
    <w:rsid w:val="00097B85"/>
    <w:rsid w:val="000A4E16"/>
    <w:rsid w:val="000A790B"/>
    <w:rsid w:val="000D5520"/>
    <w:rsid w:val="000E0657"/>
    <w:rsid w:val="000F349E"/>
    <w:rsid w:val="000F4877"/>
    <w:rsid w:val="00110B8F"/>
    <w:rsid w:val="00112955"/>
    <w:rsid w:val="00123BF7"/>
    <w:rsid w:val="00127FDD"/>
    <w:rsid w:val="0013016C"/>
    <w:rsid w:val="001602C9"/>
    <w:rsid w:val="0016530C"/>
    <w:rsid w:val="001673A5"/>
    <w:rsid w:val="00172BCD"/>
    <w:rsid w:val="00173343"/>
    <w:rsid w:val="00182ED5"/>
    <w:rsid w:val="001929E2"/>
    <w:rsid w:val="001B01DD"/>
    <w:rsid w:val="001B0F1B"/>
    <w:rsid w:val="001B42F9"/>
    <w:rsid w:val="001C3560"/>
    <w:rsid w:val="001F51BC"/>
    <w:rsid w:val="001F7F63"/>
    <w:rsid w:val="00203F5F"/>
    <w:rsid w:val="0020768E"/>
    <w:rsid w:val="00215140"/>
    <w:rsid w:val="00231021"/>
    <w:rsid w:val="002501CE"/>
    <w:rsid w:val="002B12B7"/>
    <w:rsid w:val="002D588E"/>
    <w:rsid w:val="002E0A1B"/>
    <w:rsid w:val="00316CCE"/>
    <w:rsid w:val="0032428F"/>
    <w:rsid w:val="00346E22"/>
    <w:rsid w:val="00351E1E"/>
    <w:rsid w:val="00357DC0"/>
    <w:rsid w:val="00361255"/>
    <w:rsid w:val="00381018"/>
    <w:rsid w:val="003847C8"/>
    <w:rsid w:val="003877EB"/>
    <w:rsid w:val="00390DF7"/>
    <w:rsid w:val="00391317"/>
    <w:rsid w:val="0039662C"/>
    <w:rsid w:val="003D64D8"/>
    <w:rsid w:val="003E17B6"/>
    <w:rsid w:val="003E6170"/>
    <w:rsid w:val="003F4CC5"/>
    <w:rsid w:val="00415527"/>
    <w:rsid w:val="00415B1D"/>
    <w:rsid w:val="004263C9"/>
    <w:rsid w:val="004271D4"/>
    <w:rsid w:val="00432937"/>
    <w:rsid w:val="004403EC"/>
    <w:rsid w:val="00447B57"/>
    <w:rsid w:val="00460370"/>
    <w:rsid w:val="00491BD0"/>
    <w:rsid w:val="004A7CAD"/>
    <w:rsid w:val="004B4753"/>
    <w:rsid w:val="004B7346"/>
    <w:rsid w:val="004F6809"/>
    <w:rsid w:val="00522637"/>
    <w:rsid w:val="00527867"/>
    <w:rsid w:val="00527AA5"/>
    <w:rsid w:val="005314D7"/>
    <w:rsid w:val="005515BD"/>
    <w:rsid w:val="0059143B"/>
    <w:rsid w:val="005A570D"/>
    <w:rsid w:val="005B5886"/>
    <w:rsid w:val="005C1523"/>
    <w:rsid w:val="005E1ABB"/>
    <w:rsid w:val="00614FFD"/>
    <w:rsid w:val="00625831"/>
    <w:rsid w:val="006274BB"/>
    <w:rsid w:val="00634EFA"/>
    <w:rsid w:val="00644845"/>
    <w:rsid w:val="006522DD"/>
    <w:rsid w:val="0066249C"/>
    <w:rsid w:val="0067375D"/>
    <w:rsid w:val="006A38EF"/>
    <w:rsid w:val="006C1B31"/>
    <w:rsid w:val="0070324C"/>
    <w:rsid w:val="007130E1"/>
    <w:rsid w:val="00717E59"/>
    <w:rsid w:val="0073796B"/>
    <w:rsid w:val="00742B16"/>
    <w:rsid w:val="00750D01"/>
    <w:rsid w:val="007643A0"/>
    <w:rsid w:val="007669A3"/>
    <w:rsid w:val="00781345"/>
    <w:rsid w:val="007A6460"/>
    <w:rsid w:val="007B0ADD"/>
    <w:rsid w:val="007B0AF9"/>
    <w:rsid w:val="007E198F"/>
    <w:rsid w:val="007E4B43"/>
    <w:rsid w:val="007F6EF7"/>
    <w:rsid w:val="00800506"/>
    <w:rsid w:val="00812FAD"/>
    <w:rsid w:val="008244C0"/>
    <w:rsid w:val="0083140E"/>
    <w:rsid w:val="008336E7"/>
    <w:rsid w:val="00847AD3"/>
    <w:rsid w:val="008624E8"/>
    <w:rsid w:val="008B7AF2"/>
    <w:rsid w:val="008D49BD"/>
    <w:rsid w:val="00905C96"/>
    <w:rsid w:val="00915827"/>
    <w:rsid w:val="009174DA"/>
    <w:rsid w:val="00933061"/>
    <w:rsid w:val="00945B27"/>
    <w:rsid w:val="009540E4"/>
    <w:rsid w:val="00974186"/>
    <w:rsid w:val="00983241"/>
    <w:rsid w:val="009900DE"/>
    <w:rsid w:val="009A41AA"/>
    <w:rsid w:val="009C2C98"/>
    <w:rsid w:val="009C2D77"/>
    <w:rsid w:val="009C562E"/>
    <w:rsid w:val="009D10D1"/>
    <w:rsid w:val="009F335F"/>
    <w:rsid w:val="00A06971"/>
    <w:rsid w:val="00A11870"/>
    <w:rsid w:val="00A119B7"/>
    <w:rsid w:val="00A30052"/>
    <w:rsid w:val="00A34FC4"/>
    <w:rsid w:val="00A36BCA"/>
    <w:rsid w:val="00A445DF"/>
    <w:rsid w:val="00A5415F"/>
    <w:rsid w:val="00A5772D"/>
    <w:rsid w:val="00A60A37"/>
    <w:rsid w:val="00A62F63"/>
    <w:rsid w:val="00A67305"/>
    <w:rsid w:val="00A7412B"/>
    <w:rsid w:val="00A96E0E"/>
    <w:rsid w:val="00AB1DC2"/>
    <w:rsid w:val="00AC1532"/>
    <w:rsid w:val="00AC42EB"/>
    <w:rsid w:val="00AD1AFD"/>
    <w:rsid w:val="00AE6CD6"/>
    <w:rsid w:val="00AF6549"/>
    <w:rsid w:val="00B022E5"/>
    <w:rsid w:val="00B02F91"/>
    <w:rsid w:val="00B47F61"/>
    <w:rsid w:val="00B60F58"/>
    <w:rsid w:val="00B70F5B"/>
    <w:rsid w:val="00B753A8"/>
    <w:rsid w:val="00B84862"/>
    <w:rsid w:val="00BA743D"/>
    <w:rsid w:val="00BB1111"/>
    <w:rsid w:val="00BB1518"/>
    <w:rsid w:val="00BB73C0"/>
    <w:rsid w:val="00BE5C43"/>
    <w:rsid w:val="00C031A4"/>
    <w:rsid w:val="00C3152B"/>
    <w:rsid w:val="00C354D9"/>
    <w:rsid w:val="00C365A8"/>
    <w:rsid w:val="00C458C2"/>
    <w:rsid w:val="00C925EA"/>
    <w:rsid w:val="00C97F4A"/>
    <w:rsid w:val="00C97F7B"/>
    <w:rsid w:val="00CA3A76"/>
    <w:rsid w:val="00CA5624"/>
    <w:rsid w:val="00CC3123"/>
    <w:rsid w:val="00CC37B3"/>
    <w:rsid w:val="00D10EB4"/>
    <w:rsid w:val="00D14EEC"/>
    <w:rsid w:val="00D158B5"/>
    <w:rsid w:val="00D50749"/>
    <w:rsid w:val="00D60A92"/>
    <w:rsid w:val="00D650E2"/>
    <w:rsid w:val="00D7373E"/>
    <w:rsid w:val="00D87BA6"/>
    <w:rsid w:val="00D9208E"/>
    <w:rsid w:val="00D92BFE"/>
    <w:rsid w:val="00D95BC6"/>
    <w:rsid w:val="00DA4C6E"/>
    <w:rsid w:val="00DE199D"/>
    <w:rsid w:val="00DE1B54"/>
    <w:rsid w:val="00DE27BA"/>
    <w:rsid w:val="00E02AB3"/>
    <w:rsid w:val="00E14AAE"/>
    <w:rsid w:val="00E2036F"/>
    <w:rsid w:val="00E3507E"/>
    <w:rsid w:val="00E62CE0"/>
    <w:rsid w:val="00E7132A"/>
    <w:rsid w:val="00E83E60"/>
    <w:rsid w:val="00E86C78"/>
    <w:rsid w:val="00E948BD"/>
    <w:rsid w:val="00EC012E"/>
    <w:rsid w:val="00EF5661"/>
    <w:rsid w:val="00F01966"/>
    <w:rsid w:val="00F14E74"/>
    <w:rsid w:val="00F15582"/>
    <w:rsid w:val="00F20884"/>
    <w:rsid w:val="00F21123"/>
    <w:rsid w:val="00F21419"/>
    <w:rsid w:val="00F23144"/>
    <w:rsid w:val="00F24B78"/>
    <w:rsid w:val="00F4496A"/>
    <w:rsid w:val="00F462C7"/>
    <w:rsid w:val="00F7024C"/>
    <w:rsid w:val="00F90EB5"/>
    <w:rsid w:val="00F93A56"/>
    <w:rsid w:val="00FA792D"/>
    <w:rsid w:val="00FC2D38"/>
    <w:rsid w:val="00FD6F18"/>
    <w:rsid w:val="00FD71C0"/>
    <w:rsid w:val="00FD7390"/>
    <w:rsid w:val="00FE56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rsid w:val="001929E2"/>
    <w:rPr>
      <w:color w:val="0000FF"/>
      <w:u w:val="single"/>
    </w:rPr>
  </w:style>
  <w:style w:type="character" w:styleId="Nerazreenaomemba">
    <w:name w:val="Unresolved Mention"/>
    <w:basedOn w:val="Privzetapisavaodstavka"/>
    <w:uiPriority w:val="99"/>
    <w:semiHidden/>
    <w:unhideWhenUsed/>
    <w:rsid w:val="00812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7461">
      <w:bodyDiv w:val="1"/>
      <w:marLeft w:val="0"/>
      <w:marRight w:val="0"/>
      <w:marTop w:val="0"/>
      <w:marBottom w:val="0"/>
      <w:divBdr>
        <w:top w:val="none" w:sz="0" w:space="0" w:color="auto"/>
        <w:left w:val="none" w:sz="0" w:space="0" w:color="auto"/>
        <w:bottom w:val="none" w:sz="0" w:space="0" w:color="auto"/>
        <w:right w:val="none" w:sz="0" w:space="0" w:color="auto"/>
      </w:divBdr>
    </w:div>
    <w:div w:id="678655667">
      <w:bodyDiv w:val="1"/>
      <w:marLeft w:val="0"/>
      <w:marRight w:val="0"/>
      <w:marTop w:val="0"/>
      <w:marBottom w:val="0"/>
      <w:divBdr>
        <w:top w:val="none" w:sz="0" w:space="0" w:color="auto"/>
        <w:left w:val="none" w:sz="0" w:space="0" w:color="auto"/>
        <w:bottom w:val="none" w:sz="0" w:space="0" w:color="auto"/>
        <w:right w:val="none" w:sz="0" w:space="0" w:color="auto"/>
      </w:divBdr>
    </w:div>
    <w:div w:id="1162696241">
      <w:bodyDiv w:val="1"/>
      <w:marLeft w:val="0"/>
      <w:marRight w:val="0"/>
      <w:marTop w:val="0"/>
      <w:marBottom w:val="0"/>
      <w:divBdr>
        <w:top w:val="none" w:sz="0" w:space="0" w:color="auto"/>
        <w:left w:val="none" w:sz="0" w:space="0" w:color="auto"/>
        <w:bottom w:val="none" w:sz="0" w:space="0" w:color="auto"/>
        <w:right w:val="none" w:sz="0" w:space="0" w:color="auto"/>
      </w:divBdr>
    </w:div>
    <w:div w:id="1306470099">
      <w:bodyDiv w:val="1"/>
      <w:marLeft w:val="0"/>
      <w:marRight w:val="0"/>
      <w:marTop w:val="0"/>
      <w:marBottom w:val="0"/>
      <w:divBdr>
        <w:top w:val="none" w:sz="0" w:space="0" w:color="auto"/>
        <w:left w:val="none" w:sz="0" w:space="0" w:color="auto"/>
        <w:bottom w:val="none" w:sz="0" w:space="0" w:color="auto"/>
        <w:right w:val="none" w:sz="0" w:space="0" w:color="auto"/>
      </w:divBdr>
    </w:div>
    <w:div w:id="1799715690">
      <w:bodyDiv w:val="1"/>
      <w:marLeft w:val="0"/>
      <w:marRight w:val="0"/>
      <w:marTop w:val="0"/>
      <w:marBottom w:val="0"/>
      <w:divBdr>
        <w:top w:val="none" w:sz="0" w:space="0" w:color="auto"/>
        <w:left w:val="none" w:sz="0" w:space="0" w:color="auto"/>
        <w:bottom w:val="none" w:sz="0" w:space="0" w:color="auto"/>
        <w:right w:val="none" w:sz="0" w:space="0" w:color="auto"/>
      </w:divBdr>
    </w:div>
    <w:div w:id="20680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o1planet.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3.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54DDD5E-BF2A-42E4-BF83-F29C09BA9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9206</Words>
  <Characters>52476</Characters>
  <Application>Microsoft Office Word</Application>
  <DocSecurity>0</DocSecurity>
  <Lines>437</Lines>
  <Paragraphs>123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2025-04-23T10:13:00Z</dcterms:created>
  <dcterms:modified xsi:type="dcterms:W3CDTF">2025-04-24T13:07:00Z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