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5BEAD6AF" w:rsidR="0073796B" w:rsidRPr="0039662C" w:rsidRDefault="00D10EB4" w:rsidP="0039662C">
      <w:pPr>
        <w:pStyle w:val="Naslov1"/>
      </w:pPr>
      <w:r>
        <w:t>14</w:t>
      </w:r>
      <w:r w:rsidR="008244C0">
        <w:t>9</w:t>
      </w:r>
      <w:r w:rsidR="0073796B" w:rsidRPr="0039662C">
        <w:t>. redna seja Vlade Republike Slovenije</w:t>
      </w:r>
    </w:p>
    <w:p w14:paraId="27F30B92" w14:textId="64F41831" w:rsidR="0073796B" w:rsidRDefault="008244C0" w:rsidP="008B7AF2">
      <w:pPr>
        <w:pStyle w:val="DatumSZJ"/>
      </w:pPr>
      <w:r>
        <w:t>10</w:t>
      </w:r>
      <w:r w:rsidR="00D10EB4">
        <w:t>.</w:t>
      </w:r>
      <w:r w:rsidR="0073796B" w:rsidRPr="008B7AF2">
        <w:t xml:space="preserve"> </w:t>
      </w:r>
      <w:r w:rsidR="00C365A8">
        <w:t xml:space="preserve">april </w:t>
      </w:r>
      <w:r w:rsidR="0073796B" w:rsidRPr="008B7AF2">
        <w:t>202</w:t>
      </w:r>
      <w:r w:rsidR="00F21123">
        <w:t>5</w:t>
      </w:r>
    </w:p>
    <w:p w14:paraId="21AFD414" w14:textId="6E3350D8" w:rsidR="00014C44" w:rsidRDefault="00014C44" w:rsidP="00014C44">
      <w:pPr>
        <w:pStyle w:val="Naslov2"/>
      </w:pPr>
      <w:r>
        <w:t>Sklep o izpolnitvi celoletne obveznosti ravnanja z odpadnimi nagrobnimi svečami za koledarsko leto 2024</w:t>
      </w:r>
    </w:p>
    <w:p w14:paraId="34477846" w14:textId="77777777" w:rsidR="00014C44" w:rsidRDefault="00014C44" w:rsidP="00014C44">
      <w:r>
        <w:t>Vlada je sprejela Sklep o izpolnitvi celoletne obveznosti ravnanja z odpadnimi nagrobnimi svečami za koledarsko leto 2024, ki se objavi v Uradnem listu Republike Slovenije.</w:t>
      </w:r>
    </w:p>
    <w:p w14:paraId="34DDD63E" w14:textId="77777777" w:rsidR="00014C44" w:rsidRDefault="00014C44" w:rsidP="00014C44"/>
    <w:p w14:paraId="3D70E6EF" w14:textId="77777777" w:rsidR="00014C44" w:rsidRDefault="00014C44" w:rsidP="00014C44">
      <w:r>
        <w:t>Za izračun deležev izpolnitve celoletne obveznosti ravnanja z odpadnimi nagrobnimi svečami za koledarsko leto 2024 so uporabljeni podatki o masi nagrobnih sveč, danih v promet od 1. januarja do 31. decembra 2024, na dan 12. marca 2025, za katero je bila obračunana okoljska dajatev za onesnaževanje okolja zaradi nastajanja odpadne embalaže in za katero so zavezanci za plačilo okoljske dajatve v obrazcu za njen obračun navedli, da so vključeni v sistem ravnanja z odpadnimi nagrobnimi svečami pri enem od nosilcev skupnega načrta ravnanja z odpadnimi nagrobnimi svečami.</w:t>
      </w:r>
    </w:p>
    <w:p w14:paraId="2F583392" w14:textId="77777777" w:rsidR="00014C44" w:rsidRDefault="00014C44" w:rsidP="00014C44"/>
    <w:p w14:paraId="65BF2C39" w14:textId="77777777" w:rsidR="00014C44" w:rsidRDefault="00014C44" w:rsidP="00014C44">
      <w:r>
        <w:t>V obdobju od 1. januarja do 31. decembra 2024 je bilo danih v promet 3.610.194,83 kilograma nagrobnih sveč, za katere je bila plačana okoljska dajatev – od tega 268.278,03 kilograma elektronskih nagrobnih sveč (C1) in 3.341.916,80 kilograma nagrobnih sveč, ki svetlobo ustvarjajo z gorenjem vložka (C2) – in za katere so bili zavezanci za plačilo okoljske dajatve vključeni v skupni načrt ravnanja z odpadnimi nagrobnimi svečami pri enem od nosilcev skupnega načrta.</w:t>
      </w:r>
    </w:p>
    <w:p w14:paraId="72106BC8" w14:textId="77777777" w:rsidR="00014C44" w:rsidRDefault="00014C44" w:rsidP="00014C44"/>
    <w:p w14:paraId="7B03D921" w14:textId="77777777" w:rsidR="00014C44" w:rsidRDefault="00014C44" w:rsidP="00014C44">
      <w:r>
        <w:t>Deleži izpolnitve celoletne obveznosti ravnanja z odpadnimi nagrobnimi svečami za koledarsko leto 2024 so:</w:t>
      </w:r>
    </w:p>
    <w:p w14:paraId="5DADC265" w14:textId="5DDA1FDE" w:rsidR="00014C44" w:rsidRDefault="00014C44" w:rsidP="00014C44">
      <w:pPr>
        <w:pStyle w:val="Odstavekseznama"/>
        <w:numPr>
          <w:ilvl w:val="0"/>
          <w:numId w:val="10"/>
        </w:numPr>
      </w:pPr>
      <w:r>
        <w:t xml:space="preserve">za družbo PRONS, d. o. o. </w:t>
      </w:r>
      <w:r>
        <w:tab/>
      </w:r>
      <w:r>
        <w:tab/>
        <w:t>51,23 odstotka,</w:t>
      </w:r>
    </w:p>
    <w:p w14:paraId="6E077CD2" w14:textId="38018D14" w:rsidR="00014C44" w:rsidRDefault="00014C44" w:rsidP="00014C44">
      <w:pPr>
        <w:pStyle w:val="Odstavekseznama"/>
        <w:numPr>
          <w:ilvl w:val="0"/>
          <w:numId w:val="10"/>
        </w:numPr>
      </w:pPr>
      <w:r>
        <w:t xml:space="preserve">za družbo SVEKO, d. o. o. </w:t>
      </w:r>
      <w:r>
        <w:tab/>
      </w:r>
      <w:r>
        <w:tab/>
        <w:t>28,01 odstotka,</w:t>
      </w:r>
    </w:p>
    <w:p w14:paraId="304C8637" w14:textId="5B75B640" w:rsidR="00014C44" w:rsidRDefault="00014C44" w:rsidP="00014C44">
      <w:pPr>
        <w:pStyle w:val="Odstavekseznama"/>
        <w:numPr>
          <w:ilvl w:val="0"/>
          <w:numId w:val="10"/>
        </w:numPr>
      </w:pPr>
      <w:r>
        <w:t xml:space="preserve">za družbo ZEOS, d. o. o. </w:t>
      </w:r>
      <w:r>
        <w:tab/>
      </w:r>
      <w:r>
        <w:tab/>
        <w:t>8,02 odstotka,</w:t>
      </w:r>
    </w:p>
    <w:p w14:paraId="02C5C4A0" w14:textId="1BA58D42" w:rsidR="00014C44" w:rsidRDefault="00014C44" w:rsidP="00014C44">
      <w:pPr>
        <w:pStyle w:val="Odstavekseznama"/>
        <w:numPr>
          <w:ilvl w:val="0"/>
          <w:numId w:val="10"/>
        </w:numPr>
      </w:pPr>
      <w:r>
        <w:t xml:space="preserve">za družbo INTERZERO, d. o. o. </w:t>
      </w:r>
      <w:r>
        <w:tab/>
        <w:t>7,68 odstotka,</w:t>
      </w:r>
    </w:p>
    <w:p w14:paraId="7814DD07" w14:textId="29688FEA" w:rsidR="00014C44" w:rsidRDefault="00014C44" w:rsidP="00014C44">
      <w:pPr>
        <w:pStyle w:val="Odstavekseznama"/>
        <w:numPr>
          <w:ilvl w:val="0"/>
          <w:numId w:val="10"/>
        </w:numPr>
      </w:pPr>
      <w:r>
        <w:t xml:space="preserve">za družbo SINET, d. o. o. </w:t>
      </w:r>
      <w:r>
        <w:tab/>
      </w:r>
      <w:r>
        <w:tab/>
        <w:t>5,06 odstotka.</w:t>
      </w:r>
    </w:p>
    <w:p w14:paraId="4E12F4C6" w14:textId="15E73C77" w:rsidR="006A6F4E" w:rsidRDefault="00014C44" w:rsidP="00014C44">
      <w:pPr>
        <w:pStyle w:val="Vir"/>
      </w:pPr>
      <w:r>
        <w:t>Vir: Ministrstvo za okolje, podnebje in energijo</w:t>
      </w:r>
    </w:p>
    <w:p w14:paraId="3A2DEA3A" w14:textId="55C9B1E0" w:rsidR="00072E69" w:rsidRDefault="00072E69" w:rsidP="00072E69">
      <w:pPr>
        <w:pStyle w:val="Naslov2"/>
      </w:pPr>
      <w:r>
        <w:t>Vlada sprejela sklep o objavi sprememb in dopolnitev Prilog A in B k Sporazumu o mednarodnem cestnem prevozu nevarnega blaga (ADR)</w:t>
      </w:r>
    </w:p>
    <w:p w14:paraId="4E19DAA5" w14:textId="77777777" w:rsidR="00072E69" w:rsidRDefault="00072E69" w:rsidP="00072E69">
      <w:r>
        <w:t xml:space="preserve">Na podlagi Zakona o prevozu nevarnega blaga veljajo za prevoz nevarnega blaga v Republiki Sloveniji zahteve prilog A in B k Sporazumu o mednarodnem cestnem prevozu nevarnega blaga (ADR). Prilogi se zaradi znanstvenega in tehničnega napredka redno spreminjata in dopolnjujeta. </w:t>
      </w:r>
    </w:p>
    <w:p w14:paraId="50E5C2C8" w14:textId="77777777" w:rsidR="00072E69" w:rsidRDefault="00072E69" w:rsidP="00072E69"/>
    <w:p w14:paraId="196E6081" w14:textId="77777777" w:rsidR="00072E69" w:rsidRDefault="00072E69" w:rsidP="00072E69">
      <w:r>
        <w:t xml:space="preserve">Razvoj prevoza nevarnega blaga po cesti je ključni sestavni del evropske prometne politike in zagotavlja pravilno delovanje vseh industrijskih panog, ki proizvajajo ali uporabljajo blago, razvrščeno kot nevarno v skladu z ADR. Namen sprememb je uskladitev ADR z modalnimi predpisi Združenih narodov, vključno z novimi opredelitvami, razvrstitvenimi merili, zahtevami za pakiranje in označevanje ter posodobitvijo veljavnih standardov in tehničnih predpisov. Mednarodne določbe, ki se nanašajo na prevoz nevarnega blaga, se sprejemajo v različnih mednarodnih organizacijah, kot so Ekonomska komisija Združenih narodov za Evropo (UNECE), Medvladna organizacija za mednarodni železniški promet (OTIF) in različni specializirani organi Združenih narodov. Ker morajo biti pravila med seboj združljiva, so organizacije, ki pri tem sodelujejo, razvile kompleksen mednarodni sistem za </w:t>
      </w:r>
      <w:r>
        <w:lastRenderedPageBreak/>
        <w:t xml:space="preserve">usklajevanje in harmonizacijo. Spremembe določb se sprejemajo v dvoletnih ciklih, obravnavane pa so bile sprejet v obdobju 2023–2024. Med pomembnejšimi so:  </w:t>
      </w:r>
    </w:p>
    <w:p w14:paraId="3A78F347" w14:textId="2228EA04" w:rsidR="00072E69" w:rsidRDefault="00072E69" w:rsidP="00072E69">
      <w:pPr>
        <w:pStyle w:val="Odstavekseznama"/>
        <w:numPr>
          <w:ilvl w:val="0"/>
          <w:numId w:val="19"/>
        </w:numPr>
      </w:pPr>
      <w:r>
        <w:t>spremenjene zahteve za pakiranje, označevanje in dokumentacijo sistemov za shranjevanje energije,</w:t>
      </w:r>
    </w:p>
    <w:p w14:paraId="4D19D065" w14:textId="7805A40D" w:rsidR="00072E69" w:rsidRDefault="00072E69" w:rsidP="00072E69">
      <w:pPr>
        <w:pStyle w:val="Odstavekseznama"/>
        <w:numPr>
          <w:ilvl w:val="0"/>
          <w:numId w:val="19"/>
        </w:numPr>
      </w:pPr>
      <w:r>
        <w:t>določbe za prevoz električnih vozil,</w:t>
      </w:r>
    </w:p>
    <w:p w14:paraId="725C9837" w14:textId="040DF4B9" w:rsidR="00072E69" w:rsidRDefault="00072E69" w:rsidP="00072E69">
      <w:pPr>
        <w:pStyle w:val="Odstavekseznama"/>
        <w:numPr>
          <w:ilvl w:val="0"/>
          <w:numId w:val="19"/>
        </w:numPr>
      </w:pPr>
      <w:r>
        <w:t>nove UN-številke in dopolnitev seznama nevarnega blaga,</w:t>
      </w:r>
    </w:p>
    <w:p w14:paraId="65487AE7" w14:textId="3B49CECC" w:rsidR="00072E69" w:rsidRDefault="00072E69" w:rsidP="00072E69">
      <w:pPr>
        <w:pStyle w:val="Odstavekseznama"/>
        <w:numPr>
          <w:ilvl w:val="0"/>
          <w:numId w:val="19"/>
        </w:numPr>
      </w:pPr>
      <w:r>
        <w:t>spremenjene zahteve za pakiranje in prevoz (npr. kužnih snovi),</w:t>
      </w:r>
    </w:p>
    <w:p w14:paraId="289FD2C0" w14:textId="3230A3A1" w:rsidR="00072E69" w:rsidRDefault="00072E69" w:rsidP="00072E69">
      <w:pPr>
        <w:pStyle w:val="Odstavekseznama"/>
        <w:numPr>
          <w:ilvl w:val="0"/>
          <w:numId w:val="19"/>
        </w:numPr>
      </w:pPr>
      <w:r>
        <w:t xml:space="preserve">določbe za prevoz odpadnih barv in materialov, ki so onesnaženi z azbestom,  </w:t>
      </w:r>
    </w:p>
    <w:p w14:paraId="1664D9A2" w14:textId="582617C9" w:rsidR="00072E69" w:rsidRDefault="00072E69" w:rsidP="00072E69">
      <w:pPr>
        <w:pStyle w:val="Odstavekseznama"/>
        <w:numPr>
          <w:ilvl w:val="0"/>
          <w:numId w:val="19"/>
        </w:numPr>
      </w:pPr>
      <w:r>
        <w:t>določbe za prevoz raztaljenega aluminija,</w:t>
      </w:r>
    </w:p>
    <w:p w14:paraId="35FDD313" w14:textId="41EDE4D6" w:rsidR="00072E69" w:rsidRDefault="00072E69" w:rsidP="00072E69">
      <w:pPr>
        <w:pStyle w:val="Odstavekseznama"/>
        <w:numPr>
          <w:ilvl w:val="0"/>
          <w:numId w:val="19"/>
        </w:numPr>
      </w:pPr>
      <w:r>
        <w:t>omogočena uporaba vozil na električni pogon za določene prevoze nevarnega blaga (FL vozila) in</w:t>
      </w:r>
    </w:p>
    <w:p w14:paraId="659754B8" w14:textId="429AC639" w:rsidR="00072E69" w:rsidRDefault="00072E69" w:rsidP="00072E69">
      <w:pPr>
        <w:pStyle w:val="Odstavekseznama"/>
        <w:numPr>
          <w:ilvl w:val="0"/>
          <w:numId w:val="19"/>
        </w:numPr>
      </w:pPr>
      <w:r>
        <w:t>spremenjene tehnične zahteve za vozila.</w:t>
      </w:r>
    </w:p>
    <w:p w14:paraId="799A085B" w14:textId="77777777" w:rsidR="00072E69" w:rsidRDefault="00072E69" w:rsidP="00072E69"/>
    <w:p w14:paraId="2400B278" w14:textId="4055E089" w:rsidR="006A6F4E" w:rsidRDefault="00072E69" w:rsidP="00072E69">
      <w:r>
        <w:t>Besedilo sprememb in dopolnitev prilog k ADR je tudi besedilo priloge Delegirane direktive Komisije (EU) 2025/149 z dne 15. novembra 2024 o spremembi prilog k Direktivi 2008/68/ES Evropskega parlamenta in Sveta za upoštevanje znanstvenega in tehničnega napredka (UL L št. 149 z dne 24. 1. 2025, str. 1), ki jo mora Slovenija v nacionalno zakonodajo prenesti do 30. junija 2025.</w:t>
      </w:r>
    </w:p>
    <w:p w14:paraId="71CE0DFE" w14:textId="3702CE5C" w:rsidR="00072E69" w:rsidRDefault="00072E69" w:rsidP="00072E69">
      <w:pPr>
        <w:pStyle w:val="Vir"/>
      </w:pPr>
      <w:r w:rsidRPr="00072E69">
        <w:t>Vir: Ministrstvo za infrastrukturo</w:t>
      </w:r>
    </w:p>
    <w:p w14:paraId="7D709B19" w14:textId="67B1A4BB" w:rsidR="002C430D" w:rsidRDefault="002C430D" w:rsidP="002C430D">
      <w:pPr>
        <w:pStyle w:val="Naslov2"/>
      </w:pPr>
      <w:r>
        <w:t>Odločitev vlade s področja iger na srečo</w:t>
      </w:r>
    </w:p>
    <w:p w14:paraId="3079E29D" w14:textId="77777777" w:rsidR="002C430D" w:rsidRDefault="002C430D" w:rsidP="002C430D">
      <w:r>
        <w:t>Vlada je danes izdala odločbo, s katero je gospodarski družbi Casino Bled odvzela koncesijo za prirejanje posebnih iger na srečo v igralnici Casino Bled.</w:t>
      </w:r>
    </w:p>
    <w:p w14:paraId="4EF771CF" w14:textId="77777777" w:rsidR="002C430D" w:rsidRDefault="002C430D" w:rsidP="002C430D"/>
    <w:p w14:paraId="1AD125F2" w14:textId="05D5E4B3" w:rsidR="006A6F4E" w:rsidRDefault="002C430D" w:rsidP="002C430D">
      <w:r>
        <w:t>Koncesionar je nadzorni organ predhodno obvestil, da bo prenehal s prirejanjem posebnih iger na srečo v igralnici. Ker je to tudi dejansko storil in prekinil poslovanje v tej igralnici za več kot tri mesece, je nastopil razlog za odvzem koncesije.</w:t>
      </w:r>
    </w:p>
    <w:p w14:paraId="465BBAD7" w14:textId="0778D495" w:rsidR="002C430D" w:rsidRDefault="002C430D" w:rsidP="002C430D">
      <w:pPr>
        <w:pStyle w:val="Vir"/>
      </w:pPr>
      <w:r w:rsidRPr="002C430D">
        <w:t>Vir: Ministrstvo za finance</w:t>
      </w:r>
    </w:p>
    <w:p w14:paraId="5FA2C263" w14:textId="718D0BEC" w:rsidR="00514906" w:rsidRDefault="00514906" w:rsidP="00514906">
      <w:pPr>
        <w:pStyle w:val="Naslov2"/>
      </w:pPr>
      <w:r>
        <w:t>Vlada sprejela Kontingentni načrt za zagotovitev nastanitve in oskrbe povečanega števila prosilcev za mednarodno zaščito in za izvajanje postopkov mednarodne zaščite</w:t>
      </w:r>
    </w:p>
    <w:p w14:paraId="12BC2186" w14:textId="77777777" w:rsidR="00514906" w:rsidRDefault="00514906" w:rsidP="00514906">
      <w:r>
        <w:t>Vlada je sprejela Kontingentni načrt Republike Slovenije za zagotovitev nastanitve in oskrbe povečanega števila prosilcev za mednarodno zaščito in za izvajanje postopkov mednarodne zaščite. Kontingentni načrt je nadgradnja obstoječih kontingentnih načrtov s tega področja, hkrati pa je pripravljen skladno z novimi obveznostmi iz zakonodajnega okvira, vzpostavljenega s Paktom o migracijah in azilu, ki je bil sprejet 14. maja 2024 in se bo začel uporabljati leta 2026. Pripravljen je na podlagi predloge, ki jo je pripravila Agencija Evropske unije za azil (EUAA). Republika Slovenija mora kontingentni načrt predložiti EUAA do 12. aprila 2025.</w:t>
      </w:r>
    </w:p>
    <w:p w14:paraId="565EBDAA" w14:textId="77777777" w:rsidR="00514906" w:rsidRDefault="00514906" w:rsidP="00514906"/>
    <w:p w14:paraId="0B9F0524" w14:textId="77777777" w:rsidR="00514906" w:rsidRDefault="00514906" w:rsidP="00514906">
      <w:r>
        <w:t>Kontingentni načrt določa ukrepe, ki jih je treba sprejeti za zagotovitev ustreznega sprejema prosilcev za mednarodno zaščito v primerih, ko se država članica spopada z nesorazmernim številom prosilcev, vključno z mladoletniki brez spremstva, ko so razpoložljive nastanitvene kapacitete začasno polne ali pa običajno razpoložljive nastanitvene kapacitete začasno niso na voljo zaradi nesorazmernega števila oseb, ki jih je treba nastaniti. Vključuje tudi ukrepe za obravnavo prošenj, torej področje postopkov mednarodne zaščite.</w:t>
      </w:r>
    </w:p>
    <w:p w14:paraId="6E94FC82" w14:textId="77777777" w:rsidR="00514906" w:rsidRDefault="00514906" w:rsidP="00514906"/>
    <w:p w14:paraId="64A7FD89" w14:textId="77777777" w:rsidR="00514906" w:rsidRDefault="00514906" w:rsidP="00514906">
      <w:r>
        <w:t xml:space="preserve">Njegov temeljni namen je, da omogoča hitro, učinkovito, usklajeno in ustrezno odzivanje na novo nastalo situacijo v primeru povečanega prihoda prosilcev. V načrtu so dogovorjeni postopki, pristojni organi, kazalniki, mejne vrednosti ter vsi potrebni ukrepi in vzpostavljeni sistemi možnega odzivanja na </w:t>
      </w:r>
      <w:r>
        <w:lastRenderedPageBreak/>
        <w:t xml:space="preserve">novonastale izredne razmere. Ukrepi, aktivnosti in sodelovanje posameznih organov so opredeljeni glede na različen obseg povečanja števila prosilcev. </w:t>
      </w:r>
    </w:p>
    <w:p w14:paraId="1BB669C8" w14:textId="77777777" w:rsidR="00514906" w:rsidRDefault="00514906" w:rsidP="00514906"/>
    <w:p w14:paraId="4004DE8B" w14:textId="77777777" w:rsidR="00514906" w:rsidRDefault="00514906" w:rsidP="00514906">
      <w:r>
        <w:t>Kontingentni načrt vsebuje štiri različne scenarije: običajni scenarij, scenarij zmernega pritiska, scenarij nesorazmernega pritiska in krizne razmere. Kontingentni načrt aktivira Vlada Republike Slovenije. Republika Slovenija mora Evropsko komisijo in EUAA obvestiti vsakič, ko aktivira kontingentni načrt.</w:t>
      </w:r>
    </w:p>
    <w:p w14:paraId="51FCB72A" w14:textId="15DA5FE1" w:rsidR="006A6F4E" w:rsidRDefault="00514906" w:rsidP="00514906">
      <w:pPr>
        <w:pStyle w:val="Vir"/>
      </w:pPr>
      <w:r>
        <w:t>Vir: Urad vlade za oskrbo in integracijo migrantov</w:t>
      </w:r>
    </w:p>
    <w:p w14:paraId="49FF6F1D" w14:textId="06E96BD3" w:rsidR="000A48D8" w:rsidRDefault="000A48D8" w:rsidP="000A48D8">
      <w:pPr>
        <w:pStyle w:val="Naslov2"/>
      </w:pPr>
      <w:r>
        <w:t>Vlada sprejela Letni program izobraževanja odraslih Republike Slovenije za 2025</w:t>
      </w:r>
    </w:p>
    <w:p w14:paraId="7C2DD238" w14:textId="77777777" w:rsidR="000A48D8" w:rsidRDefault="000A48D8" w:rsidP="000A48D8">
      <w:r>
        <w:t>V skladu z Zakonom o izobraževanju odraslih se izvajanje nacionalnega programa izobraževanja odraslih v Republiki Sloveniji določi z letnim programom, ki ga sprejme vlada in objavi na spletnem mestu državne uprave.</w:t>
      </w:r>
    </w:p>
    <w:p w14:paraId="04E69BF8" w14:textId="77777777" w:rsidR="000A48D8" w:rsidRDefault="000A48D8" w:rsidP="000A48D8"/>
    <w:p w14:paraId="20113FC9" w14:textId="45A65511" w:rsidR="000A48D8" w:rsidRDefault="000A48D8" w:rsidP="000A48D8">
      <w:r>
        <w:t>Letni program izobraževanja odraslih v Republiki Sloveniji za leto 2025 sledi usmeritvam Resolucije o Nacionalnem programu izobraževanja odraslih v Republiki Sloveniji za obdobje 2022–2030 in državnem proračunu za leto 2025.</w:t>
      </w:r>
    </w:p>
    <w:p w14:paraId="50C8BBF0" w14:textId="77777777" w:rsidR="000A48D8" w:rsidRDefault="000A48D8" w:rsidP="000A48D8"/>
    <w:p w14:paraId="3FDECFB0" w14:textId="77777777" w:rsidR="000A48D8" w:rsidRDefault="000A48D8" w:rsidP="000A48D8">
      <w:r>
        <w:t xml:space="preserve">Z letnim programom se po posameznih ministrstvih, vključenih v pripravo, določajo izobraževalni programi  in dejavnosti, ki se bodo izvajali in financirali iz državnega proračuna v letu 2025. Iz državnega proračuna Republike Slovenije se za izvajanje Letnega programa izobraževanja odraslih Republike Slovenije za 2025 zagotovi 116.652.507,04 evra. </w:t>
      </w:r>
    </w:p>
    <w:p w14:paraId="61D2632F" w14:textId="77777777" w:rsidR="000A48D8" w:rsidRDefault="000A48D8" w:rsidP="000A48D8"/>
    <w:p w14:paraId="5F33F084" w14:textId="77777777" w:rsidR="000A48D8" w:rsidRDefault="000A48D8" w:rsidP="000A48D8">
      <w:r>
        <w:t xml:space="preserve">Glede na možne spremembe proračuna za leto 2025 se lahko načrtovana sredstva za letni program še spremenijo. </w:t>
      </w:r>
    </w:p>
    <w:p w14:paraId="43C793BA" w14:textId="7A21B988" w:rsidR="006A6F4E" w:rsidRDefault="000A48D8" w:rsidP="000A48D8">
      <w:pPr>
        <w:pStyle w:val="Vir"/>
      </w:pPr>
      <w:r>
        <w:t>Vir: Ministrstvo za vzgojo in izobraževanje</w:t>
      </w:r>
    </w:p>
    <w:p w14:paraId="450C531F" w14:textId="17BAA9AA" w:rsidR="00833F54" w:rsidRDefault="00833F54" w:rsidP="00833F54">
      <w:pPr>
        <w:pStyle w:val="Naslov2"/>
      </w:pPr>
      <w:r>
        <w:t>Vlada je sprejela spremembe in dopolnitev Načrta vaj v obrambnem sistemu in sistemu varstva pred naravnimi in drugimi nesrečami v letu 2025</w:t>
      </w:r>
    </w:p>
    <w:p w14:paraId="44629A54" w14:textId="77777777" w:rsidR="00833F54" w:rsidRDefault="00833F54" w:rsidP="00833F54">
      <w:r>
        <w:t xml:space="preserve">Vlada Republike Slovenije je 30. januarja 2025 sprejela Načrt vaj v obrambnem sistemu in sistemu varstva pred naravnimi in drugimi nesrečami v letu 2025. Od sprejetja načrta pa so se pojavile potrebe po sodelovanju na novih vajah in po spremembi oziroma dopolnitvi vadbencev na že potrjenih vajah. </w:t>
      </w:r>
    </w:p>
    <w:p w14:paraId="15C75339" w14:textId="77777777" w:rsidR="00833F54" w:rsidRDefault="00833F54" w:rsidP="00833F54"/>
    <w:p w14:paraId="1AD068DB" w14:textId="77777777" w:rsidR="00833F54" w:rsidRDefault="00833F54" w:rsidP="00833F54">
      <w:r>
        <w:t>Dopolnitve Načrta vaj v obrambnem sistemu in sistemu varstva pred naravnimi in drugimi nesrečami v letu 2025 vključujejo dopolnitev vadbencev pri treh vajah taktičnih odzivnih sil na področju protiterorističnega in protihibridnega delovanja (SKOK-1/25, SKOK-2/25, SKOK-3/25), ki bodo potekale v Republiki Sloveniji.</w:t>
      </w:r>
    </w:p>
    <w:p w14:paraId="48536769" w14:textId="77777777" w:rsidR="00833F54" w:rsidRDefault="00833F54" w:rsidP="00833F54"/>
    <w:p w14:paraId="42B2F66B" w14:textId="77777777" w:rsidR="00833F54" w:rsidRDefault="00833F54" w:rsidP="00833F54">
      <w:r>
        <w:t>V Načrt vaj v obrambnem sistemu in sistemu varstva pred naravnimi in drugimi nesrečami v letu 2025 je dodanih sedem novih vaj:</w:t>
      </w:r>
    </w:p>
    <w:p w14:paraId="66A44774" w14:textId="706C9B15" w:rsidR="00833F54" w:rsidRDefault="00833F54" w:rsidP="00833F54">
      <w:pPr>
        <w:pStyle w:val="Odstavekseznama"/>
        <w:numPr>
          <w:ilvl w:val="0"/>
          <w:numId w:val="17"/>
        </w:numPr>
      </w:pPr>
      <w:r>
        <w:t>KIBERNETSKA TRDNJAVA 25 – nacionalna vaja kibernetske obrambe v Republiki Sloveniji;</w:t>
      </w:r>
    </w:p>
    <w:p w14:paraId="47560C26" w14:textId="775E8B97" w:rsidR="00833F54" w:rsidRDefault="00833F54" w:rsidP="00833F54">
      <w:pPr>
        <w:pStyle w:val="Odstavekseznama"/>
        <w:numPr>
          <w:ilvl w:val="0"/>
          <w:numId w:val="17"/>
        </w:numPr>
      </w:pPr>
      <w:r>
        <w:t>CZE SOF Week – združeno usposabljanje posadk zračnih plovil in kontrolorjev združenih ognjev ter enot ognjene podpore (mednarodna vojaška vaja v tujini);</w:t>
      </w:r>
    </w:p>
    <w:p w14:paraId="4B1CF3EE" w14:textId="2A416013" w:rsidR="00833F54" w:rsidRDefault="00833F54" w:rsidP="00833F54">
      <w:pPr>
        <w:pStyle w:val="Odstavekseznama"/>
        <w:numPr>
          <w:ilvl w:val="0"/>
          <w:numId w:val="17"/>
        </w:numPr>
      </w:pPr>
      <w:r>
        <w:t>CAMBRIAN PATROL – taktična vaja izvidniških enot v patruljiranju (mednarodna vojaška vaja v tujini);</w:t>
      </w:r>
    </w:p>
    <w:p w14:paraId="30C6E168" w14:textId="37F9A29C" w:rsidR="00833F54" w:rsidRDefault="00833F54" w:rsidP="00833F54">
      <w:pPr>
        <w:pStyle w:val="Odstavekseznama"/>
        <w:numPr>
          <w:ilvl w:val="0"/>
          <w:numId w:val="17"/>
        </w:numPr>
      </w:pPr>
      <w:r>
        <w:t xml:space="preserve">ARGONAUT – vaja nebojnega reševanja civilistov (mednarodna vojaška vaja v tujini); </w:t>
      </w:r>
    </w:p>
    <w:p w14:paraId="58C2147E" w14:textId="6B322374" w:rsidR="00833F54" w:rsidRDefault="00833F54" w:rsidP="00833F54">
      <w:pPr>
        <w:pStyle w:val="Odstavekseznama"/>
        <w:numPr>
          <w:ilvl w:val="0"/>
          <w:numId w:val="17"/>
        </w:numPr>
      </w:pPr>
      <w:r>
        <w:t>Pre-Hospital Evacuation Treatment Team 2025 – usposabljanje z medicinskega področja (mednarodna vojaška vaja v tujini);</w:t>
      </w:r>
    </w:p>
    <w:p w14:paraId="28990B14" w14:textId="1E4E45B5" w:rsidR="00833F54" w:rsidRDefault="00833F54" w:rsidP="00833F54">
      <w:pPr>
        <w:pStyle w:val="Odstavekseznama"/>
        <w:numPr>
          <w:ilvl w:val="0"/>
          <w:numId w:val="18"/>
        </w:numPr>
      </w:pPr>
      <w:r>
        <w:lastRenderedPageBreak/>
        <w:t>DYNAMIC VICTORY 2025 – skupna zaključna vojaška vaja kandidatov Šole za častnike Slovenske vojske in kadetov Royal Military Academy Sandhurst (RMAS) iz Velike Britanije (mednarodna vojaška vaja v tujini);</w:t>
      </w:r>
    </w:p>
    <w:p w14:paraId="124AC7EC" w14:textId="4652D4E0" w:rsidR="00833F54" w:rsidRDefault="00833F54" w:rsidP="00833F54">
      <w:pPr>
        <w:pStyle w:val="Odstavekseznama"/>
        <w:numPr>
          <w:ilvl w:val="0"/>
          <w:numId w:val="18"/>
        </w:numPr>
      </w:pPr>
      <w:r>
        <w:t>POŽAR V NARAVI – VREMŠČICA 2025 – kombinirana vaja s preverjanjem postopkov ob naravni nesreči (vaja regijskega pomena v Republiki Sloveniji).</w:t>
      </w:r>
    </w:p>
    <w:p w14:paraId="59E4716A" w14:textId="77777777" w:rsidR="00833F54" w:rsidRDefault="00833F54" w:rsidP="00833F54"/>
    <w:p w14:paraId="2BDFD0B1" w14:textId="77777777" w:rsidR="00833F54" w:rsidRDefault="00833F54" w:rsidP="00833F54">
      <w:r>
        <w:t xml:space="preserve">Predvideni stroški za izvedbo dodatno načrtovanih vaj v obrambnem sistemu in sistemu varstva pred naravnimi in drugimi nesrečami v letu 2025 znašajo 127.000 evrov. </w:t>
      </w:r>
    </w:p>
    <w:p w14:paraId="3D68B89F" w14:textId="4455E054" w:rsidR="006A6F4E" w:rsidRDefault="00833F54" w:rsidP="00833F54">
      <w:pPr>
        <w:pStyle w:val="Vir"/>
      </w:pPr>
      <w:r>
        <w:t>Vir: Ministrstvo za obrambo</w:t>
      </w:r>
    </w:p>
    <w:p w14:paraId="757F854C" w14:textId="6BE5ADBE" w:rsidR="006A6F4E" w:rsidRDefault="007F6889" w:rsidP="007F6889">
      <w:pPr>
        <w:pStyle w:val="Naslov2"/>
      </w:pPr>
      <w:r>
        <w:t>S</w:t>
      </w:r>
      <w:r w:rsidR="006A6F4E">
        <w:t>klep o določitvi javnega infrastrukturnega zavoda Akademska in raziskovalna mreža Slovenije kot zavezanca za obvezno organiziranje varovanja</w:t>
      </w:r>
    </w:p>
    <w:p w14:paraId="4CE69E64" w14:textId="265303C2" w:rsidR="007F6889" w:rsidRDefault="007F6889" w:rsidP="007F6889">
      <w:r>
        <w:t>Vlada je sprejela sklep o določitvi javnega infrastrukturnega zavoda Akademska in raziskovalna mreža Slovenije (v nadaljevanju: ARNES) kot zavezanca za obvezno organiziranje varovanja. Na podlagi prvega odstavka 69. člena Zakona o zasebnem varovanju in 3. člena Uredbe o obveznem organiziranem varovanju je Urad Vlade Republike Slovenije za informacijsko varnost predlagal določitev javnega infrastrukturnega zavoda ARNES za zavezanca za obvezno organiziranje varovanja.</w:t>
      </w:r>
    </w:p>
    <w:p w14:paraId="4657538B" w14:textId="77777777" w:rsidR="007F6889" w:rsidRDefault="007F6889" w:rsidP="007F6889"/>
    <w:p w14:paraId="1F2CE6F2" w14:textId="77777777" w:rsidR="007F6889" w:rsidRDefault="007F6889" w:rsidP="007F6889">
      <w:r>
        <w:t>ARNES upravlja zmogljivosti, sisteme in njihove dele, ki so bistveni za vzdrževanje ključnih družbenih funkcij. Med drugim ARNES upravlja internetno vozlišče SIX, na katerem izmenjujejo podatkovni promet vsi večji slovenski operaterji elektronskih komunikacij kot tudi drugi; upravlja z optičnim hrbteničnim omrežjem in agregacijskim točkami, ki omogočajo širokopasovno povezljivost in dostop v globalni internet upravljavcem kritične infrastrukture, javnim zavodom, šolstvu, znanosti in kulturi v Republiki Sloveniji; ter z DNS strežniško infrastrukturo za vrhnjo domeno.si od katere je odvisna dostopnost slovenskega domenskega prostora in delovanje interneta v Sloveniji.</w:t>
      </w:r>
    </w:p>
    <w:p w14:paraId="18A49786" w14:textId="77777777" w:rsidR="007F6889" w:rsidRDefault="007F6889" w:rsidP="007F6889"/>
    <w:p w14:paraId="7D55BFB3" w14:textId="41787945" w:rsidR="007F6889" w:rsidRDefault="007F6889" w:rsidP="007F6889">
      <w:r>
        <w:t>ARNES mora organizirati varovanje pod pogoji in na način, kot je določeno z Uredbo o obveznem organiziranem varovanju, vključno z varovanjem v primeru naravnih in drugih nesreč, v krizi in vojnem stanju. Obveznosti organiziranja varovanja in zaščite obsegajo objekte in prostore, kjer se nahajajo ključna sredstva, ki so bistvena za delovanje storitev in funkcij</w:t>
      </w:r>
      <w:r w:rsidR="00EF702A">
        <w:t>,</w:t>
      </w:r>
      <w:r>
        <w:t xml:space="preserve"> navedenih v prejšnjem odstavku. Z načrtom varovanja mora biti določeno, da se ukrepi po potrebi lahko stopnjujejo glede na stopnjo ogroženosti in se med seboj dopolnjujejo. Pri izvajanju varovanja in zagotavljanju varnosti ARNES sodeluje s pristojnimi državnimi organi, ki so zavezancu dolžni nuditi pomoč v skladu z zakonskimi pooblastili in svojimi pristojnostmi. V primeru naravnih in drugih nesreč, v krizi, izrednem stanju in vojni je potrebno ravnati skladno s predpisi, ki urejajo navedena stanja.</w:t>
      </w:r>
    </w:p>
    <w:p w14:paraId="372452D5" w14:textId="1929C7B3" w:rsidR="007F6889" w:rsidRDefault="007F6889" w:rsidP="007F6889">
      <w:pPr>
        <w:pStyle w:val="Vir"/>
      </w:pPr>
      <w:r>
        <w:t>Vir: Urad za informacijsko varnost</w:t>
      </w:r>
    </w:p>
    <w:p w14:paraId="32294BAC" w14:textId="45B63C43" w:rsidR="00A27F8A" w:rsidRDefault="00A27F8A" w:rsidP="00A27F8A">
      <w:pPr>
        <w:pStyle w:val="Naslov2"/>
      </w:pPr>
      <w:r>
        <w:t>Cene delovodskih in poslovodskih izpitov za leto 2025 ostajajo nespremenjene</w:t>
      </w:r>
    </w:p>
    <w:p w14:paraId="04B28719" w14:textId="77777777" w:rsidR="00A27F8A" w:rsidRDefault="00A27F8A" w:rsidP="00A27F8A">
      <w:r>
        <w:t>Vlada je na današnji seji podala soglasje Gospodarski zbornici Slovenije (GZS) k predlagani ceni storitve za opravljanje delovodskih in poslovodskih izpitov, ki za leto 2025 znaša 1.702,37 evra.</w:t>
      </w:r>
    </w:p>
    <w:p w14:paraId="4FF58F17" w14:textId="77777777" w:rsidR="00A27F8A" w:rsidRDefault="00A27F8A" w:rsidP="00A27F8A"/>
    <w:p w14:paraId="1A7F4A5D" w14:textId="77777777" w:rsidR="00A27F8A" w:rsidRDefault="00A27F8A" w:rsidP="00A27F8A">
      <w:r>
        <w:t>GZS, skladno z Zakonom o poklicnem in strokovnem izobraževanju, o podelitvi javnega pooblastila za izvajanje nalog socialnih partnerjev na področju poklicnega in strokovnega izobraževanja na vseh strokovnih področjih (razen trgovinske dejavnosti), izvaja delovodske in poslovodske izpite za pridobitev nazivov Gradbeni delovodja, Delovodja v elektroenergetiki, Živilski delovodja in Gostinski poslovodja.</w:t>
      </w:r>
    </w:p>
    <w:p w14:paraId="20547F92" w14:textId="77777777" w:rsidR="00A27F8A" w:rsidRDefault="00A27F8A" w:rsidP="00A27F8A"/>
    <w:p w14:paraId="64AEB6D7" w14:textId="77777777" w:rsidR="00A27F8A" w:rsidRDefault="00A27F8A" w:rsidP="00A27F8A">
      <w:r>
        <w:lastRenderedPageBreak/>
        <w:t xml:space="preserve">Na podlagi omenjenega zakona in Pravilnika o delovodskih in poslovodskih izpitih izvajalec poslovodskih izpitov določi izpitne stroške enkrat letno v soglasju z vlado. Tako je GZS za obdobje med 1. januarjem in 31. decembrom 2025 predlagala cene posameznih izpitov enake cenam v letu 2024. Za praktični izpit v delovnem okolju je določena cena 603,17 evra, za strokovno-teoretične izpite 526,85 evra, za poslovno ekonomski izpit in pedagoško andragoški izpit pa 223,81 evra. Vpisnina ob prijavi na izpit znaša 124,73 evra. Skupna cena delovodskih in poslovodskih izpitov v primerjavi s preteklim letom tako ostaja nespremenjena in znaša 1.702,37 evra. </w:t>
      </w:r>
    </w:p>
    <w:p w14:paraId="33637D60" w14:textId="7F815E7F" w:rsidR="006A6F4E" w:rsidRDefault="00A27F8A" w:rsidP="00A27F8A">
      <w:pPr>
        <w:pStyle w:val="Vir"/>
      </w:pPr>
      <w:r>
        <w:t>Vir: Ministrstvo za gospodarstvo, turizem in šport</w:t>
      </w:r>
    </w:p>
    <w:p w14:paraId="7C5C95AA" w14:textId="4FA500DD" w:rsidR="00493A6C" w:rsidRDefault="00493A6C" w:rsidP="00493A6C">
      <w:pPr>
        <w:pStyle w:val="Naslov2"/>
      </w:pPr>
      <w:r>
        <w:t>Vlada se je seznanila s sedemnajstim poročilom o realizaciji ukrepov iz Enotne zbirke ukrepov za boljše zakonodajno in poslovno okolje ter dvig konkurenčnosti</w:t>
      </w:r>
    </w:p>
    <w:p w14:paraId="57C541D6" w14:textId="77777777" w:rsidR="00493A6C" w:rsidRDefault="00493A6C" w:rsidP="00493A6C">
      <w:r>
        <w:t>V poročevalskem obdobju od 1. 1. do 31. 12. 2024 so resorji vsak iz svoje pristojnosti poročali o ukrepih, ki so jih v celoti ali delno realizirali. Ministrstvo za javno upravo je pripravilo skupno poročilo, iz katerega izhaja, da je bilo v preteklem letu izvedenih 26 ukrepov.</w:t>
      </w:r>
    </w:p>
    <w:p w14:paraId="457B844F" w14:textId="77777777" w:rsidR="00493A6C" w:rsidRDefault="00493A6C" w:rsidP="00493A6C"/>
    <w:p w14:paraId="2E8FB52C" w14:textId="77777777" w:rsidR="00493A6C" w:rsidRDefault="00493A6C" w:rsidP="00493A6C">
      <w:r>
        <w:t>V Enotno zbirko ukrepov za boljše zakonodajno in poslovno okolje ter dvig konkurenčnosti je bilo na dan 31. 12. 2024 zajetih 433 ukrepov, od teh je bilo:</w:t>
      </w:r>
    </w:p>
    <w:p w14:paraId="5A263718" w14:textId="77777777" w:rsidR="00493A6C" w:rsidRDefault="00493A6C" w:rsidP="00493A6C">
      <w:r>
        <w:t>- realiziranih 374 ukrepov (86,4 %);</w:t>
      </w:r>
    </w:p>
    <w:p w14:paraId="071C72F5" w14:textId="77777777" w:rsidR="00493A6C" w:rsidRDefault="00493A6C" w:rsidP="00493A6C">
      <w:r>
        <w:t>- delno realiziranih 57 ukrepov (13,2 %);</w:t>
      </w:r>
    </w:p>
    <w:p w14:paraId="6972CF4F" w14:textId="77777777" w:rsidR="00493A6C" w:rsidRDefault="00493A6C" w:rsidP="00493A6C">
      <w:r>
        <w:t>- nerealizirana 2 ukrepa (0,4 %).</w:t>
      </w:r>
    </w:p>
    <w:p w14:paraId="7487ED47" w14:textId="77777777" w:rsidR="00493A6C" w:rsidRDefault="00493A6C" w:rsidP="00493A6C"/>
    <w:p w14:paraId="1833515C" w14:textId="1DA6A5FF" w:rsidR="006A6F4E" w:rsidRDefault="00493A6C" w:rsidP="00493A6C">
      <w:r>
        <w:t>Oblikovanje in realizacija ukrepov za boljše zakonodajno in poslovno okolje ter dvig konkurenčnosti pomembno prispevajo k izvajanju politike boljše zakonodaje in odprave administrativnih ovir. Enotna zbirka ukrepov se stalno dopolnjuje z novimi ukrepi na podlagi predlogov strokovne in širše javnosti ob strinjanju posameznih resorjev, ki so posledično zadolženi za njihovo realizacijo. Število ukrepov, uvrščenih v Enotno zbirko ukrepov, se je tako v primerjavi z lanskim poročilom povečalo za 15. Na novo so bili dodani ukrepi, ki so bili skupaj z ministrstvi oblikovani na podlagi prejetih Zahtev Slovenske obrti in podjetništva 2024 in na podlagi ostalih posredovanih pobud za odpravo administrativnih ovir.</w:t>
      </w:r>
    </w:p>
    <w:p w14:paraId="64D5C735" w14:textId="77777777" w:rsidR="00493A6C" w:rsidRDefault="00493A6C" w:rsidP="00493A6C"/>
    <w:p w14:paraId="7EEB7F45" w14:textId="77777777" w:rsidR="00493A6C" w:rsidRPr="00413AB1" w:rsidRDefault="00493A6C" w:rsidP="00493A6C">
      <w:pPr>
        <w:spacing w:line="240" w:lineRule="auto"/>
        <w:jc w:val="both"/>
        <w:rPr>
          <w:rFonts w:eastAsia="Calibri" w:cs="Arial"/>
          <w:szCs w:val="20"/>
        </w:rPr>
      </w:pPr>
      <w:r w:rsidRPr="00B854CE">
        <w:rPr>
          <w:rFonts w:eastAsia="Calibri" w:cs="Arial"/>
          <w:szCs w:val="20"/>
        </w:rPr>
        <w:t xml:space="preserve">Zainteresirana javnost lahko spremlja napredek realizacije posameznih ukrepov na spletni strani </w:t>
      </w:r>
      <w:hyperlink r:id="rId13" w:history="1">
        <w:r w:rsidRPr="00B854CE">
          <w:rPr>
            <w:rStyle w:val="Hiperpovezava"/>
            <w:rFonts w:eastAsia="Calibri" w:cs="Arial"/>
            <w:color w:val="0070C0"/>
            <w:szCs w:val="20"/>
          </w:rPr>
          <w:t>Enotna zbirka ukrepov</w:t>
        </w:r>
      </w:hyperlink>
      <w:r w:rsidRPr="00B854CE">
        <w:rPr>
          <w:rFonts w:eastAsia="Calibri" w:cs="Arial"/>
          <w:szCs w:val="20"/>
        </w:rPr>
        <w:t>. Vsak ukrep ima opredeljene naloge, odgovorni organ za realizacijo posamezne naloge, rok za realizacijo, vir, sodelujoče organe ter stanje posameznih poročanj.</w:t>
      </w:r>
    </w:p>
    <w:p w14:paraId="761737A7" w14:textId="1B57CD7D" w:rsidR="00493A6C" w:rsidRDefault="00493A6C" w:rsidP="00493A6C">
      <w:pPr>
        <w:pStyle w:val="Vir"/>
      </w:pPr>
      <w:r w:rsidRPr="00493A6C">
        <w:t>Vir: Ministrstvo za javno upravo</w:t>
      </w:r>
    </w:p>
    <w:p w14:paraId="58F70415" w14:textId="7F8FE4A3" w:rsidR="001C38D1" w:rsidRDefault="001C38D1" w:rsidP="001C38D1">
      <w:pPr>
        <w:pStyle w:val="Naslov2"/>
      </w:pPr>
      <w:r>
        <w:t>Vlada se je seznanila s poročilom o delu Odbora za podeljevanje Bloudkovih priznanj za leto 2024</w:t>
      </w:r>
    </w:p>
    <w:p w14:paraId="08463F60" w14:textId="77777777" w:rsidR="001C38D1" w:rsidRDefault="001C38D1" w:rsidP="001C38D1">
      <w:r>
        <w:t>Vlada se je na današnji seji seznanila s poročilom o delu Odbora za podeljevanje Bloudkovih priznanj za leto 2024. Odbor je v tem letu podelil pet Bloudkovih nagrad za vrhunski mednarodni športni dosežek, dve Bloudkovi nagradi za življenjsko delo v športu ter deset Bloudkovih plaket.</w:t>
      </w:r>
    </w:p>
    <w:p w14:paraId="09F9FB61" w14:textId="77777777" w:rsidR="001C38D1" w:rsidRDefault="001C38D1" w:rsidP="001C38D1"/>
    <w:p w14:paraId="562D5FE0" w14:textId="77777777" w:rsidR="001C38D1" w:rsidRDefault="001C38D1" w:rsidP="001C38D1">
      <w:r>
        <w:t>Višina posamezne Bloudkove nagrade za leto 2024 znaša 11.451 evrov, posamezna Bloudkova plaketa pa 3.817 evrov. Skupaj je Ministrstvo za gospodarstvo, turizem in šport za podelitev Bloudkovih priznanj letos namenilo 119.157,20 evra.</w:t>
      </w:r>
    </w:p>
    <w:p w14:paraId="25C3F196" w14:textId="77777777" w:rsidR="001C38D1" w:rsidRDefault="001C38D1" w:rsidP="001C38D1"/>
    <w:p w14:paraId="6917DFD5" w14:textId="77777777" w:rsidR="001C38D1" w:rsidRDefault="001C38D1" w:rsidP="001C38D1">
      <w:r>
        <w:t>Bloudkova priznanja so najvišja državna priznanja na področju športa v Sloveniji. Podeljujejo se za izjemne dosežke in delo na področju športa. Odbor za podeljevanje Bloudkovih priznanj, ki ga je ustanovila vlada, po vsaki podelitvi pripravi letno poročilo o svojem delu.</w:t>
      </w:r>
    </w:p>
    <w:p w14:paraId="53F2CE23" w14:textId="77777777" w:rsidR="001C38D1" w:rsidRDefault="001C38D1" w:rsidP="001C38D1"/>
    <w:p w14:paraId="24DAF3CD" w14:textId="77777777" w:rsidR="001C38D1" w:rsidRDefault="001C38D1" w:rsidP="001C38D1">
      <w:r>
        <w:lastRenderedPageBreak/>
        <w:t xml:space="preserve">Letošnja, že 60. podelitev Bloudkovih priznanj, je potekala v Cankarjevem domu. Na javni razpis je prispelo 62 vlog, izbor prejemnic in prejemnikov je bil izveden na podlagi strokovnih meril. </w:t>
      </w:r>
    </w:p>
    <w:p w14:paraId="7EC7C634" w14:textId="77777777" w:rsidR="001C38D1" w:rsidRDefault="001C38D1" w:rsidP="001C38D1"/>
    <w:p w14:paraId="510BA4B6" w14:textId="77777777" w:rsidR="001C38D1" w:rsidRDefault="001C38D1" w:rsidP="001C38D1">
      <w:r>
        <w:t>Osrednji del slovesnosti je bil posvečen predstavitvi nagrajenk in nagrajencev, poseben poudarek pa je bil namenjen tudi nedavni spremembi Zakona o Bloudkovih priznanjih, ki uvaja avtomatično podelitev Bloudkovih nagrad dobitnikom medalj na največjih mednarodnih tekmovanjih. Med letošnjimi prejemniki Bloudkovih nagrad so tako tudi slovenski olimpijci in paraolimpijci, ki so se s kolajnami vrnili z iger v Parizu 2024.</w:t>
      </w:r>
    </w:p>
    <w:p w14:paraId="332E7B29" w14:textId="05C9F655" w:rsidR="006A6F4E" w:rsidRDefault="001C38D1" w:rsidP="001C38D1">
      <w:pPr>
        <w:pStyle w:val="Vir"/>
      </w:pPr>
      <w:r>
        <w:t>Vir: Ministrstvo za gospodarstvo, turizem in šport</w:t>
      </w:r>
    </w:p>
    <w:p w14:paraId="45CD59B5" w14:textId="1DEEC177" w:rsidR="00940C9B" w:rsidRDefault="00940C9B" w:rsidP="00940C9B">
      <w:pPr>
        <w:pStyle w:val="Naslov2"/>
      </w:pPr>
      <w:r>
        <w:t>Predlog za uvrstitev treh projektov za nadomestila dobaviteljem električne energije za gospodinjstva v veljavni NRP 2025-2028</w:t>
      </w:r>
    </w:p>
    <w:p w14:paraId="389A42DD" w14:textId="77777777" w:rsidR="00940C9B" w:rsidRDefault="00940C9B" w:rsidP="00940C9B">
      <w:r>
        <w:t>Vlada je sprejela sklep, da se v veljavni Načrt razvojnih programov 2025-2028 uvrstijo naslednji projekti:</w:t>
      </w:r>
    </w:p>
    <w:p w14:paraId="1103F221" w14:textId="77777777" w:rsidR="00940C9B" w:rsidRDefault="00940C9B" w:rsidP="00940C9B"/>
    <w:p w14:paraId="5F6C874C" w14:textId="65797463" w:rsidR="00940C9B" w:rsidRDefault="00940C9B" w:rsidP="00940C9B">
      <w:pPr>
        <w:pStyle w:val="Odstavekseznama"/>
        <w:numPr>
          <w:ilvl w:val="0"/>
          <w:numId w:val="11"/>
        </w:numPr>
      </w:pPr>
      <w:r>
        <w:t xml:space="preserve">2570-25-5001 Nadomestilo EE Suncontract – gospodinjstva,  </w:t>
      </w:r>
    </w:p>
    <w:p w14:paraId="618F47FF" w14:textId="4CD244DD" w:rsidR="00940C9B" w:rsidRDefault="00940C9B" w:rsidP="00940C9B">
      <w:pPr>
        <w:pStyle w:val="Odstavekseznama"/>
        <w:numPr>
          <w:ilvl w:val="0"/>
          <w:numId w:val="11"/>
        </w:numPr>
      </w:pPr>
      <w:r>
        <w:t>2570-25-5002 Nadomestilo EE E3 – gospodinjstva in</w:t>
      </w:r>
    </w:p>
    <w:p w14:paraId="50C9F639" w14:textId="60D8331B" w:rsidR="00940C9B" w:rsidRDefault="00940C9B" w:rsidP="00940C9B">
      <w:pPr>
        <w:pStyle w:val="Odstavekseznama"/>
        <w:numPr>
          <w:ilvl w:val="0"/>
          <w:numId w:val="11"/>
        </w:numPr>
      </w:pPr>
      <w:r>
        <w:t>2570-25-5003 Nadomestila EE Petrol – gospodinjstva.</w:t>
      </w:r>
    </w:p>
    <w:p w14:paraId="6EF7DAD2" w14:textId="77777777" w:rsidR="00940C9B" w:rsidRDefault="00940C9B" w:rsidP="00940C9B"/>
    <w:p w14:paraId="35929CA1" w14:textId="77777777" w:rsidR="00940C9B" w:rsidRDefault="00940C9B" w:rsidP="00940C9B">
      <w:r>
        <w:t xml:space="preserve">Energetski zakon v 163. členu določa, da če vlada določi najvišjo ceno električne energije, zemeljskega plina ali toplote iz sistema daljinskega ogrevanja, lahko vlada dobaviteljem oziroma distributerjem toplote, ki bi jim ta ukrep povzročil občutno škodo, določi primerno finančno nadomestilo ali drug ukrep z učinkom primernega nadomestila škode. </w:t>
      </w:r>
    </w:p>
    <w:p w14:paraId="2BF12A65" w14:textId="77777777" w:rsidR="00940C9B" w:rsidRDefault="00940C9B" w:rsidP="00940C9B"/>
    <w:p w14:paraId="548FAD85" w14:textId="70CA2999" w:rsidR="00940C9B" w:rsidRDefault="00940C9B" w:rsidP="00940C9B">
      <w:r>
        <w:t xml:space="preserve">Družba BORZEN, d. o. o. je skladno z Uredbo o določitvi nadomestila dobaviteljem električne energije določena za sprejemanje, pregled vlog in izdajo odločb. Na podlagi izdanih odločb je Ministrstvo za okolje, podnebje in energijo za prvo šestmesečno obdobje izplačalo nadomestilo v tretjem kvartalu leta 2024 v višini 19.869.783,13 evrov. </w:t>
      </w:r>
    </w:p>
    <w:p w14:paraId="2DB69C29" w14:textId="77777777" w:rsidR="00940C9B" w:rsidRDefault="00940C9B" w:rsidP="00940C9B"/>
    <w:p w14:paraId="2700A9C6" w14:textId="51EEA34F" w:rsidR="00940C9B" w:rsidRDefault="00940C9B" w:rsidP="00940C9B">
      <w:r>
        <w:t xml:space="preserve">Skladno z Uredbo o določitvi nadomestila dobaviteljem električne energije je družba BORZEN, d. o. o. za obdobje od julija do oktobra 2024 prejela tri vloge od dobaviteljev električne energije. Po pregledu dokumentacije je družba BORZEN, d. o. o. izdala odločbe, v katerih je določena višina nadomestila za posameznega dobavitelja električne energije za navedeno obdobje. Skupna vrednost nadomestil znaša 12.174.529,67 evrov. Izplačilo bo izvedeno marca oziroma v začetku aprila 2025. </w:t>
      </w:r>
    </w:p>
    <w:p w14:paraId="171EAC93" w14:textId="5F7DDE54" w:rsidR="006A6F4E" w:rsidRDefault="00940C9B" w:rsidP="00940C9B">
      <w:pPr>
        <w:pStyle w:val="Vir"/>
      </w:pPr>
      <w:r>
        <w:t>Vir: Ministrstvo za okolje, podnebje in energijo</w:t>
      </w:r>
    </w:p>
    <w:p w14:paraId="4A52138B" w14:textId="6C5804C9" w:rsidR="00DD7D54" w:rsidRDefault="00DD7D54" w:rsidP="00DD7D54">
      <w:pPr>
        <w:pStyle w:val="Naslov2"/>
      </w:pPr>
      <w:r>
        <w:t>Uvrstitev treh novih projektov v okviru partnerstva Biodiversa+ v Načrt razvojnih programov za obdobje 2025-2028</w:t>
      </w:r>
    </w:p>
    <w:p w14:paraId="7C5A112E" w14:textId="77777777" w:rsidR="00DD7D54" w:rsidRDefault="00DD7D54" w:rsidP="00DD7D54">
      <w:r>
        <w:t>Vlada je sklenila, da se v veljavni Načrt razvojnih programov za obdobje 2025-2028 uvrstijo trije novi projekti: Raziskovanje spodbujanja kakovosti tal, Raziskovanje biodiverzitete kmetijskih zemljišč in Raziskovanje krepitve zdravja z gozdovi. Vsi spadajo v skupino projektov Področje ohranjanja biotske raznovrstnosti, projekt sofinanciranja s področja biodiverzitete – partnerstvo Biodiversa+. V okviru projektov se bo izvajalo financiranje znanstvenoraziskovalnega dela, ki bo financirano s proračunske postavke Programi mednarodnega znanstvenega sodelovanja.</w:t>
      </w:r>
    </w:p>
    <w:p w14:paraId="265210A4" w14:textId="77777777" w:rsidR="00DD7D54" w:rsidRDefault="00DD7D54" w:rsidP="00DD7D54"/>
    <w:p w14:paraId="35553207" w14:textId="77777777" w:rsidR="00DD7D54" w:rsidRDefault="00DD7D54" w:rsidP="00DD7D54">
      <w:r>
        <w:t xml:space="preserve">Namen sofinanciranja izvajanja transnacionalnih raziskovalnih projektov je vzpostavljanje Evropskega raziskovalnega prostora, ki je ključen za doseganje sinergij razpršenih nacionalnih politik in instrumentov financiranja na področju raziskav in inovacij. S sodelovanjem v različnih podpornih </w:t>
      </w:r>
      <w:r>
        <w:lastRenderedPageBreak/>
        <w:t>aktivnostih, bodo tako vzpostavljeni predpogoji za aktivno in polnopravno sodelovanje slovenskih raziskovalnih organizacij in posameznikov v EU kontekstu.</w:t>
      </w:r>
    </w:p>
    <w:p w14:paraId="206D1734" w14:textId="77777777" w:rsidR="00DD7D54" w:rsidRDefault="00DD7D54" w:rsidP="00DD7D54"/>
    <w:p w14:paraId="141FE582" w14:textId="77777777" w:rsidR="00DD7D54" w:rsidRDefault="00DD7D54" w:rsidP="00DD7D54">
      <w:r>
        <w:t>Ministrstvo za visoko šolstvo, znanost in inovacije (v nadaljevanju: MVZI) v okviru 9. Okvirnega programa EU za raziskave in inovacije - Obzorje Evropa sodeluje v sofinanciranem projektu Biodiversa+. Gre za evropsko sofinancirano partnerstvo na področju biotske raznovrstnosti, ki podpira odlične raziskave na tem področju, z učinkom na politiko in družbo. Skupaj sta ga razvila BiodivERsA in Evropska komisija. Cilj partnerstva je povezati znanost, politiko in prakso za transformativne spremembe ter sofinancirati raziskovalne aktivnosti slovenskih prijaviteljev na transnacionalnem raziskovalnem razpisu. Izbrani projekti se bodo sofinancirali v skladu s pogodbo o sofinanciranju, ki jo bo MVZI sklenil s prijavitelji.</w:t>
      </w:r>
    </w:p>
    <w:p w14:paraId="26B467DF" w14:textId="77777777" w:rsidR="00DD7D54" w:rsidRDefault="00DD7D54" w:rsidP="00DD7D54"/>
    <w:p w14:paraId="72019FF7" w14:textId="77777777" w:rsidR="00DD7D54" w:rsidRDefault="00DD7D54" w:rsidP="00DD7D54">
      <w:r>
        <w:t>MVZI je pristopilo k izvedbi transnacionalnega javnega razpisa »Biodiversa+ 2022-2023 Call for Research Proposals on “Improved transnational monitoring of biodiversity and ecosystem change for science and society« Supporting biodiversity and ecosystem protection«. Na podlagi izbornega postopka na transnacionalni ravni je Mednarodni odbor razpisa v sofinanciranje predlagal 34 projektov, med njimi tudi tri projekte s slovenskimi prijavitelji.</w:t>
      </w:r>
    </w:p>
    <w:p w14:paraId="407BB043" w14:textId="4F194F9D" w:rsidR="006A6F4E" w:rsidRDefault="00DD7D54" w:rsidP="00DD7D54">
      <w:pPr>
        <w:pStyle w:val="Vir"/>
      </w:pPr>
      <w:r>
        <w:t>Vir: Ministrstvo za visoko šolstvo, znanost in inovacije</w:t>
      </w:r>
    </w:p>
    <w:p w14:paraId="78550618" w14:textId="4AC1CEC9" w:rsidR="006A6F4E" w:rsidRDefault="00C67CCF" w:rsidP="00C67CCF">
      <w:pPr>
        <w:pStyle w:val="Naslov2"/>
      </w:pPr>
      <w:r w:rsidRPr="00C67CCF">
        <w:t xml:space="preserve">Poročilo o izvedbi </w:t>
      </w:r>
      <w:r>
        <w:t>n</w:t>
      </w:r>
      <w:r w:rsidRPr="00C67CCF">
        <w:t xml:space="preserve">ačrta ukrepov o izvrševanju predpisov na področju uresničevanja pravic italijanske in madžarske narodne skupnosti </w:t>
      </w:r>
    </w:p>
    <w:p w14:paraId="60F6CCCF" w14:textId="77777777" w:rsidR="00C67CCF" w:rsidRDefault="00C67CCF" w:rsidP="00C67CCF">
      <w:r>
        <w:t>Vlada se je na današnji seji seznanila s Poročilom o izvedbi Načrta ukrepov Vlade Republike Slovenije o izvrševanju predpisov na področju uresničevanja pravic italijanske in madžarske narodne skupnosti v Republiki Sloveniji 2021</w:t>
      </w:r>
      <w:r>
        <w:t>2025 za leto 2023 in ga bo poslala v seznanitev Komisiji Državnega zbora za narodni skupnosti.</w:t>
      </w:r>
    </w:p>
    <w:p w14:paraId="771C091F" w14:textId="77777777" w:rsidR="00C67CCF" w:rsidRDefault="00C67CCF" w:rsidP="00C67CCF"/>
    <w:p w14:paraId="0996E7FF" w14:textId="78B60406" w:rsidR="00C67CCF" w:rsidRDefault="00C67CCF" w:rsidP="00C67CCF">
      <w:r>
        <w:t xml:space="preserve">Vlada je na seji 14. 5. 2020 sprejela sklep o ustanovitvi Delovne skupine vlade za pripravo načrta ukrepov Vlade Republike Slovenije o izvrševanju predpisov na področju uresničevanja pravic italijanske in madžarske narodne skupnosti v Republiki Sloveniji in za spremljanje njegovega izvajanja. </w:t>
      </w:r>
    </w:p>
    <w:p w14:paraId="7D4ECD51" w14:textId="77777777" w:rsidR="00C67CCF" w:rsidRDefault="00C67CCF" w:rsidP="00C67CCF"/>
    <w:p w14:paraId="532798A8" w14:textId="7B89F358" w:rsidR="00C67CCF" w:rsidRDefault="00C67CCF" w:rsidP="00C67CCF">
      <w:r>
        <w:t>Delovna skupina vlade je v sodelovanju s predstavnikoma narodnih skupnosti in resornimi ministrstvi pripravila Načrt ukrepov Vlade Republike Slovenije za izvrševanje predpisov na področju uresničevanja pravic italijanske in madžarske narodne skupnosti v Republiki Sloveniji za obdobje 2021–2025, ki ga je vlada sprejela na seji 18. 8. 2021.</w:t>
      </w:r>
    </w:p>
    <w:p w14:paraId="3118452A" w14:textId="77777777" w:rsidR="00C67CCF" w:rsidRDefault="00C67CCF" w:rsidP="00C67CCF"/>
    <w:p w14:paraId="0B2237D3" w14:textId="77777777" w:rsidR="00C67CCF" w:rsidRDefault="00C67CCF" w:rsidP="00C67CCF">
      <w:r>
        <w:t xml:space="preserve">Delovna skupina vlade, ki je zadolžena tudi za spremljanje izvajanja sprejetega načrta ukrepov vlade, je na podlagi poročil pristojnih resorjev pripravila Poročilo o izvedbi Načrta ukrepov Vlade Republike Slovenije o izvrševanju predpisov na področju uresničevanja pravic italijanske in madžarske narodne skupnosti v Republiki Sloveniji 2021–2025 za leto 2023. Poročilo vsebuje poleg uvodnega dela, ukrepe za izboljšanje dosedanjega stanja, poročilo o izvajanju ukrepov ter v zaključku ugotovitve Delovne skupine vlade. </w:t>
      </w:r>
    </w:p>
    <w:p w14:paraId="2420683A" w14:textId="4AB20048" w:rsidR="00C67CCF" w:rsidRDefault="00C67CCF" w:rsidP="00C67CCF">
      <w:pPr>
        <w:pStyle w:val="Vir"/>
      </w:pPr>
      <w:r w:rsidRPr="00C67CCF">
        <w:t>Vir: Urad za narodnosti</w:t>
      </w:r>
    </w:p>
    <w:p w14:paraId="32F76224" w14:textId="62034CE5" w:rsidR="004B5E1C" w:rsidRDefault="004B5E1C" w:rsidP="004B5E1C">
      <w:pPr>
        <w:pStyle w:val="Naslov2"/>
      </w:pPr>
      <w:r>
        <w:t xml:space="preserve">Odgovor Republike Slovenije Evropski komisiji zaradi neizpolnjevanja obveznosti Direktive o storitvah na notranjem trgu v zvezi z določbami Zakona o odvetništvu in Kodeksa odvetniške poklicne etike </w:t>
      </w:r>
    </w:p>
    <w:p w14:paraId="577CBF4A" w14:textId="77777777" w:rsidR="004B5E1C" w:rsidRDefault="004B5E1C" w:rsidP="004B5E1C">
      <w:r>
        <w:t xml:space="preserve">Vlada je sprejela odgovor Republike Slovenije na obrazloženo mnenje Evropske komisije zaradi neizpolnjevanja obveznosti iz evropske direktive o storitvah na notranjem trgu v zvezi z določbami </w:t>
      </w:r>
      <w:r>
        <w:lastRenderedPageBreak/>
        <w:t>Zakona o odvetništvu in Kodeksa odvetniške poklicne etike, ki prepovedujejo komercialno komuniciranje.</w:t>
      </w:r>
    </w:p>
    <w:p w14:paraId="67C36D45" w14:textId="77777777" w:rsidR="004B5E1C" w:rsidRDefault="004B5E1C" w:rsidP="004B5E1C"/>
    <w:p w14:paraId="21FCB1CA" w14:textId="4F43E5C7" w:rsidR="006A6F4E" w:rsidRDefault="004B5E1C" w:rsidP="004B5E1C">
      <w:r>
        <w:t>Vlada v odgovoru Evropski komisiji pojasnjuje, da Ministrstvo za pravosodje že usklajuje slovensko zakonodajo s tem mnenjem Evropske komisije. Zato v sodelovanju z Odvetniško zbornico pripravlja prilagoditev Zakona o odvetništvu ter Kodeksa odvetniške poklicne etike. Na ministrstvu pričakujejo, da bo novela zakona sprejeta pred koncem leta 2025. Po njenem sprejemu bo ustrezno prilagojen tudi Kodeks odvetniške poklicne etike, ki ga sprejme Odvetniška zbornica.</w:t>
      </w:r>
    </w:p>
    <w:p w14:paraId="33BC84A4" w14:textId="77777777" w:rsidR="004B5E1C" w:rsidRDefault="004B5E1C" w:rsidP="004B5E1C">
      <w:pPr>
        <w:pStyle w:val="Vir"/>
      </w:pPr>
      <w:r>
        <w:t>Vir: Ministrstvo za pravosodje</w:t>
      </w:r>
    </w:p>
    <w:p w14:paraId="582A8E24" w14:textId="7AED04FF" w:rsidR="005D3745" w:rsidRDefault="005D3745" w:rsidP="005D3745">
      <w:pPr>
        <w:pStyle w:val="Naslov2"/>
      </w:pPr>
      <w:r>
        <w:t>Vlada sprejela predlog stališča Republike Slovenije do Predloga uredbe Evropskega parlamenta in Sveta o nefinančni statistiki o poslovnih nepremičninah</w:t>
      </w:r>
    </w:p>
    <w:p w14:paraId="3C2A2E35" w14:textId="57C1A107" w:rsidR="005D3745" w:rsidRDefault="005D3745" w:rsidP="005D3745">
      <w:r>
        <w:t xml:space="preserve">Vlada Republike Slovenije je sprejela stališče Republike Slovenije k predlog uredbe Evropskega parlamenta in Sveta o nefinančni statistiki o poslovnih nepremičninah. </w:t>
      </w:r>
    </w:p>
    <w:p w14:paraId="7AE8447C" w14:textId="77777777" w:rsidR="005D3745" w:rsidRDefault="005D3745" w:rsidP="005D3745"/>
    <w:p w14:paraId="393B7F72" w14:textId="77777777" w:rsidR="005D3745" w:rsidRDefault="005D3745" w:rsidP="005D3745">
      <w:r>
        <w:t>Republika Slovenija podpira Predlog uredbe. Ob tem bo Republika Slovenija predlagala razmislek glede preširokih pooblastil, ki so v Predlogu uredbe dodeljena Evropski komisiji za sprejemanje izvedbenih in delegiranih aktov.</w:t>
      </w:r>
    </w:p>
    <w:p w14:paraId="59ACABB0" w14:textId="77777777" w:rsidR="005D3745" w:rsidRDefault="005D3745" w:rsidP="005D3745"/>
    <w:p w14:paraId="3A950A3D" w14:textId="3B983817" w:rsidR="005D3745" w:rsidRDefault="005D3745" w:rsidP="005D3745">
      <w:r>
        <w:t>Uredba bo vzpostavila pravni okvir za nefinančno statistiko o poslovnih nepremičninah, ki še ni zajeta v veljavni zakonodaji EU. Splošni cilj Predloga uredbe je zapolniti vrzeli v nefinančni statistiki o poslovnih nepremičninah, ki je potrebna za makrobonitetne namene na ravni EU in na nacionalni ravni. Ta statistika se bo uporabljala za spremljanje finančne stabilnosti. Poleg tega se bo uporabljala tudi za oblikovanje fiskalnih, monetarnih in makrobonitetnih politik ter za raziskave o nepremičninskih trgih.</w:t>
      </w:r>
    </w:p>
    <w:p w14:paraId="4269BF33" w14:textId="77777777" w:rsidR="005D3745" w:rsidRDefault="005D3745" w:rsidP="005D3745"/>
    <w:p w14:paraId="02B68721" w14:textId="504356E7" w:rsidR="005D3745" w:rsidRDefault="005D3745" w:rsidP="005D3745">
      <w:r>
        <w:t xml:space="preserve">Statistični podatki bodo pridobljeni iz obstoječih administrativnih podatkovnih zbirk in od nepremičninskih organizacij, ki zbirajo ustrezne podatke, ali pa bodo temeljili na statističnih informacijah, ki so bile že pridobljene od podjetij. Gospodinjstva in podjetja bodo torej minimalno ali sploh ne bodo dodatno obremenjena. Predlog ne bo imel znatnih neposrednih gospodarskih, okoljskih ali socialnih učinkov niti ne bo vključeval znatne porabe. Uredba bo zagotovila tudi boljšo podatkovno podporo za oblikovalce politik in druge uporabnike. </w:t>
      </w:r>
    </w:p>
    <w:p w14:paraId="326A9A6B" w14:textId="77777777" w:rsidR="005D3745" w:rsidRDefault="005D3745" w:rsidP="005D3745"/>
    <w:p w14:paraId="2F6A9C9C" w14:textId="77777777" w:rsidR="005D3745" w:rsidRDefault="005D3745" w:rsidP="005D3745">
      <w:r>
        <w:t>Evropska komisija se je pri pripravi Predloga uredbe posvetovala z ustreznimi deležniki.</w:t>
      </w:r>
    </w:p>
    <w:p w14:paraId="55124265" w14:textId="2806D92E" w:rsidR="006A6F4E" w:rsidRDefault="005D3745" w:rsidP="005D3745">
      <w:pPr>
        <w:pStyle w:val="Vir"/>
      </w:pPr>
      <w:r>
        <w:t>Vir: Statistični Urad Republike Slovenije</w:t>
      </w:r>
    </w:p>
    <w:p w14:paraId="5C834118" w14:textId="7FDBE169" w:rsidR="006C21D7" w:rsidRDefault="006C21D7" w:rsidP="006C21D7">
      <w:pPr>
        <w:pStyle w:val="Naslov2"/>
      </w:pPr>
      <w:r>
        <w:t>Sprejet predlog stališča RS do predloga uredbe povezane z informacijskim sistemom za notranji trg</w:t>
      </w:r>
    </w:p>
    <w:p w14:paraId="69E4B4B0" w14:textId="4D5E3BF1" w:rsidR="006C21D7" w:rsidRDefault="006C21D7" w:rsidP="006C21D7">
      <w:r>
        <w:t xml:space="preserve">Vlada je sprejela predlog stališča Republike Slovenije (RS) do Predloga uredbe Evropskega parlamenta in Sveta o javnem vmesniku, povezanem z informacijskim sistemom za notranji trg, za izjavo o napotitvi delavcev in spremembi Uredbe (EU) št. 1024/2012. V predlogu stališča Republika Slovenija pozdravlja prizadevanja za izboljšanje delovanja notranjega trga, vendar kot socialna država poudarja, da predlagani ukrepi ne smejo škodovati pravicam drugih udeležencev na notranjem trgu, zlasti pravicam napotenih delavcev. Skladno z navedenim Republika Slovenija podpira pobude, ki izboljšujejo delovanje notranjega trga, sočasno pa ne posegajo v pravice napotenih delavcev. Republika Slovenija je naklonjena ukrepom, ki bodo okrepili sodelovanje nadzornih organov držav članic v njihovih prizadevanjih za odkrivanje in sankcioniranje kršitev pravic delavcev. </w:t>
      </w:r>
    </w:p>
    <w:p w14:paraId="6AC88B25" w14:textId="77777777" w:rsidR="006C21D7" w:rsidRDefault="006C21D7" w:rsidP="006C21D7"/>
    <w:p w14:paraId="05F4B8E8" w14:textId="332E73CE" w:rsidR="006C21D7" w:rsidRDefault="006C21D7" w:rsidP="006C21D7">
      <w:r>
        <w:lastRenderedPageBreak/>
        <w:t>Evropska komisija s predlogom uredbe, ki določa standardni večjezični obrazec in z digitalizacijo postopka po mnenju vlade učinkovito zasleduje cilj odprave upravnih bremen ter izboljšuje medsebojno sodelovanje nadzornih organov držav članic glede spoštovanja pravic napotenih delavcev. Vlada v mnenju poudarja, da so države članice prijavo čezmejnega opravljanja storitev že v preteklosti prepoznale za ključni instrument nadzora spoštovanja pravic napotenih delavcev in za preprečevanje zlorab ter goljufij in s tem v zvezi uvedle raznovrstne ukrepe, ki so bili prepoznani kot primeri dobrih praks, ki v predlogu uredbe Komisije niso bili upoštevani. V okviru pogajanj si bo RS prizadevala, da bi ustrezne prakse z vidika varstva pravic delavcev vključili v predlog. RS bo v okviru pogajanj zagovarjala rešitve, ki bodo sledile ciljem predloga Uredbe, t.j. izboljšanje delovanja trga dela s sočasno ustrezno zaščito pravic napotenih delavcev. Slovenija pozdravlja prostovoljno naravo predloga uredbe kot tudi možnost kasnejšega pristopa k uporabi javnega vmesnika, kar zagotavlja ustrezno prožnost za države članice glede na že obstoječe nacionalne prakse.</w:t>
      </w:r>
    </w:p>
    <w:p w14:paraId="1F7BB450" w14:textId="256B158B" w:rsidR="006A6F4E" w:rsidRDefault="006C21D7" w:rsidP="006C21D7">
      <w:pPr>
        <w:pStyle w:val="Vir"/>
      </w:pPr>
      <w:r>
        <w:t>Vir: Ministrstvo za delo, družino, socialne zadeve in enake možnosti.</w:t>
      </w:r>
    </w:p>
    <w:p w14:paraId="725CD68F" w14:textId="72407F60" w:rsidR="001C38D1" w:rsidRDefault="001C38D1" w:rsidP="001C38D1">
      <w:pPr>
        <w:pStyle w:val="Naslov2"/>
      </w:pPr>
      <w:r>
        <w:t xml:space="preserve">Predlog stališča Republike Slovenije k časovnemu zamiku za poročanja podjetij o trajnostnosti in vzpostavitev trajnostnega skrbnega pregleda  </w:t>
      </w:r>
    </w:p>
    <w:p w14:paraId="6BE9C837" w14:textId="77777777" w:rsidR="001C38D1" w:rsidRDefault="001C38D1" w:rsidP="001C38D1">
      <w:r>
        <w:t>Republika Slovenija pozdravlja predlog Direktive Evropskega parlamenta in Sveta o spremembi direktiv (EU) 2022/2464 in (EU) 2024/1760 glede datumov, od katerih morajo države članice uporabljati nekatere zahteve glede poročanja podjetij o trajnostnosti (CSRD) in trajnostnega skrbnega pregleda (CSDDD).</w:t>
      </w:r>
    </w:p>
    <w:p w14:paraId="0DB96BDE" w14:textId="77777777" w:rsidR="001C38D1" w:rsidRDefault="001C38D1" w:rsidP="001C38D1"/>
    <w:p w14:paraId="02B2EA02" w14:textId="4BCCDFFB" w:rsidR="001C38D1" w:rsidRDefault="001C38D1" w:rsidP="001C38D1">
      <w:r>
        <w:t>Predlog je del prvega zakonodajnega svežnja za poenostavitev pravil EU (t. i. OMNIBUS I), ki ga je Evropska komisija objavila 26. februarja 2025 v okviru Kompasa za konkurenčnost. Glavni cilj svežnja je zmanjšanje poročevalskih obveznosti za podjetja na ravni EU za 25 odstotkov , za mala in srednje velika podjetja (MSP) pa za 35 odstotkov.</w:t>
      </w:r>
    </w:p>
    <w:p w14:paraId="4BC16876" w14:textId="77777777" w:rsidR="001C38D1" w:rsidRDefault="001C38D1" w:rsidP="001C38D1"/>
    <w:p w14:paraId="24C8044D" w14:textId="1D6BCDC3" w:rsidR="001C38D1" w:rsidRDefault="001C38D1" w:rsidP="001C38D1">
      <w:r>
        <w:t>Predlog predvideva:</w:t>
      </w:r>
    </w:p>
    <w:p w14:paraId="2859D2F2" w14:textId="49FEF253" w:rsidR="001C38D1" w:rsidRDefault="001C38D1" w:rsidP="001C38D1">
      <w:pPr>
        <w:pStyle w:val="Odstavekseznama"/>
        <w:numPr>
          <w:ilvl w:val="0"/>
          <w:numId w:val="15"/>
        </w:numPr>
      </w:pPr>
      <w:r>
        <w:t>dveletni odlog uveljavitve zahtev iz direktive CSRD,</w:t>
      </w:r>
    </w:p>
    <w:p w14:paraId="18FE57A5" w14:textId="60730A9E" w:rsidR="001C38D1" w:rsidRDefault="001C38D1" w:rsidP="001C38D1">
      <w:pPr>
        <w:pStyle w:val="Odstavekseznama"/>
        <w:numPr>
          <w:ilvl w:val="0"/>
          <w:numId w:val="15"/>
        </w:numPr>
      </w:pPr>
      <w:r>
        <w:t>enoletni odlog uveljavitve zahtev iz direktive CSDDD,</w:t>
      </w:r>
    </w:p>
    <w:p w14:paraId="70752496" w14:textId="0489E792" w:rsidR="001C38D1" w:rsidRDefault="001C38D1" w:rsidP="001C38D1">
      <w:pPr>
        <w:pStyle w:val="Odstavekseznama"/>
        <w:numPr>
          <w:ilvl w:val="0"/>
          <w:numId w:val="15"/>
        </w:numPr>
      </w:pPr>
      <w:r>
        <w:t>podaljšanje roka za prenos direktive CSDDD v nacionalne zakonodaje do 26. junija 2027.</w:t>
      </w:r>
    </w:p>
    <w:p w14:paraId="5C7645E1" w14:textId="77777777" w:rsidR="001C38D1" w:rsidRDefault="001C38D1" w:rsidP="001C38D1"/>
    <w:p w14:paraId="590991EA" w14:textId="55D160AA" w:rsidR="001C38D1" w:rsidRDefault="001C38D1" w:rsidP="001C38D1">
      <w:r>
        <w:t>Cilj predlaganih sprememb je podjetjem omogočiti več časa za prilagoditev na nove zahteve glede poročanja o vplivih na okolje in človekove pravice ter izvajanja trajnostnega skrbnega pregleda. S tem se zmanjšuje upravno in regulativno breme, kar bo prispevalo k povečanju konkurenčnosti evropskega gospodarstva – ob hkratnem spoštovanju ciljev evropskega zelenega dogovora.</w:t>
      </w:r>
    </w:p>
    <w:p w14:paraId="3107A675" w14:textId="77777777" w:rsidR="001C38D1" w:rsidRDefault="001C38D1" w:rsidP="001C38D1"/>
    <w:p w14:paraId="5F2FAEEC" w14:textId="6E403A40" w:rsidR="001C38D1" w:rsidRDefault="001C38D1" w:rsidP="001C38D1">
      <w:r>
        <w:t>Evropska komisija je hkrati napovedala pripravo dodatnega zakonodajnega predloga, ki bo obravnaval vsebinske poenostavitve zahtev CSRD, CSDDD in Uredbe o taksonomiji. Za pripravo sorazmernih, uravnoteženih in utemeljenih sprememb je potreben ustrezen čas, kar dodatno utemeljuje podaljšanje rokov za uveljavitev obveznosti.</w:t>
      </w:r>
    </w:p>
    <w:p w14:paraId="73819131" w14:textId="77777777" w:rsidR="001C38D1" w:rsidRDefault="001C38D1" w:rsidP="001C38D1"/>
    <w:p w14:paraId="435689AC" w14:textId="0D899E10" w:rsidR="001C38D1" w:rsidRDefault="001C38D1" w:rsidP="001C38D1">
      <w:r>
        <w:t>Republika Slovenija predlog direktive podpira. Podjetja je treba razbremeniti administrativnih in stroškovnih bremen, še posebej v času energetske draginje, hitrega tehnološkega razvoja in geopolitičnih izzivov. Ob tem pa Republika Slovenija opozarja na:</w:t>
      </w:r>
    </w:p>
    <w:p w14:paraId="69EC6193" w14:textId="7F6DFBEA" w:rsidR="001C38D1" w:rsidRDefault="001C38D1" w:rsidP="001C38D1">
      <w:pPr>
        <w:pStyle w:val="Odstavekseznama"/>
        <w:numPr>
          <w:ilvl w:val="0"/>
          <w:numId w:val="16"/>
        </w:numPr>
      </w:pPr>
      <w:r>
        <w:t xml:space="preserve">neenakopravni položaj slovenskih gospodarskih družb napram družbam iz držav, ki CSRD še niso prenesle v svojo nacionalno zakonodajo, ker se k temu zavezane družbe že pripravljajo na poročanje za leto 2025, </w:t>
      </w:r>
    </w:p>
    <w:p w14:paraId="2C68394B" w14:textId="7215EB09" w:rsidR="001C38D1" w:rsidRDefault="001C38D1" w:rsidP="001C38D1">
      <w:pPr>
        <w:pStyle w:val="Odstavekseznama"/>
        <w:numPr>
          <w:ilvl w:val="0"/>
          <w:numId w:val="16"/>
        </w:numPr>
      </w:pPr>
      <w:r>
        <w:t>kratke roke za prenos predloga nove direktive, ki trenutno ostajajo določeni do konca leta 2025.</w:t>
      </w:r>
    </w:p>
    <w:p w14:paraId="078D5C03" w14:textId="77777777" w:rsidR="001C38D1" w:rsidRDefault="001C38D1" w:rsidP="001C38D1">
      <w:pPr>
        <w:pStyle w:val="Vir"/>
      </w:pPr>
      <w:r>
        <w:t>Vir: Ministrstvo za gospodarstvo, turizem in šport</w:t>
      </w:r>
    </w:p>
    <w:p w14:paraId="09325825" w14:textId="3C18405A" w:rsidR="00143F4B" w:rsidRDefault="00143F4B" w:rsidP="00143F4B">
      <w:pPr>
        <w:pStyle w:val="Naslov2"/>
      </w:pPr>
      <w:r>
        <w:lastRenderedPageBreak/>
        <w:t xml:space="preserve">Vlada sprejela sklep o sodelovanju Republike Slovenije na Natovi vaji kibernetske obrambe in strateškega odločanja Locked Shields 2025                                                                                                                      </w:t>
      </w:r>
    </w:p>
    <w:p w14:paraId="339A4EFD" w14:textId="77777777" w:rsidR="00143F4B" w:rsidRDefault="00143F4B" w:rsidP="00143F4B">
      <w:r>
        <w:t>Republika Slovenija bo sodelovala na Natovi vaji kibernetske obrambe in strateškega odločanja Locked Shields 2025 (LS25), ki jo organizira Natov center odličnosti za kibernetsko obrambo v Talinu. Vaja bo potekala od 5. do 9. maja 2025.</w:t>
      </w:r>
    </w:p>
    <w:p w14:paraId="41D51A0D" w14:textId="77777777" w:rsidR="00143F4B" w:rsidRDefault="00143F4B" w:rsidP="00143F4B"/>
    <w:p w14:paraId="27552BE8" w14:textId="77777777" w:rsidR="00143F4B" w:rsidRDefault="00143F4B" w:rsidP="00143F4B">
      <w:r>
        <w:t>Cilj vaje je vzpostaviti tesnejše sodelovanje med javnim in zasebnim sektorjem na področju kibernetske varnosti in obrambe, zato bodo na vaji poleg vadbencev državnih organov sodelovali tudi predstavniki gospodarskih družb ter Italijanske republike in Združenih držav Amerike.</w:t>
      </w:r>
    </w:p>
    <w:p w14:paraId="09822C31" w14:textId="77777777" w:rsidR="00143F4B" w:rsidRDefault="00143F4B" w:rsidP="00143F4B"/>
    <w:p w14:paraId="61E5FD29" w14:textId="77777777" w:rsidR="00143F4B" w:rsidRDefault="00143F4B" w:rsidP="00143F4B">
      <w:r>
        <w:t>Glavni namen vaje je uriti tehnične postopke za zoperstavljanje kibernetskim napadom, ki jih povzročajo simulirane ranljivosti zasebnega vadbenega omrežja. Na podlagi informacij, ki jih bo posredovala tehnična skupina, bodo oblikovane možnosti za sprejemanje strateških odločitev, katerih namen bo, da se zmanjšajo posledice kibernetskih napadov.</w:t>
      </w:r>
    </w:p>
    <w:p w14:paraId="4F2DF1EC" w14:textId="77777777" w:rsidR="00143F4B" w:rsidRDefault="00143F4B" w:rsidP="00143F4B"/>
    <w:p w14:paraId="30A6D762" w14:textId="77777777" w:rsidR="00143F4B" w:rsidRDefault="00143F4B" w:rsidP="00143F4B">
      <w:r>
        <w:t xml:space="preserve">Načrtovanje in izvedba vaje v Republiki Sloveniji bosta potekala v skladu z aktivnostmi, načrtovanimi v Natovem centru odličnosti za kibernetsko obrambo. </w:t>
      </w:r>
    </w:p>
    <w:p w14:paraId="0BA18C9E" w14:textId="77777777" w:rsidR="00143F4B" w:rsidRDefault="00143F4B" w:rsidP="00143F4B"/>
    <w:p w14:paraId="3941977B" w14:textId="4F9C3DD9" w:rsidR="006A6F4E" w:rsidRDefault="00143F4B" w:rsidP="00143F4B">
      <w:r>
        <w:t>Vaja kibernetske obrambe in strateškega odločanja Locked Shields 2025 (LS25) je vključena v Načrt vaj v obrambnem sistemu in sistemu varstva pred naravnimi in drugimi nesrečami v letu 2025.</w:t>
      </w:r>
    </w:p>
    <w:p w14:paraId="421B69F3" w14:textId="77777777" w:rsidR="00143F4B" w:rsidRDefault="00143F4B" w:rsidP="00143F4B">
      <w:pPr>
        <w:pStyle w:val="Vir"/>
      </w:pPr>
      <w:r>
        <w:t>Vir: Ministrstvo za obrambo</w:t>
      </w:r>
    </w:p>
    <w:p w14:paraId="25994BD7" w14:textId="6884B741" w:rsidR="00A809EC" w:rsidRDefault="00A809EC" w:rsidP="00A809EC">
      <w:pPr>
        <w:pStyle w:val="Naslov2"/>
      </w:pPr>
      <w:r>
        <w:t>Vlada je sprejela namero o zaključku sodelovanja pripadnikov Slovenske vojske v Operaciji neomajna odločnost v Iraku</w:t>
      </w:r>
    </w:p>
    <w:p w14:paraId="4E788C20" w14:textId="77777777" w:rsidR="00A809EC" w:rsidRDefault="00A809EC" w:rsidP="00A809EC">
      <w:r>
        <w:t>Vlada Republike Slovenije je na današnji seji sprejela Namero o zaključku sodelovanja pripadnikov Slovenske vojske v Operaciji neomajna odločnost z zaključkom mandata sedanjega slovenskega kontingenta (SVNKON 11 OIR) s 1. julijem 2025.</w:t>
      </w:r>
    </w:p>
    <w:p w14:paraId="01A48178" w14:textId="77777777" w:rsidR="00A809EC" w:rsidRDefault="00A809EC" w:rsidP="00A809EC"/>
    <w:p w14:paraId="1F0783E8" w14:textId="77777777" w:rsidR="00A809EC" w:rsidRDefault="00A809EC" w:rsidP="00A809EC">
      <w:r>
        <w:t>Vlada Republike Slovenije je naložila Ministrstvu za obrambo in Ministrstvu za zunanje in evropske zadeve, da izvedeta ustrezne postopke za realizacijo namere. S tem sklepom bo vlada seznanila Odbor Državnega zbora za obrambo in Odbor Državnega zbora za zunanjo politiko.</w:t>
      </w:r>
    </w:p>
    <w:p w14:paraId="0D6F1B1A" w14:textId="7E5C0E4E" w:rsidR="00A809EC" w:rsidRPr="00A809EC" w:rsidRDefault="00A809EC" w:rsidP="00A809EC">
      <w:pPr>
        <w:pStyle w:val="Vir"/>
      </w:pPr>
      <w:r>
        <w:t>Vir: Ministrstvo za obrambo</w:t>
      </w:r>
    </w:p>
    <w:p w14:paraId="25E6294F" w14:textId="744A0AFD" w:rsidR="006A6F4E" w:rsidRDefault="007B56D5" w:rsidP="007B56D5">
      <w:pPr>
        <w:pStyle w:val="Naslov2"/>
      </w:pPr>
      <w:r>
        <w:t>D</w:t>
      </w:r>
      <w:r w:rsidR="006A6F4E">
        <w:t>opolnjen Izvedben</w:t>
      </w:r>
      <w:r>
        <w:t>i</w:t>
      </w:r>
      <w:r w:rsidR="006A6F4E">
        <w:t xml:space="preserve"> načrt za izpolnjevanje kriterijev in zavez Republike Slovenije za Stalno strukturno sodelovanje na področju varnosti in obrambe Evropske unije (PESCO) za leto 2024</w:t>
      </w:r>
    </w:p>
    <w:p w14:paraId="2D55DDC5" w14:textId="13B54B38" w:rsidR="007B56D5" w:rsidRDefault="007B56D5" w:rsidP="007B56D5">
      <w:r>
        <w:t xml:space="preserve">Vlada je sprejela dopolnjen Izvedbeni načrt za izpolnjevanje kriterijev in zavez Republike Slovenije v okviru Stalnega strukturnega sodelovanja na področju varnosti in obrambe Evropske unije za leto 2024. </w:t>
      </w:r>
    </w:p>
    <w:p w14:paraId="5229972C" w14:textId="77777777" w:rsidR="007B56D5" w:rsidRDefault="007B56D5" w:rsidP="007B56D5"/>
    <w:p w14:paraId="20994D33" w14:textId="77777777" w:rsidR="007B56D5" w:rsidRDefault="007B56D5" w:rsidP="007B56D5">
      <w:r>
        <w:t>Z izvedbenim načrtom se je Republika Slovenija zavezala, kako bo izpolnjevala 20 zavez oziroma kriterijev iz notifikacijske listine Stalnega strukturnega sodelovanja na področju varnosti in obrambe Evropske unije (angl. Permanent Structured Cooperation – PESCO). Republika Slovenija sekretariatu poroča od leta 2018. Pregled se pripravlja za preteklo leto, kar pomeni, da bomo v letu 2025 pripravili pregled zavez za leto 2024.</w:t>
      </w:r>
    </w:p>
    <w:p w14:paraId="34336BAE" w14:textId="77777777" w:rsidR="007B56D5" w:rsidRDefault="007B56D5" w:rsidP="007B56D5"/>
    <w:p w14:paraId="33B6B6FF" w14:textId="77777777" w:rsidR="007B56D5" w:rsidRDefault="007B56D5" w:rsidP="007B56D5">
      <w:r>
        <w:t xml:space="preserve">Predloženi izvedbeni načrt je dopolnjen in obsega poročilo o doseženih zavezah iz nacionalnega izvedbenega načrta za leto 2024 ter načrtovano izpolnjevanje zavez v letu 2025. </w:t>
      </w:r>
    </w:p>
    <w:p w14:paraId="039724BD" w14:textId="77777777" w:rsidR="007B56D5" w:rsidRDefault="007B56D5" w:rsidP="007B56D5"/>
    <w:p w14:paraId="586920CE" w14:textId="77777777" w:rsidR="007B56D5" w:rsidRDefault="007B56D5" w:rsidP="007B56D5">
      <w:r>
        <w:lastRenderedPageBreak/>
        <w:t>Zaveze in kriterije iz izvedbenega načrta za PESCO Republika Slovenija izpolnjuje skladno z ugotovljenimi potrebami in strateškimi smernicami razvoja obrambnih zmogljivosti Republike Slovenije ter strateškimi in razvojno-usmerjevalnimi dokumenti, ki določajo razvoj obrambnih zmogljivosti Republike Slovenije.</w:t>
      </w:r>
    </w:p>
    <w:p w14:paraId="541C56E0" w14:textId="77777777" w:rsidR="007B56D5" w:rsidRDefault="007B56D5" w:rsidP="007B56D5"/>
    <w:p w14:paraId="5E3DB99F" w14:textId="77777777" w:rsidR="007B56D5" w:rsidRDefault="007B56D5" w:rsidP="007B56D5">
      <w:r>
        <w:t>Republika Slovenija trenutno kot članica sodeluje v sedmih projektih PESCO: Vojaška mobilnost, Mreža logističnih vozlišč v Evropi in podpora za operacije, Kemični, biološki, radiološki in jedrski nadzor kot storitev, Integriran evropski center za skupno usposabljanje in simulacije, Energetska operativna funkcija, Enote za hitro odzivanje na kibernetske grožnje in medsebojna pomoč na področju kibernetske varnosti in Nova generacija malih brezpilotnih letal.</w:t>
      </w:r>
    </w:p>
    <w:p w14:paraId="0106F856" w14:textId="77777777" w:rsidR="007B56D5" w:rsidRDefault="007B56D5" w:rsidP="007B56D5"/>
    <w:p w14:paraId="03719A1E" w14:textId="77777777" w:rsidR="007B56D5" w:rsidRDefault="007B56D5" w:rsidP="007B56D5">
      <w:r>
        <w:t>Kot opazovalka Republika Slovenija sodeluje v treh projektih: Strateški zračni prevoz velikega tovora, Matične postaje za roj brezpilotnih letalnikov in Manjša prilagodljiva orožja z daljšim časom zadrževanja. Leta 2024 se je uspešno končal projekt Operativno jedro za odzivanje na krize pri EUFOR, v katerem je Republika Slovenija sodelovala kot opazovalka.</w:t>
      </w:r>
    </w:p>
    <w:p w14:paraId="38321E15" w14:textId="77777777" w:rsidR="007B56D5" w:rsidRDefault="007B56D5" w:rsidP="007B56D5"/>
    <w:p w14:paraId="75B8DEE7" w14:textId="77777777" w:rsidR="007B56D5" w:rsidRDefault="007B56D5" w:rsidP="007B56D5">
      <w:r>
        <w:t>V letu 2024 je Republika Slovenija povečala nominalni obseg obrambnih izdatkov v primerjavi z letom 2023. Povečujeta se tudi nominalni obseg ter delež skupnih obrambnih izdatkov, namenjenih investicijam ter raziskavam in razvoju.</w:t>
      </w:r>
    </w:p>
    <w:p w14:paraId="504C4B9D" w14:textId="77777777" w:rsidR="007B56D5" w:rsidRDefault="007B56D5" w:rsidP="007B56D5"/>
    <w:p w14:paraId="19FD9E14" w14:textId="77777777" w:rsidR="007B56D5" w:rsidRDefault="007B56D5" w:rsidP="007B56D5">
      <w:r>
        <w:t xml:space="preserve">Za leto 2024 Slovenija izpolnjuje zaveze in kriterije na podlagi predhodnih podatkov o realiziranih obrambnih izdatkih, medtem ko za leto 2025 poročamo o sprejetih obrambnih izdatkih. V srednjeročnem obdobju si bomo prizadevali postopno dvigniti obrambne izdatke. </w:t>
      </w:r>
    </w:p>
    <w:p w14:paraId="31A62927" w14:textId="77777777" w:rsidR="007B56D5" w:rsidRDefault="007B56D5" w:rsidP="007B56D5"/>
    <w:p w14:paraId="4E85865F" w14:textId="77777777" w:rsidR="007B56D5" w:rsidRDefault="007B56D5" w:rsidP="007B56D5">
      <w:r>
        <w:t xml:space="preserve">Leta 2023 sta bila sprejeta Resolucija o splošnem dolgoročnem programu razvoja in opremljanja Slovenske vojske do leta 2040 (ReDPROSV40) ter Srednjeročni obrambni program Republike Slovenije za obdobje 2023–2028 (SOPR 2023–2028). Oba dokumenta upoštevata evropske prednostne naloge in zaveze ter obravnavata sodelovanje v različnih obrambnih pobudah. V zaključni fazi priprave je tudi predlog nove Obrambne strategije Republike Slovenije. </w:t>
      </w:r>
    </w:p>
    <w:p w14:paraId="7380D61B" w14:textId="77777777" w:rsidR="007B56D5" w:rsidRDefault="007B56D5" w:rsidP="007B56D5"/>
    <w:p w14:paraId="30A2C3B8" w14:textId="77777777" w:rsidR="007B56D5" w:rsidRDefault="007B56D5" w:rsidP="007B56D5">
      <w:r>
        <w:t xml:space="preserve">Republika Slovenija bo zaveze in kriterije izpolnjevala na podlagi obstoječega in po potrebi dodatnega sodelovanja v večnacionalnih razvojnih projektih, z uporabo skupnih zmogljivosti, z dodatnimi že predvidenimi ukrepi na področju kibernetske varnosti ter z izvajanjem predvidenih ukrepov v okviru Usklajenega letnega pregleda obrambe. </w:t>
      </w:r>
    </w:p>
    <w:p w14:paraId="6F3B31B3" w14:textId="77777777" w:rsidR="007B56D5" w:rsidRDefault="007B56D5" w:rsidP="007B56D5"/>
    <w:p w14:paraId="4CEE8149" w14:textId="77777777" w:rsidR="007B56D5" w:rsidRDefault="007B56D5" w:rsidP="007B56D5">
      <w:r>
        <w:t xml:space="preserve">Republika Slovenija bo svoje zaveze in kriterije izpolnjevala tudi z aktivno vlogo v Evropski obrambni agenciji, ki deluje kot forum za razvoj skupnih zmogljivosti in krepitev konkurenčnosti evropske obrambne industrije. </w:t>
      </w:r>
    </w:p>
    <w:p w14:paraId="74E29EAA" w14:textId="77777777" w:rsidR="007B56D5" w:rsidRDefault="007B56D5" w:rsidP="007B56D5"/>
    <w:p w14:paraId="34EDD519" w14:textId="77777777" w:rsidR="007B56D5" w:rsidRDefault="007B56D5" w:rsidP="007B56D5">
      <w:r>
        <w:t>Delovanje Republike Slovenije v okviru PESCO ima neposredne in posredne finančne posledice. Pomenilo bo izpolnjevanje naslednjih finančnih zahtev: 1. redno in realistično povečanje obrambnega proračuna, ki je povezano tudi z uresničevanjem valižanske zaveze, 2. redno povečanje deleža za investicije – najmanj 20 odstotkov obrambnih izdatkov v srednjeročnem obdobju (kolektivni kazalnik) in 3. dolgoročno namenjanje sredstev za raziskave in razvoj v obsegu vsaj dveh odstotkov obrambnih izdatkov.</w:t>
      </w:r>
    </w:p>
    <w:p w14:paraId="2314E4F1" w14:textId="77777777" w:rsidR="007B56D5" w:rsidRDefault="007B56D5" w:rsidP="007B56D5"/>
    <w:p w14:paraId="739FC89D" w14:textId="77777777" w:rsidR="007B56D5" w:rsidRDefault="007B56D5" w:rsidP="007B56D5">
      <w:r>
        <w:t xml:space="preserve">Dodatne neposredne finančne posledice lahko nastanejo zaradi večje vključenosti v projekte razvoja zmogljivosti ter povečanega nacionalnega obsega sodelovanja v operacijah in na misijah skupne varnostne in obrambne politike. Izpolnjevanje teh finančnih posledic bo zagotovljeno prek rednih finančnih načrtov Ministrstva za obrambo. </w:t>
      </w:r>
    </w:p>
    <w:p w14:paraId="53E031C9" w14:textId="3B214679" w:rsidR="007B56D5" w:rsidRDefault="007B56D5" w:rsidP="007B56D5">
      <w:pPr>
        <w:pStyle w:val="Vir"/>
      </w:pPr>
      <w:r w:rsidRPr="007B56D5">
        <w:t>Vir: Ministrstvo za obrambo</w:t>
      </w:r>
    </w:p>
    <w:p w14:paraId="5DD5F14D" w14:textId="38EA5509" w:rsidR="00125055" w:rsidRDefault="00125055" w:rsidP="00125055">
      <w:pPr>
        <w:pStyle w:val="Naslov2"/>
      </w:pPr>
      <w:r>
        <w:lastRenderedPageBreak/>
        <w:t>Poročilo o delovanju slovenske nacionalne komisije za UNESCO 2023 – 2024</w:t>
      </w:r>
    </w:p>
    <w:p w14:paraId="0372ACC7" w14:textId="21DC87C5" w:rsidR="00125055" w:rsidRDefault="00125055" w:rsidP="00125055">
      <w:r>
        <w:t>Vlada se je na današnji seji seznanila s poročilom o delovanju Slovenske nacionalne komisije za UNESCO (SNKU) v obdobju 2023-2024. SNKU je uspešno izvajala zastavljen program aktivnosti in projektov v letih 2023 in 2024.</w:t>
      </w:r>
    </w:p>
    <w:p w14:paraId="5E662CA5" w14:textId="296C2C05" w:rsidR="006A6F4E" w:rsidRDefault="00125055" w:rsidP="00125055">
      <w:pPr>
        <w:pStyle w:val="Vir"/>
      </w:pPr>
      <w:r>
        <w:t>Vir: Ministrstvo za visoko šolstvo, znanost in inovacije</w:t>
      </w:r>
    </w:p>
    <w:p w14:paraId="5D59B799" w14:textId="40AFE62F" w:rsidR="00733FBA" w:rsidRDefault="00733FBA" w:rsidP="00733FBA">
      <w:pPr>
        <w:pStyle w:val="Naslov2"/>
      </w:pPr>
      <w:r>
        <w:t>Vlada sprejela mnenje glede zakona o preoblikovanja Vzajemne</w:t>
      </w:r>
    </w:p>
    <w:p w14:paraId="59AA5E74" w14:textId="77777777" w:rsidR="00733FBA" w:rsidRDefault="00733FBA" w:rsidP="00733FBA">
      <w:r>
        <w:t>Vlada je sprejela mnenje o Predlogu zakona o spremembah in dopolnitvah Zakona o statusnem preoblikovanju Vzajemne zdravstvene zavarovalnice d. v. z., ki ga je Državnemu zboru predložila skupina poslank in poslancev.</w:t>
      </w:r>
    </w:p>
    <w:p w14:paraId="77F66F9D" w14:textId="77777777" w:rsidR="00733FBA" w:rsidRDefault="00733FBA" w:rsidP="00733FBA"/>
    <w:p w14:paraId="4424D451" w14:textId="60CCC5EF" w:rsidR="00733FBA" w:rsidRDefault="00733FBA" w:rsidP="00733FBA">
      <w:r>
        <w:t xml:space="preserve">V Predlogu zakona je med poglavitnimi rešitvami navedeno, da predlog odpravlja dosedanjo absolutno prepoved prenosa pravice do delnic s pravnim poslom med živimi. Ureja se možnost prenosa pravice do delnic, preden bi upravičenec pridobil delnico na račun vrednostnih papirjev. </w:t>
      </w:r>
    </w:p>
    <w:p w14:paraId="53F2120C" w14:textId="77777777" w:rsidR="00733FBA" w:rsidRDefault="00733FBA" w:rsidP="00733FBA"/>
    <w:p w14:paraId="08AB4269" w14:textId="77777777" w:rsidR="00733FBA" w:rsidRDefault="00733FBA" w:rsidP="00733FBA">
      <w:r>
        <w:t>Vlada podpira cilj, ki ga predlog zakona zasleduje, a obenem opozarja, da je treba opraviti nadaljnji razmislek o morebitnih utemeljenih izjemah za prenos pravice do delnic Vzajemne. Izjeme morajo biti namreč premišljene ter skrbno normirane in z vidika načela enakosti omejene na ozko kategorijo fizičnih oseb, kjer je mogoče utemeljiti javni interes in zagotoviti zaščito ranljivih skupin (predvsem starejši in mladoletni upravičenci). Oblikovanje omenjenega sistema prenosa pravice do delnic tako ne sme povečati operativnih tveganj, zato ne sme priti do pomanjkljivosti v varnosti in učinkovitosti, kar bi povečalo možnost napak, zlorab in goljufij.</w:t>
      </w:r>
    </w:p>
    <w:p w14:paraId="6346E0E1" w14:textId="1AF12562" w:rsidR="00733FBA" w:rsidRDefault="00733FBA" w:rsidP="00733FBA">
      <w:pPr>
        <w:pStyle w:val="Vir"/>
      </w:pPr>
      <w:r w:rsidRPr="00733FBA">
        <w:t>Vir: Ministrstvo za finance</w:t>
      </w:r>
    </w:p>
    <w:p w14:paraId="6D665DEC" w14:textId="727492C7" w:rsidR="001E11D3" w:rsidRDefault="001E11D3" w:rsidP="001E11D3">
      <w:pPr>
        <w:pStyle w:val="Naslov2"/>
      </w:pPr>
      <w:r>
        <w:t>Odgovor na sklepe Komisije Državnega zbor Republike Slovenije za nadzor javnih financ</w:t>
      </w:r>
    </w:p>
    <w:p w14:paraId="01513CB4" w14:textId="3E05E1CF" w:rsidR="001E11D3" w:rsidRDefault="001E11D3" w:rsidP="001E11D3">
      <w:r>
        <w:t xml:space="preserve">Vlada Republike Slovenije je sprejela odgovor na sklepe Komisije za nadzor javnih financ, ki jih je ta sprejela na 36. nujni seji dne, 16. januarja 2025, ob obravnavi točke »Slabo črpanje sredstev Evropske unije«. V odgovoru je pripravila analizo vseh vzrokov za zaostanek Slovenije pri koriščenju sredstev Evropske unije ter načrt za zmanjšanje tega zaostanka. </w:t>
      </w:r>
    </w:p>
    <w:p w14:paraId="2492671C" w14:textId="77777777" w:rsidR="001E11D3" w:rsidRDefault="001E11D3" w:rsidP="001E11D3"/>
    <w:p w14:paraId="1F8A6CF9" w14:textId="77777777" w:rsidR="001E11D3" w:rsidRDefault="001E11D3" w:rsidP="001E11D3">
      <w:r>
        <w:t xml:space="preserve">Iz analize izhaja, da se je RS pri izvajanju kohezijske politike vedno soočala z zamiki pri postopkih izvedbe projektov in posledično z nerealnimi finančnimi načrti. Izvedba projektov se je zato prestavljala v prihodnja leta v okviru vsakokratnega programskega obdobja. V tokratnem, četrtem programskem obdobju, je ta odklon od načrtovane dinamike bolj izrazit. Od potrditve PEKP, ki se je pripravljal in usklajeval v letih 2021 in 2022, so pretekla tri leta. V tem obdobju so se temeljito spremenile geopolitične razmere v svetu, prav tako pa so se skozi izvajanje Programa EKP že pokazale vrzeli med načrtovanjem in izvedljivostjo posameznih ukrepov v razpoložljivem času. Vlada RS je zato dne 24. 10. 2024 sprejela sklep št. 54402-4/2022/17, s katerim se je seznanila z izhodišči za spremembo Programa evropske kohezijske politike 2021–2027. Ministrstvo za kohezijo in regionalni razvoj je pripravilo predlog spremembe PEKP, ki ga je Vlada RS sprejela na 143. redni seji dne 27. 2. 2025. </w:t>
      </w:r>
    </w:p>
    <w:p w14:paraId="1C835C98" w14:textId="77777777" w:rsidR="001E11D3" w:rsidRDefault="001E11D3" w:rsidP="001E11D3"/>
    <w:p w14:paraId="76840407" w14:textId="77777777" w:rsidR="001E11D3" w:rsidRDefault="001E11D3" w:rsidP="001E11D3">
      <w:r>
        <w:t>Sprejeti ukrepi nadgrajujejo Program evropske kohezijske politike 2021-2027 in bodo bistveno prispevali k razvoju Slovenije, hkrati pa pospešujejo koriščenje evropskih kohezijskih sredstev. Med drugim so bili sprejeti naslednji ukrepi:</w:t>
      </w:r>
    </w:p>
    <w:p w14:paraId="419B69B4" w14:textId="77777777" w:rsidR="001E11D3" w:rsidRDefault="001E11D3" w:rsidP="001E11D3"/>
    <w:p w14:paraId="023308DE" w14:textId="66DB7168" w:rsidR="001E11D3" w:rsidRDefault="001E11D3" w:rsidP="001E11D3">
      <w:pPr>
        <w:pStyle w:val="Odstavekseznama"/>
        <w:numPr>
          <w:ilvl w:val="0"/>
          <w:numId w:val="14"/>
        </w:numPr>
      </w:pPr>
      <w:r>
        <w:t xml:space="preserve">Uvedba Platforme STEP (angleško Strategic Technologies for Europe Platform - STEP), s čimer bo 100 milijonov evrov namenjenih za razvoj ključnih strateških tehnologij za krepitev neodvisnosti gospodarstva. V okviru tega bo velik del sredstev namenjen vrhunski raziskovalni </w:t>
      </w:r>
      <w:r>
        <w:lastRenderedPageBreak/>
        <w:t>infrastrukturi, ki pospešuje razvojni preboj slovenskega gospodarstva. Ukrep je s strani Bruslja prepoznan kot velik doprinos k skupnim evropskim ciljem.</w:t>
      </w:r>
    </w:p>
    <w:p w14:paraId="7AE7E464" w14:textId="3D760DAA" w:rsidR="001E11D3" w:rsidRDefault="001E11D3" w:rsidP="001E11D3">
      <w:pPr>
        <w:pStyle w:val="Odstavekseznama"/>
        <w:numPr>
          <w:ilvl w:val="0"/>
          <w:numId w:val="14"/>
        </w:numPr>
      </w:pPr>
      <w:r>
        <w:t>Nadgradnja železniške postaje Ljubljana (sklop B in C), ki je ocenjena na 205 milijonov evrov.</w:t>
      </w:r>
    </w:p>
    <w:p w14:paraId="2D31D5EE" w14:textId="11D5C8F2" w:rsidR="001E11D3" w:rsidRDefault="001E11D3" w:rsidP="001E11D3">
      <w:pPr>
        <w:pStyle w:val="Odstavekseznama"/>
        <w:numPr>
          <w:ilvl w:val="0"/>
          <w:numId w:val="14"/>
        </w:numPr>
      </w:pPr>
      <w:r>
        <w:t>Zmanjšanje poplavne ogroženosti na porečju Savinje. Gre za dva ukrepa, ocenjena na približno 32 milijonov evrov, ki bosta pred poplavami zaščitila Laško, Žalec in Celje.</w:t>
      </w:r>
    </w:p>
    <w:p w14:paraId="6BE8D0C4" w14:textId="1B32BE4E" w:rsidR="001E11D3" w:rsidRDefault="001E11D3" w:rsidP="001E11D3">
      <w:pPr>
        <w:pStyle w:val="Odstavekseznama"/>
        <w:numPr>
          <w:ilvl w:val="0"/>
          <w:numId w:val="14"/>
        </w:numPr>
      </w:pPr>
      <w:r>
        <w:t xml:space="preserve">Ukrepi za zaščito in reševanje, kar vključuje vzpostavitev Nacionalnega centra civilne zaščite in centra za protipoplavno zaščito v skupni vrednosti 18,3 milijona evrov.  </w:t>
      </w:r>
    </w:p>
    <w:p w14:paraId="5D9DF014" w14:textId="2A0B8B2E" w:rsidR="001E11D3" w:rsidRDefault="001E11D3" w:rsidP="001E11D3">
      <w:pPr>
        <w:pStyle w:val="Odstavekseznama"/>
        <w:numPr>
          <w:ilvl w:val="0"/>
          <w:numId w:val="14"/>
        </w:numPr>
      </w:pPr>
      <w:r>
        <w:t>Sofinanciranje projektov na 3. razvojni osi – sever: Velenje-Slovenj Gradec v višini 44,3 milijona evrov.</w:t>
      </w:r>
    </w:p>
    <w:p w14:paraId="0F10194B" w14:textId="2F2373DD" w:rsidR="001E11D3" w:rsidRDefault="001E11D3" w:rsidP="001E11D3">
      <w:pPr>
        <w:pStyle w:val="Odstavekseznama"/>
        <w:numPr>
          <w:ilvl w:val="0"/>
          <w:numId w:val="14"/>
        </w:numPr>
      </w:pPr>
      <w:r>
        <w:t>Zagotovitev dodatnih sredstev v višini 12,1 milijona evrov za nadgradnjo sistema za opozarjanje in osveščanje na vremensko pogojene izredne razmere ter prilagajanje nanje v spremenjenem podnebju – SOVIR.</w:t>
      </w:r>
    </w:p>
    <w:p w14:paraId="77A7068B" w14:textId="3D0F8C83" w:rsidR="001E11D3" w:rsidRDefault="001E11D3" w:rsidP="001E11D3">
      <w:pPr>
        <w:pStyle w:val="Odstavekseznama"/>
        <w:numPr>
          <w:ilvl w:val="0"/>
          <w:numId w:val="14"/>
        </w:numPr>
      </w:pPr>
      <w:r>
        <w:t>Nakup javno raziskovalne opreme v okviru prednostnih mednarodnih projektov na področju raziskovalne infrastrukture (ESFRI projekti), ki imajo ključno vlogo pri zmožnosti ustvarjanja novega znanja in inovacij in so predpogoj za sodelovanje med industrijo in akademijo. Slovensko raziskovalno sfero bomo nadgradili zlasti z vrhunsko raziskovalno opremo na področjih biomedicine, biotehnologije, kemije (restavratorstva), strukturne biologije in biofizike, ki bo imela pomemben prispevek tudi pri sodelovanju z industrijo. Ocenjena vrednost je 17 milijonov evrov.</w:t>
      </w:r>
    </w:p>
    <w:p w14:paraId="5DB2FA74" w14:textId="13118DF6" w:rsidR="001E11D3" w:rsidRDefault="001E11D3" w:rsidP="001E11D3">
      <w:pPr>
        <w:pStyle w:val="Odstavekseznama"/>
        <w:numPr>
          <w:ilvl w:val="0"/>
          <w:numId w:val="14"/>
        </w:numPr>
      </w:pPr>
      <w:r>
        <w:t>Celovita obnova objekta Grajska kašča (žitnica) na Ptuju, ki je največja žitnica na Slovenskem. Vrednost projekta je ocenjena na 8 milijonov evrov.</w:t>
      </w:r>
    </w:p>
    <w:p w14:paraId="30AE3251" w14:textId="77777777" w:rsidR="001E11D3" w:rsidRDefault="001E11D3" w:rsidP="001E11D3">
      <w:pPr>
        <w:pStyle w:val="Vir"/>
      </w:pPr>
      <w:r>
        <w:t>Vir: Ministrstvo za kohezijo in regionalni razvoj</w:t>
      </w:r>
    </w:p>
    <w:p w14:paraId="71EA143B" w14:textId="4CC61F0A" w:rsidR="00FC64EF" w:rsidRPr="00FC64EF" w:rsidRDefault="00FC64EF" w:rsidP="00FC64EF">
      <w:pPr>
        <w:pStyle w:val="Naslov2"/>
      </w:pPr>
      <w:r w:rsidRPr="00FC64EF">
        <w:t>Vlada o osnutku Letnega poročila o napredku 2025</w:t>
      </w:r>
    </w:p>
    <w:p w14:paraId="61AEAF88" w14:textId="77777777" w:rsidR="003755B5" w:rsidRDefault="003755B5" w:rsidP="003755B5">
      <w:r>
        <w:t>Vlada se je danes seznanila z osnutkom Letnega poročila o napredku 2025, ki smo ga skladno s prenovljenimi fiskalnimi pravili Evropske unije (EU) in novim Zakonom o fiskalnem pravilu letos pripravili prvič. Tako kot lani bo tudi letos fiskalna politika skladna s fiskalnimi zavezami.</w:t>
      </w:r>
    </w:p>
    <w:p w14:paraId="0590F091" w14:textId="77777777" w:rsidR="003755B5" w:rsidRDefault="003755B5" w:rsidP="003755B5"/>
    <w:p w14:paraId="24699D54" w14:textId="77777777" w:rsidR="003755B5" w:rsidRDefault="003755B5" w:rsidP="003755B5">
      <w:r>
        <w:t>Letno poročilo o napredku je ključni dokument pri spremljanju skladnosti javnofinančne politike s Srednjeročnim fiskalno-strukturnim načrtom Republike Slovenije 2025-2028. Odhodki, realizirani v obdobju od začetka veljavnosti tega načrta do tekočega leta oziroma načrtovani odhodki za prihodnje leto, ne smejo presegati omejitve rasti očiščenih odhodkov, določene v srednjeročnem načrtu, lahko pa so nižji.</w:t>
      </w:r>
    </w:p>
    <w:p w14:paraId="02C57144" w14:textId="77777777" w:rsidR="003755B5" w:rsidRDefault="003755B5" w:rsidP="003755B5"/>
    <w:p w14:paraId="6B96F7B2" w14:textId="77777777" w:rsidR="003755B5" w:rsidRDefault="003755B5" w:rsidP="003755B5">
      <w:r>
        <w:t>Letna poročila o napredku vsebujejo tudi vsebine, ki so bile pred prenovo fiskalnih pravil EU vključene v vsakoletne nacionalne reformne programe, vključno s poročilom o napredku pri izvajanju specifičnih priporočil za državo in naložb iz načrtov za okrevanje in odpornost.</w:t>
      </w:r>
    </w:p>
    <w:p w14:paraId="19A95823" w14:textId="77777777" w:rsidR="003755B5" w:rsidRDefault="003755B5" w:rsidP="003755B5"/>
    <w:p w14:paraId="10A6F37C" w14:textId="77777777" w:rsidR="003755B5" w:rsidRDefault="003755B5" w:rsidP="003755B5">
      <w:r>
        <w:t>Letno poročilo o napredku 2025 temelji na dejanskih podatkih Statističnega urada Republike Slovenije za leto 2024 in ocenah Ministrstva za finance za leto 2025. Slednje temeljijo na spomladanski gospodarski napovedi Urada Republike Slovenije za makroekonomske analize in razvoj.</w:t>
      </w:r>
    </w:p>
    <w:p w14:paraId="6FD79B6F" w14:textId="77777777" w:rsidR="003755B5" w:rsidRDefault="003755B5" w:rsidP="003755B5"/>
    <w:p w14:paraId="3D72E4CA" w14:textId="77777777" w:rsidR="003755B5" w:rsidRDefault="003755B5" w:rsidP="003755B5">
      <w:r>
        <w:t>Fiskalna politika je bila v letu 2024 skladna s fiskalnimi načrti. Rast očiščenih odhodkov je znašala 4,6 odstotka in je bila nižja od fiskalne zaveze (6,2 odstotka). Letos bo rast očiščenih odhodkov po ocenah Ministrstva za finance znašala 5,3 odstotka in bo prav tako zaostajala za rastjo očiščenih odhodkov, določeno v srednjeročnem fiskalno-strukturnem načrtu (5,6 odstotka). S tem bo tudi kumulativna rast očiščenih odhodkov v letih 2024 in 2025 (10,1 odstotka) zaostajala za dovoljeno rastjo (12,1 odstotka).</w:t>
      </w:r>
    </w:p>
    <w:p w14:paraId="7BBFEFC6" w14:textId="77777777" w:rsidR="003755B5" w:rsidRDefault="003755B5" w:rsidP="003755B5"/>
    <w:p w14:paraId="0D5E6955" w14:textId="77777777" w:rsidR="003755B5" w:rsidRDefault="003755B5" w:rsidP="003755B5">
      <w:r>
        <w:t xml:space="preserve">Primanjkljaj sektorja država je v letu 2024 znašal 0,9 odstotka bruto domačega proizvoda (BDP), kar je nižje od načrtovanega v Osnutku proračunskega načrta 2025 (2,9 odstotka BDP). Letos </w:t>
      </w:r>
      <w:r>
        <w:lastRenderedPageBreak/>
        <w:t>pričakujemo primanjkljaj v višini 1,9 odstotka BDP, kar je za 0,8 odstotne točke BDP nižje od jesenskih pričakovanj.</w:t>
      </w:r>
    </w:p>
    <w:p w14:paraId="79FB92A7" w14:textId="77777777" w:rsidR="003755B5" w:rsidRDefault="003755B5" w:rsidP="003755B5"/>
    <w:p w14:paraId="43361A63" w14:textId="77777777" w:rsidR="003755B5" w:rsidRDefault="003755B5" w:rsidP="003755B5">
      <w:r>
        <w:t>Države morajo poročilo Evropski komisiji posredovati do 30. aprila 2025. Vlada bo pred tem osnutek poslala državnemu zboru in Fiskalnemu svetu v oceno, kateri naj priloži mnenje o nastopu izjemnih okoliščin iz drugega odstavka 12. člena Zakona o fiskalnem pravilu.</w:t>
      </w:r>
    </w:p>
    <w:p w14:paraId="3C170D07" w14:textId="0538EC63" w:rsidR="00FC64EF" w:rsidRDefault="003755B5" w:rsidP="003755B5">
      <w:pPr>
        <w:pStyle w:val="Vir"/>
      </w:pPr>
      <w:r>
        <w:t>Vir: Ministrstvo za finance</w:t>
      </w:r>
    </w:p>
    <w:p w14:paraId="223319CF" w14:textId="62C80E04" w:rsidR="007816FE" w:rsidRDefault="007816FE" w:rsidP="007816FE">
      <w:pPr>
        <w:pStyle w:val="Naslov2"/>
      </w:pPr>
      <w:r>
        <w:t>Vlada določila besedilo predloga Zakona o psihoterapevtski dejavnosti</w:t>
      </w:r>
    </w:p>
    <w:p w14:paraId="17016B4F" w14:textId="52B97110" w:rsidR="00CA7F61" w:rsidRDefault="00CA7F61" w:rsidP="00CA7F61">
      <w:r>
        <w:t>Vlada Republike Slovenije je na današnji seji določila besedilo predloga Zakona o psihoterapevtski dejavnosti ter ga poslala v obravnavo Državnemu zboru Republike Slovenije po rednem postopku.</w:t>
      </w:r>
    </w:p>
    <w:p w14:paraId="2C7E6162" w14:textId="77777777" w:rsidR="00CA7F61" w:rsidRDefault="00CA7F61" w:rsidP="00CA7F61"/>
    <w:p w14:paraId="076AC279" w14:textId="77777777" w:rsidR="00CA7F61" w:rsidRDefault="00CA7F61" w:rsidP="00CA7F61">
      <w:r>
        <w:t xml:space="preserve">Področje psihoterapevtske dejavnosti je v Sloveniji neurejeno in neregulirano, zato je nujna celovita zakonska ureditev področja, saj so zaradi pomanjkanja regulacije psihoterapije in nadzora nad izvajanjem psihoterapevtskih storitev uporabniki tako v okviru javnega zdravstvenega sistema kot tudi na prostem trgu izpostavljeni večjemu tveganju za neprimerno, nekakovostno oziroma potencialno nevarno storitev. </w:t>
      </w:r>
    </w:p>
    <w:p w14:paraId="25B35594" w14:textId="77777777" w:rsidR="00CA7F61" w:rsidRDefault="00CA7F61" w:rsidP="00CA7F61"/>
    <w:p w14:paraId="6BE6DC64" w14:textId="77777777" w:rsidR="00CA7F61" w:rsidRDefault="00CA7F61" w:rsidP="00CA7F61">
      <w:r>
        <w:t xml:space="preserve">Predlog zakona tako ureja psihoterapevtsko dejavnost z namenom povečanja dostopnosti kakovostne in varne psihoterapevtske obravnave. V ta namen predlog zakona opredeljuje: </w:t>
      </w:r>
    </w:p>
    <w:p w14:paraId="12A1C910" w14:textId="5DC5B7B3" w:rsidR="00CA7F61" w:rsidRDefault="00CA7F61" w:rsidP="00CA7F61">
      <w:pPr>
        <w:pStyle w:val="Odstavekseznama"/>
        <w:numPr>
          <w:ilvl w:val="0"/>
          <w:numId w:val="22"/>
        </w:numPr>
      </w:pPr>
      <w:r>
        <w:t xml:space="preserve">psihoterapevtsko dejavnost, načine in pogoje za njeno izvajanje, </w:t>
      </w:r>
    </w:p>
    <w:p w14:paraId="63AB3178" w14:textId="03304542" w:rsidR="00CA7F61" w:rsidRDefault="00CA7F61" w:rsidP="00CA7F61">
      <w:pPr>
        <w:pStyle w:val="Odstavekseznama"/>
        <w:numPr>
          <w:ilvl w:val="0"/>
          <w:numId w:val="22"/>
        </w:numPr>
      </w:pPr>
      <w:r>
        <w:t>poklic psihoterapevt kot reguliran poklic v zdravstveni dejavnosti in potrebne kvalifikacije za pridobitev ter podaljšanje licence,</w:t>
      </w:r>
    </w:p>
    <w:p w14:paraId="3995AD73" w14:textId="3F889A4E" w:rsidR="00CA7F61" w:rsidRDefault="00CA7F61" w:rsidP="00CA7F61">
      <w:pPr>
        <w:pStyle w:val="Odstavekseznama"/>
        <w:numPr>
          <w:ilvl w:val="0"/>
          <w:numId w:val="22"/>
        </w:numPr>
      </w:pPr>
      <w:r>
        <w:t>nadzor nad usposabljanjem za psihoterapevta,</w:t>
      </w:r>
    </w:p>
    <w:p w14:paraId="3E2BDAFC" w14:textId="05D9CE6D" w:rsidR="00CA7F61" w:rsidRDefault="00CA7F61" w:rsidP="00CA7F61">
      <w:pPr>
        <w:pStyle w:val="Odstavekseznama"/>
        <w:numPr>
          <w:ilvl w:val="0"/>
          <w:numId w:val="22"/>
        </w:numPr>
      </w:pPr>
      <w:r>
        <w:t>dolžnosti psihoterapevta, pristojnosti in naloge Ministrstva za zdravje ter Zbornice psihoterapevtov Slovenije,</w:t>
      </w:r>
    </w:p>
    <w:p w14:paraId="337CD6F4" w14:textId="00ECD76D" w:rsidR="00CA7F61" w:rsidRDefault="00CA7F61" w:rsidP="00CA7F61">
      <w:pPr>
        <w:pStyle w:val="Odstavekseznama"/>
        <w:numPr>
          <w:ilvl w:val="0"/>
          <w:numId w:val="22"/>
        </w:numPr>
      </w:pPr>
      <w:r>
        <w:t>nadzor nad izvajanjem zakona.</w:t>
      </w:r>
    </w:p>
    <w:p w14:paraId="574F2D93" w14:textId="77777777" w:rsidR="00CA7F61" w:rsidRDefault="00CA7F61" w:rsidP="00CA7F61"/>
    <w:p w14:paraId="13943F90" w14:textId="77777777" w:rsidR="00CA7F61" w:rsidRDefault="00CA7F61" w:rsidP="00CA7F61">
      <w:r>
        <w:t xml:space="preserve">Poklic psihoterapevt pridobi strokovno usposobljen posameznik z ustrezno izobrazbo in opravljenim usposabljanjem za izvajanje psihoterapevtske obravnave, ki je pridobil licenco za psihoterapevta in je vpisan v register psihoterapevtov. Predlog zakona opredeljuje dve poti do poklica psihoterapevt – akademsko (akreditirani specializirani študijski program na osmi stopnji) in neakademsko pot. Psihoterapevti bodo zavezani temeljni zdravstveni zakonodaji, za uporabnike, ki bodo vključeni v obravnavo pri psihoterapevtu, se bo glede pravic in obveznosti uporabljal zakon, ki ureja pacientove pravice. </w:t>
      </w:r>
    </w:p>
    <w:p w14:paraId="39574504" w14:textId="77777777" w:rsidR="00CA7F61" w:rsidRDefault="00CA7F61" w:rsidP="00CA7F61"/>
    <w:p w14:paraId="63FF6BCA" w14:textId="77777777" w:rsidR="00CA7F61" w:rsidRDefault="00CA7F61" w:rsidP="00CA7F61">
      <w:r>
        <w:t>Strokovne naloge v zvezi z izvajanjem zakona (npr. podeljevanje, podaljševanje in odvzem licence, izvajanje strokovnega nadzora s svetovanjem v skladu z zakonom, ki ureja zdravstveno dejavnost, vodenje registra psihoterapevtov in kandidatov ipd.) se prenesejo na zbornico, ki zagotavlja zastopanost vseh dovoljenih psihoterapevtskih pristopov.</w:t>
      </w:r>
    </w:p>
    <w:p w14:paraId="58D70D35" w14:textId="77777777" w:rsidR="00CA7F61" w:rsidRDefault="00CA7F61" w:rsidP="00CA7F61"/>
    <w:p w14:paraId="2E40B966" w14:textId="77777777" w:rsidR="00CA7F61" w:rsidRDefault="00CA7F61" w:rsidP="00CA7F61">
      <w:r>
        <w:t>Ko bo zakon začel veljati, bo začelo teči enoletno prehodno obdobje. To bo obstoječim izvajalcem psihoterapevtske obravnave omogočilo nadaljevanje samostojne psihoterapevtske obravnave, če njihovo usposabljanje po vsebini in načinu dosega kriterije iz zakona. V primeru, da niso opravili vseh vsebin usposabljanja, bodo ob izpolnjevanju zakonskih kriterijev lahko psihoterapevtske obravnave izvajali kot kandidati pod supervizijo. Kot psihoterapevt se več ne bo mogel predstavljati posameznik, ki ne bo izpolnjeval pogojev, določenih z novo zakonsko ureditvijo.</w:t>
      </w:r>
    </w:p>
    <w:p w14:paraId="61FBC433" w14:textId="3C449624" w:rsidR="00692ECC" w:rsidRPr="003B1344" w:rsidRDefault="00692ECC" w:rsidP="00CA7F61">
      <w:pPr>
        <w:pStyle w:val="Vir"/>
      </w:pPr>
      <w:r>
        <w:t>Vir: Ministrstvo za zdravje</w:t>
      </w:r>
    </w:p>
    <w:p w14:paraId="15EE425E" w14:textId="1F92001A" w:rsidR="00E07358" w:rsidRDefault="00A700BA" w:rsidP="00A700BA">
      <w:pPr>
        <w:pStyle w:val="Naslov2"/>
      </w:pPr>
      <w:r>
        <w:lastRenderedPageBreak/>
        <w:t>Vlada sprejela p</w:t>
      </w:r>
      <w:r w:rsidR="00E07358">
        <w:t>redlog</w:t>
      </w:r>
      <w:r w:rsidR="00692ECC">
        <w:t xml:space="preserve"> </w:t>
      </w:r>
      <w:r>
        <w:t>Z</w:t>
      </w:r>
      <w:r w:rsidR="00E07358">
        <w:t xml:space="preserve">akona o informacijski varnosti </w:t>
      </w:r>
    </w:p>
    <w:p w14:paraId="7C4E1386" w14:textId="77777777" w:rsidR="00A700BA" w:rsidRDefault="00A700BA" w:rsidP="00A700BA">
      <w:r>
        <w:t>Vlada Republike Slovenije je določila besedilo predloga novega Zakona o informacijski varnosti (ZInfV-1), ki ga je pripravil Urad Vlade Republike Slovenije za informacijsko varnost (URSIV). Predlog bo posredovan v obravnavo Državnemu zboru RS po nujnem postopku. Z novim zakonom Vlada Republike Slovenije nadgrajuje nacionalni sistem kibernetske varnosti in v svoj pravni red prenaša evropsko direktivo NIS2 (Direktiva 2022/2555/EU).</w:t>
      </w:r>
    </w:p>
    <w:p w14:paraId="5A4FFA3B" w14:textId="77777777" w:rsidR="00A700BA" w:rsidRDefault="00A700BA" w:rsidP="00A700BA"/>
    <w:p w14:paraId="493FA1B1" w14:textId="18FB7DBF" w:rsidR="00A700BA" w:rsidRDefault="00A700BA" w:rsidP="00A700BA">
      <w:r>
        <w:t>Predlog Zakona o informacijski varnosti je sistemski zakon na področju informacijske in kibernetske varnosti ter vzpostavlja celovit nacionalni sistem za obvladovanje tovrstnih tveganj. Pomembno prispeva k dvigu ravni kibernetske varnosti v javnem in zasebnem sektorju ter povečuje odpornost Slovenije na kibernetske grožnje. Poseben poudarek je na področjih, ki so ključna za nemoteno delovanje države ter ohranitev zagotavljanja bistvenih družbenih in gospodarskih dejavnosti.</w:t>
      </w:r>
    </w:p>
    <w:p w14:paraId="292AF199" w14:textId="77777777" w:rsidR="00A700BA" w:rsidRDefault="00A700BA" w:rsidP="00A700BA">
      <w:r>
        <w:t>ZInfV-1 opredeljuje pristojnosti, organizacijo in naloge ključnih akterjev na področju informacijske varnosti, med katerimi so pristojni nacionalni organ za informacijsko varnost, organ za upravljanje incidentov velikih razsežnosti in kriz, enotna kontaktna točka za kibernetsko varnost ter skupine za odzivanje na incidente na področju računalniške varnosti (CSIRT). Določa zavezance, ki so javni ali zasebni subjekti iz prilog zakona. V skladu z direktivo NIS 2 vpeljuje več sektorjev in entitet. Zavezanci so dolžni izpolnjevati ukrepe za obvladovanje tveganj in priglašati pomembne incidente. Poudarek je dan tudi upravljanju in odgovornosti subjektov. Med pomembnimi novostmi so uvedba platforme za samoregistracijo zavezancev, enotne platforme za prijavo incidentov ter platforme za varno izmenjavo informacij.</w:t>
      </w:r>
    </w:p>
    <w:p w14:paraId="6F833C71" w14:textId="77777777" w:rsidR="00A700BA" w:rsidRDefault="00A700BA" w:rsidP="00A700BA"/>
    <w:p w14:paraId="18B2AE4B" w14:textId="77777777" w:rsidR="00A700BA" w:rsidRDefault="00A700BA" w:rsidP="00A700BA">
      <w:r>
        <w:t>Novi zakon ureja kibernetsko obrambo ter sodelovanje pristojnih državnih organov in skupin CSIRT, določa ukrepe za obvladovanje tveganj za informacijsko in kibernetsko varnost ter obveznost poročanja zavezancev in prostovoljno priglasitev incidentov. Zakon prav tako ureja pravila in obveznosti glede izmenjave informacij o kibernetski varnosti ter nadzor, vključno za certificiranje za kibernetsko varnost. Prav tako določa sprejetje Strategije kibernetske varnosti Republike Slovenije in nacionalnega načrta odzivanja. V slednjem bodo opredeljeni cilji in ureditev obvladovanja kibernetskih incidentov, kibernetskih incidentov velikih razsežnosti in kriz.</w:t>
      </w:r>
    </w:p>
    <w:p w14:paraId="19D534D0" w14:textId="77777777" w:rsidR="00A700BA" w:rsidRDefault="00A700BA" w:rsidP="00A700BA"/>
    <w:p w14:paraId="2357C091" w14:textId="77777777" w:rsidR="00A700BA" w:rsidRDefault="00A700BA" w:rsidP="00A700BA">
      <w:r>
        <w:t>Pri oblikovanju predloga ZInfV-1 je vlada upoštevala dosedanje izkušnje iz upravljanja incidentov, ugotovitve vaj kriznega odzivanja in priporočila deležnikov s področja koordinacije kibernetske varnosti. Koordinaciji in sodelovanju deležnikov novi zakon namenja še večji pomen. Z novim zakonom poleg prenosa direktive NIS 2 vpeljujemo in nadgrajujemo tudi nacionalne določbe informacijske in kibernetske varnosti, s katerimi dvigujemo odpornost ključnih subjektov v Republiki Sloveniji. Tako nadaljujemo s krepitvijo nacionalnega sistema kibernetske varnosti, okrepitvijo odzivnih zmogljivosti in gradnjo zmogljivosti kibernetske obrambe. Sistem, ki ga predvideva novi zakon bo pozitivno vplival na dvig odpornosti družbe in gospodarstva.</w:t>
      </w:r>
    </w:p>
    <w:p w14:paraId="78834C92" w14:textId="77777777" w:rsidR="00A700BA" w:rsidRDefault="00A700BA" w:rsidP="00A700BA"/>
    <w:p w14:paraId="42A6EBFF" w14:textId="601D6B55" w:rsidR="00A700BA" w:rsidRDefault="00A700BA" w:rsidP="00A700BA">
      <w:r>
        <w:t>Zakon bo začel veljati petnajsti dan po objavi v Uradnem listu Republike Slovenije.</w:t>
      </w:r>
    </w:p>
    <w:p w14:paraId="7074D109" w14:textId="1C322AE4" w:rsidR="00E07358" w:rsidRDefault="00A700BA" w:rsidP="00A700BA">
      <w:pPr>
        <w:pStyle w:val="Vir"/>
      </w:pPr>
      <w:r w:rsidRPr="00A700BA">
        <w:t>Vir: Urad za informacijsko varnost</w:t>
      </w:r>
    </w:p>
    <w:p w14:paraId="6E207D85" w14:textId="354E6B04" w:rsidR="00172B27" w:rsidRDefault="00172B27" w:rsidP="00172B27">
      <w:pPr>
        <w:pStyle w:val="Naslov2"/>
      </w:pPr>
      <w:r>
        <w:t>Vlada pripravila besedilo predloga zakona o spremembah in dopolnitvah ZZSDT-E za tretjo obravnavo v državnem zboru</w:t>
      </w:r>
    </w:p>
    <w:p w14:paraId="0E8CEE35" w14:textId="77777777" w:rsidR="00172B27" w:rsidRDefault="00172B27" w:rsidP="00172B27">
      <w:r>
        <w:t xml:space="preserve">Vlada je pripravila besedilo Predloga zakona o spremembah in dopolnitvah Zakona o zaposlovanju, samozaposlovanju in delu tujcev (ZZSDT-E), tretja obravnava in ga v obravnavo pošilja Državnemu zboru. Državni zbor je na 29. redni seji 28. marca 2025 sprejel sklep, da ZZSDT-E za tretjo obravnavo pripravi Vlada. Predlog zakona za tretjo obravnavo je pripravljen na podlagi Pregleda sprejetih amandmajev k Dopolnjenemu predlogu zakona o spremembah in dopolnitvah Zakona o zaposlovanju, </w:t>
      </w:r>
      <w:r>
        <w:lastRenderedPageBreak/>
        <w:t>samozaposlovanju in delu tujcev (ZZSDT-E), EPA 1992-IX in Pregleda členov, h katerim so bili amandmaji sprejeti.</w:t>
      </w:r>
    </w:p>
    <w:p w14:paraId="4C842BA6" w14:textId="06D4F8DA" w:rsidR="00E07358" w:rsidRDefault="00172B27" w:rsidP="00172B27">
      <w:pPr>
        <w:pStyle w:val="Vir"/>
      </w:pPr>
      <w:r>
        <w:t>Vir: Ministrstvo za delo, družino, socialne zadeve in enake možnosti</w:t>
      </w:r>
    </w:p>
    <w:p w14:paraId="526EE3A8" w14:textId="29384D0A" w:rsidR="009D6F0F" w:rsidRDefault="009D6F0F" w:rsidP="009D6F0F">
      <w:pPr>
        <w:pStyle w:val="Naslov2"/>
      </w:pPr>
      <w:r>
        <w:t>Vlada o izvajanju evropske uredbe o digitalni odpornosti za finančni sektor</w:t>
      </w:r>
    </w:p>
    <w:p w14:paraId="148337E8" w14:textId="77777777" w:rsidR="009D6F0F" w:rsidRDefault="009D6F0F" w:rsidP="009D6F0F">
      <w:r>
        <w:t xml:space="preserve">Vlada je danes izdala uredbo o izvajanju evropske uredbe o digitalni operativni odpornosti za finančni sektor. Ta je del širših prizadevanj Evropske unije za krepitev odpornosti finančnega sistema na kibernetske grožnje in zagotavljanje stabilnosti ter varnosti finančnih storitev v digitalni dobi. </w:t>
      </w:r>
    </w:p>
    <w:p w14:paraId="09047144" w14:textId="77777777" w:rsidR="009D6F0F" w:rsidRDefault="009D6F0F" w:rsidP="009D6F0F"/>
    <w:p w14:paraId="0A79E7BE" w14:textId="77777777" w:rsidR="009D6F0F" w:rsidRDefault="009D6F0F" w:rsidP="009D6F0F">
      <w:r>
        <w:t>Uredba o digitalni operativni odpornosti za finančni sektor določa enotne zahteve za zagotavljanje visoke digitalne operativne odpornosti finančnih subjektov. Glavna področja, ki jih uredba ureja, vključujejo:</w:t>
      </w:r>
    </w:p>
    <w:p w14:paraId="01BC13AF" w14:textId="2883B5CE" w:rsidR="009D6F0F" w:rsidRDefault="009D6F0F" w:rsidP="009D6F0F">
      <w:pPr>
        <w:pStyle w:val="Odstavekseznama"/>
        <w:numPr>
          <w:ilvl w:val="0"/>
          <w:numId w:val="20"/>
        </w:numPr>
      </w:pPr>
      <w:r>
        <w:t>obvladovanje tveganj na področju informacijske in komunikacijske tehnologije (IKT),</w:t>
      </w:r>
    </w:p>
    <w:p w14:paraId="274BC1C5" w14:textId="078E3419" w:rsidR="009D6F0F" w:rsidRDefault="009D6F0F" w:rsidP="009D6F0F">
      <w:pPr>
        <w:pStyle w:val="Odstavekseznama"/>
        <w:numPr>
          <w:ilvl w:val="0"/>
          <w:numId w:val="20"/>
        </w:numPr>
      </w:pPr>
      <w:r>
        <w:t>poročanje o incidentih, povezanih z IKT,</w:t>
      </w:r>
    </w:p>
    <w:p w14:paraId="205567F4" w14:textId="6AB6564D" w:rsidR="009D6F0F" w:rsidRDefault="009D6F0F" w:rsidP="009D6F0F">
      <w:pPr>
        <w:pStyle w:val="Odstavekseznama"/>
        <w:numPr>
          <w:ilvl w:val="0"/>
          <w:numId w:val="20"/>
        </w:numPr>
      </w:pPr>
      <w:r>
        <w:t>testiranje digitalne operativne odpornosti,</w:t>
      </w:r>
    </w:p>
    <w:p w14:paraId="0781CDC4" w14:textId="38299E9F" w:rsidR="009D6F0F" w:rsidRDefault="009D6F0F" w:rsidP="009D6F0F">
      <w:pPr>
        <w:pStyle w:val="Odstavekseznama"/>
        <w:numPr>
          <w:ilvl w:val="0"/>
          <w:numId w:val="20"/>
        </w:numPr>
      </w:pPr>
      <w:r>
        <w:t>obvladovanje tveganj pri uporabi tretjih ponudnikov storitev IKT,</w:t>
      </w:r>
    </w:p>
    <w:p w14:paraId="19BF8EAE" w14:textId="615AC48F" w:rsidR="009D6F0F" w:rsidRDefault="009D6F0F" w:rsidP="009D6F0F">
      <w:pPr>
        <w:pStyle w:val="Odstavekseznama"/>
        <w:numPr>
          <w:ilvl w:val="0"/>
          <w:numId w:val="20"/>
        </w:numPr>
      </w:pPr>
      <w:r>
        <w:t xml:space="preserve">izmenjavo informacij o kibernetskih tveganjih, </w:t>
      </w:r>
    </w:p>
    <w:p w14:paraId="64D15EB5" w14:textId="692F441E" w:rsidR="009D6F0F" w:rsidRDefault="009D6F0F" w:rsidP="009D6F0F">
      <w:pPr>
        <w:pStyle w:val="Odstavekseznama"/>
        <w:numPr>
          <w:ilvl w:val="0"/>
          <w:numId w:val="20"/>
        </w:numPr>
      </w:pPr>
      <w:r>
        <w:t>nadzor in izvrševanje pravil ter izvajanje določb uredbe.</w:t>
      </w:r>
    </w:p>
    <w:p w14:paraId="4F2B3A1E" w14:textId="77777777" w:rsidR="009D6F0F" w:rsidRDefault="009D6F0F" w:rsidP="009D6F0F"/>
    <w:p w14:paraId="48616E1C" w14:textId="77777777" w:rsidR="009D6F0F" w:rsidRDefault="009D6F0F" w:rsidP="009D6F0F">
      <w:r>
        <w:t>Uredba se uporablja za finančne subjekte in določa posebna pravila za nadzor nad ključnimi ponudniki IKT storitev, ne posega pa v nacionalne varnostne pristojnosti držav članic.</w:t>
      </w:r>
    </w:p>
    <w:p w14:paraId="5CCA0083" w14:textId="77777777" w:rsidR="009D6F0F" w:rsidRDefault="009D6F0F" w:rsidP="009D6F0F"/>
    <w:p w14:paraId="4C828159" w14:textId="77777777" w:rsidR="009D6F0F" w:rsidRDefault="009D6F0F" w:rsidP="009D6F0F">
      <w:r>
        <w:t>Predlog izvajalske uredbe določa tudi pristojne organe za izvajanje uredbe in organ za izvajanje nalog penetracijskega testiranja, ureja način opravljanja nadzora in poročanja o večjih incidentih, povezanih z IKT, in kibernetskih grožnjah, določa pa tudi nadzorne ukrepe ter prekrške in globe v zvezi z izvajanjem uredbe.</w:t>
      </w:r>
    </w:p>
    <w:p w14:paraId="4C8901E4" w14:textId="660FF479" w:rsidR="00E07358" w:rsidRDefault="009D6F0F" w:rsidP="009D6F0F">
      <w:pPr>
        <w:pStyle w:val="Vir"/>
      </w:pPr>
      <w:r w:rsidRPr="009D6F0F">
        <w:t>Vir: Ministrstvo za finance</w:t>
      </w:r>
    </w:p>
    <w:p w14:paraId="2068CB3E" w14:textId="356594F1" w:rsidR="00EC12C9" w:rsidRDefault="00EC12C9" w:rsidP="00EC12C9">
      <w:pPr>
        <w:pStyle w:val="Naslov2"/>
      </w:pPr>
      <w:r>
        <w:t>Odlok o podaljšanju trajanja začasnega ukrepa za premostitev zaostrenih varnostnih razmer zaradi kadrovskih ali prostorskih težav v zavodih za prestajanje kazni zapora</w:t>
      </w:r>
    </w:p>
    <w:p w14:paraId="7E1D758D" w14:textId="77777777" w:rsidR="00EC12C9" w:rsidRDefault="00EC12C9" w:rsidP="00EC12C9">
      <w:r>
        <w:t>Vlada je na današnji seji izdala Odlok o podaljšanju trajanja začasnega ukrepa za premostitev zaostrenih varnostnih razmer zaradi kadrovskih ali prostorskih težav v zavodih za prestajanje kazni zapora.</w:t>
      </w:r>
    </w:p>
    <w:p w14:paraId="4B33A892" w14:textId="52E0F074" w:rsidR="00EC12C9" w:rsidRDefault="00EC12C9" w:rsidP="00EC12C9">
      <w:r>
        <w:t>Na podlagi Zakona o izvrševanju kazenskih vlada z odlokom ugotovi zaostrene varnostne razmere zaradi kadrovskih ali prostorskih težav v zavodih ter določi vrsto in način izvršitve enega ali več začasnih ukrepov in trajanje njihove veljavnosti tako, da so ti glede na kadrovske oziroma prostorske težave v zavodih, nujni, primerni in sorazmerni za varovanje življenja in zdravja varovanih oseb in varstvo njihovih človekovih pravic in temeljnih svoboščin ter za zagotavljanje nemotenega dela v zavodih. Zakon  tudi določa, da če zaostrene varnostne razmere zaradi kadrovskih ali prostorskih težav v zavodih trajajo dlje kot tri mesece, vlada trajanje začasnih ukrepov na obrazložen predlog ministra, pristojnega za pravosodje, podaljša z odlokom, vendar vsakič najdlje za tri mesece.</w:t>
      </w:r>
    </w:p>
    <w:p w14:paraId="29CFBEE9" w14:textId="77777777" w:rsidR="00EC12C9" w:rsidRDefault="00EC12C9" w:rsidP="00EC12C9"/>
    <w:p w14:paraId="4CD9FBD3" w14:textId="133DD779" w:rsidR="00EC12C9" w:rsidRDefault="00EC12C9" w:rsidP="00EC12C9">
      <w:r>
        <w:t xml:space="preserve">Na dan 25. 3. 2025 je v zavodih za prestajanje kazni zapora delež varovanih oseb na posameznega pravosodnega policista dosegel 3,46 varovane osebe. To pomeni, da je na dan 25. 3. 2025 delež varovanih oseb na posameznega pravosodnega policista presegel zakonsko določeno mejo 2,5 varovane osebe za odreditev začasnih ukrepov, in sicer za 0,96 deleža varovane osebe na enega pravosodnega policista. Prav tako so zavodi za prestajanje kazni zapora na dan 25. 3. 2025 v povprečju zasedeni 133, 64 %, med njimi Zavod za prestajanje kazni zapora Ljubljana 174, 81 %, </w:t>
      </w:r>
    </w:p>
    <w:p w14:paraId="37F22492" w14:textId="77777777" w:rsidR="00EC12C9" w:rsidRDefault="00EC12C9" w:rsidP="00EC12C9">
      <w:r>
        <w:lastRenderedPageBreak/>
        <w:t xml:space="preserve">Zavod za prestajanje kazni zapora Dob pri Mirni 134,19 %, Zavod za prestajanje kazni zapora Maribor 144,29 %, Zavod za prestajanje kazni zapora Koper 146,23 % in Zavod za prestajanje mladoletniškega zapora in kazni zapora Celje 153,61%. </w:t>
      </w:r>
    </w:p>
    <w:p w14:paraId="2B70C70B" w14:textId="77777777" w:rsidR="00EC12C9" w:rsidRDefault="00EC12C9" w:rsidP="00EC12C9"/>
    <w:p w14:paraId="17D6B6BE" w14:textId="2D7334C3" w:rsidR="00EC12C9" w:rsidRDefault="00EC12C9" w:rsidP="00EC12C9">
      <w:r>
        <w:t xml:space="preserve">To pomeni, da je na dan 25. 3. 2025 zasedenost zavodov za prestajanje kazni zapora presegla zakonsko določeno mejo 20 % nad uradno ugotovljeno zmogljivostjo vseh zavodov skupaj za odreditev začasnih ukrepov, in sicer za 13,64 %.    </w:t>
      </w:r>
    </w:p>
    <w:p w14:paraId="7A00BA66" w14:textId="77777777" w:rsidR="00EC12C9" w:rsidRDefault="00EC12C9" w:rsidP="00EC12C9"/>
    <w:p w14:paraId="232D585D" w14:textId="37BBDF27" w:rsidR="00EC12C9" w:rsidRDefault="00EC12C9" w:rsidP="00EC12C9">
      <w:r>
        <w:t xml:space="preserve">Ministrica, pristojna za pravosodje, na pobudo generalnega direktorja Uprave RS za izvrševanje kazenskih sankcij z dne 12. 12. 2024, vladi s tem odlokom predlaga podaljšanje veljavnosti začasnega ukrepa opravljanja del in nalog pravosodnega policista s strani delavca uprave, ki je bil v preteklosti zaposlen na delovnem mestu pravosodni policist (10.c člen ZIKS-1), v trajanju nadaljnjih treh mesecev.  </w:t>
      </w:r>
    </w:p>
    <w:p w14:paraId="72ABA895" w14:textId="5A495444" w:rsidR="00E07358" w:rsidRDefault="00EC12C9" w:rsidP="00EC12C9">
      <w:pPr>
        <w:pStyle w:val="Vir"/>
      </w:pPr>
      <w:r w:rsidRPr="00EC12C9">
        <w:t>Vir: Ministrstvo za pravosodje</w:t>
      </w:r>
    </w:p>
    <w:p w14:paraId="0EEED3DA" w14:textId="1F7C8BD6" w:rsidR="000E19C6" w:rsidRDefault="000E19C6" w:rsidP="000E19C6">
      <w:pPr>
        <w:pStyle w:val="Naslov2"/>
      </w:pPr>
      <w:r>
        <w:t>Vlada podaljšala koncesijo za odvzem naplavin iz struge Soče pri Žvikarju</w:t>
      </w:r>
    </w:p>
    <w:p w14:paraId="3058F837" w14:textId="55965CEB" w:rsidR="000E19C6" w:rsidRDefault="000E19C6" w:rsidP="000E19C6">
      <w:r>
        <w:t>Vlada je izdala odločbo, s katero se obstoječemu koncesionarju, družbi Avtoprevozništvo Robert Žagar, do 3</w:t>
      </w:r>
      <w:r w:rsidR="005D1E65">
        <w:t>0</w:t>
      </w:r>
      <w:r>
        <w:t xml:space="preserve">. </w:t>
      </w:r>
      <w:r w:rsidR="005D1E65">
        <w:t>6</w:t>
      </w:r>
      <w:r>
        <w:t>. 2026 podaljša koncesija za odvzem naplavin iz struge Soče pri Žvikarju. Pred podaljšanjem koncesije je vlada preverila, ali obstoječi koncesionar za to izpolnjuje vse zahtevane pogoje.</w:t>
      </w:r>
    </w:p>
    <w:p w14:paraId="6617B7AA" w14:textId="60372CAC" w:rsidR="00E07358" w:rsidRDefault="000E19C6" w:rsidP="000E19C6">
      <w:pPr>
        <w:pStyle w:val="Vir"/>
      </w:pPr>
      <w:r>
        <w:t>Vir: Ministrstvo za naravne vire in prostor</w:t>
      </w:r>
    </w:p>
    <w:p w14:paraId="252E1209" w14:textId="096C5CEC" w:rsidR="009730C3" w:rsidRDefault="009730C3" w:rsidP="009730C3">
      <w:pPr>
        <w:pStyle w:val="Naslov2"/>
      </w:pPr>
      <w:r>
        <w:t>Vlada prerazporeja sredstva državnega proračuna</w:t>
      </w:r>
    </w:p>
    <w:p w14:paraId="27C40C16" w14:textId="77777777" w:rsidR="009730C3" w:rsidRDefault="009730C3" w:rsidP="009730C3">
      <w:r>
        <w:t>Vlada je na današnji seji odločila o prerazporeditvah pravic porabe v letošnjem državnem proračunu.</w:t>
      </w:r>
    </w:p>
    <w:p w14:paraId="27106F67" w14:textId="77777777" w:rsidR="009730C3" w:rsidRDefault="009730C3" w:rsidP="009730C3"/>
    <w:p w14:paraId="3C8E79DE" w14:textId="77777777" w:rsidR="009730C3" w:rsidRDefault="009730C3" w:rsidP="009730C3">
      <w:r>
        <w:t>Ministrstvo za gospodarstvo, turizem in šport prerazporeja pravice porabe znotraj svojega finančnega načrta, in sicer v vrednosti 1,8 milijona evrov. Prerazporeditev se izvede za namen sofinanciranja priprave za udeležbo slovenske odprave na zimskih olimpijskih igrah v Milanu in Cortini d'Ampezzo.</w:t>
      </w:r>
    </w:p>
    <w:p w14:paraId="40E5FD02" w14:textId="77777777" w:rsidR="009730C3" w:rsidRDefault="009730C3" w:rsidP="009730C3"/>
    <w:p w14:paraId="52281AE1" w14:textId="77777777" w:rsidR="009730C3" w:rsidRDefault="009730C3" w:rsidP="009730C3">
      <w:r>
        <w:t xml:space="preserve">Med drugim Ministrstvo za kmetijstvo, gozdarstvo in prehrano prerazporeja sredstva znotraj svojega finančnega načrta višini 9 milijonov evrov. Gre za prerazporeditev sredstev za namen zagotovitev zadostnega obsega pravic porabe za izvedbo javnega razpisa za vzpostavitev gospodarstev mladih kmetov v okviru Skupnega strateškega načrta 2023-2027 ter za izvedbo aktivnosti za raziskovalne in inovacijske dejavnosti za razvoj kmetijstva ter širšo okoljsko in ekonomsko stabilnost v Evropski uniji. </w:t>
      </w:r>
    </w:p>
    <w:p w14:paraId="1761873F" w14:textId="77777777" w:rsidR="009730C3" w:rsidRDefault="009730C3" w:rsidP="009730C3">
      <w:pPr>
        <w:pStyle w:val="Vir"/>
      </w:pPr>
      <w:bookmarkStart w:id="0" w:name="_Hlk195168908"/>
      <w:r>
        <w:t>Vir: Ministrstvo za finance</w:t>
      </w:r>
    </w:p>
    <w:bookmarkEnd w:id="0"/>
    <w:p w14:paraId="1B9AAE81" w14:textId="38C7DA69" w:rsidR="009C6F2C" w:rsidRDefault="009C6F2C" w:rsidP="009C6F2C">
      <w:pPr>
        <w:pStyle w:val="Naslov2"/>
      </w:pPr>
      <w:r>
        <w:t>Predlog amandmaja k predlogu zakona o spremembah in dopolnitvah Zakona o tujcih</w:t>
      </w:r>
    </w:p>
    <w:p w14:paraId="67D84125" w14:textId="77777777" w:rsidR="009C6F2C" w:rsidRDefault="009C6F2C" w:rsidP="009C6F2C">
      <w:r>
        <w:t xml:space="preserve">Vlada Republike Slovenije je določila besedilo predloga amandmaja k Predlogu zakona o spremembah in dopolnitvah Zakona o tujcih, tretja obravnava, in ga pošlje v obravnavo državnemu zboru. </w:t>
      </w:r>
    </w:p>
    <w:p w14:paraId="6E482412" w14:textId="77777777" w:rsidR="009C6F2C" w:rsidRDefault="009C6F2C" w:rsidP="009C6F2C"/>
    <w:p w14:paraId="7D4F3942" w14:textId="609CBB80" w:rsidR="00E07358" w:rsidRDefault="009C6F2C" w:rsidP="009C6F2C">
      <w:r>
        <w:t>S predlaganim amandmajem, ki ga je pripravilo Ministrstvo za notranje zadeve, se določa šestmesečni zamik uporabe (prej dva meseca) za prehod med statusi za osebe s priznano mednarodno zaščito in začasno zaščito, pridobitev enotnega dovoljenja za prosilce za mednarodno zaščito in možnost vložitve prošnje za enotno dovoljenje za zavrnjene prosilce za mednarodno zaščito. Daljši rok začetka uporabe določb je potreben zaradi nadgradnje Registra tujcev in Azilnega registra.</w:t>
      </w:r>
    </w:p>
    <w:p w14:paraId="062EC147" w14:textId="44645F73" w:rsidR="009C6F2C" w:rsidRDefault="009C6F2C" w:rsidP="009C6F2C">
      <w:pPr>
        <w:pStyle w:val="Vir"/>
      </w:pPr>
      <w:r w:rsidRPr="009C6F2C">
        <w:lastRenderedPageBreak/>
        <w:t>Vir: Ministrstvo za notranje zadeve</w:t>
      </w:r>
    </w:p>
    <w:p w14:paraId="3D6986AC" w14:textId="50FC4E24" w:rsidR="00AC27A3" w:rsidRDefault="00AC27A3" w:rsidP="00AC27A3">
      <w:pPr>
        <w:pStyle w:val="Naslov2"/>
      </w:pPr>
      <w:r>
        <w:t>V Načrt razvojnih programov uvrščen projekt dozidave Onkološkega inštituta Ljubljana</w:t>
      </w:r>
    </w:p>
    <w:p w14:paraId="2F531308" w14:textId="77777777" w:rsidR="00AC27A3" w:rsidRDefault="00AC27A3" w:rsidP="00AC27A3">
      <w:r>
        <w:t xml:space="preserve">Vlada je potrdila, da se v Načrt razvojnih programov za obdobje 2025-2028 uvrsti nov projekt Onkološki inštitut Ljubljana – Dozidava. Investicija obsega nadzidavo stavbe H in novogradnjo stavbe R Onkološkega inštituta Ljubljana (OI Ljubljana). </w:t>
      </w:r>
    </w:p>
    <w:p w14:paraId="210DD660" w14:textId="77777777" w:rsidR="00AC27A3" w:rsidRDefault="00AC27A3" w:rsidP="00AC27A3"/>
    <w:p w14:paraId="2AE5EAC2" w14:textId="77777777" w:rsidR="00AC27A3" w:rsidRDefault="00AC27A3" w:rsidP="00AC27A3">
      <w:r>
        <w:t>Namen investicije je zagotoviti osnovno možnost nemotenega oziroma nadaljnjega izvajanja dejavnosti, ki poteka na OI Ljubljana in njegov strokovni razvoj. Ključni cilji vključujejo izboljšanje zdravstvene infrastrukture za zagotavljanje sodobnih, kakovostnih in varnih zdravstvenih storitev, povečanje prostorskih zmogljivosti za onkološke storitve, ustvarjanje pogojev za strokovno delo zdravstvenega osebja ter vzdrževanje visokega nivoja strokovnosti. Investicija bo omogočala večjo dostopnost do zdravstvenih storitev, učinkovitejšo obravnavo bolnikov, kar vključuje skrajšanje čakalnih dob in boljšo organizacijo prostora, tudi v primeru epidemičnih izbruhov.</w:t>
      </w:r>
    </w:p>
    <w:p w14:paraId="516BCBB3" w14:textId="77777777" w:rsidR="00AC27A3" w:rsidRDefault="00AC27A3" w:rsidP="00AC27A3"/>
    <w:p w14:paraId="2B41C88B" w14:textId="2F7266D9" w:rsidR="00AC27A3" w:rsidRDefault="00AC27A3" w:rsidP="00AC27A3">
      <w:r>
        <w:t>Ocenjena vrednost investicije znaša 42.799.775,39 evra z DDV. Zaključek investicije je predviden v letu 2028.</w:t>
      </w:r>
    </w:p>
    <w:p w14:paraId="16BCFC47" w14:textId="39AE1CFB" w:rsidR="00AC27A3" w:rsidRDefault="00AC27A3" w:rsidP="00AC27A3">
      <w:pPr>
        <w:pStyle w:val="Vir"/>
      </w:pPr>
      <w:r>
        <w:t>Vir: Ministrstvo za zdravje</w:t>
      </w:r>
    </w:p>
    <w:p w14:paraId="1A5923E5" w14:textId="2CBE8432" w:rsidR="00425CCE" w:rsidRDefault="00425CCE" w:rsidP="00425CCE">
      <w:pPr>
        <w:pStyle w:val="Naslov2"/>
      </w:pPr>
      <w:r>
        <w:t>Imenovanje generalne sekretarke v Ministrstvu za zunanje in evropske zadeve</w:t>
      </w:r>
    </w:p>
    <w:p w14:paraId="68C2C69B" w14:textId="77777777" w:rsidR="00425CCE" w:rsidRDefault="00425CCE" w:rsidP="00425CCE">
      <w:r>
        <w:t>Vlada Republike Slovenije je izdala odločbo o imenovanju Barbare Žvokelj za generalno sekretarko v Ministrstvu za zunanje in evropske zadeve za dobo petih let, in sicer od 11. 4. 2025 do 10. 4. 2030, z možnostjo ponovnega imenovanja.</w:t>
      </w:r>
    </w:p>
    <w:p w14:paraId="02E11425" w14:textId="1E770179" w:rsidR="006A6F4E" w:rsidRDefault="00425CCE" w:rsidP="00425CCE">
      <w:pPr>
        <w:pStyle w:val="Vir"/>
      </w:pPr>
      <w:r>
        <w:t>Vir: Ministrstvo za zunanje in evropske zadeve</w:t>
      </w:r>
    </w:p>
    <w:p w14:paraId="5BE1FDB2" w14:textId="34590654" w:rsidR="00255FE2" w:rsidRDefault="00255FE2" w:rsidP="00255FE2">
      <w:pPr>
        <w:pStyle w:val="Naslov2"/>
      </w:pPr>
      <w:r>
        <w:t>Imenovanje nove predstavnice ustanovitelja v svet Javnega zavoda Hiša za otroke</w:t>
      </w:r>
    </w:p>
    <w:p w14:paraId="19F9871A" w14:textId="77777777" w:rsidR="00255FE2" w:rsidRDefault="00255FE2" w:rsidP="00255FE2">
      <w:r>
        <w:t xml:space="preserve">Vlada je novembra 2021 imenovala pet predstavnikov ustanovitelja v svet Javnega zavoda Hiša za otroke. Sklep o ustanovitvi Javnega zavoda Hiša za otroke določa, da dva člana sveta zavoda imenuje ustanoviteljica na predlog ministrstva, pristojnega za pravosodje. Mija Cankar, ki je bila v svet zavoda imenovana na predlog Ministrstva za pravosodje, je 26. 3. 2025 odstopila kot članica sveta zavoda. </w:t>
      </w:r>
    </w:p>
    <w:p w14:paraId="14C0A785" w14:textId="77777777" w:rsidR="00255FE2" w:rsidRDefault="00255FE2" w:rsidP="00255FE2"/>
    <w:p w14:paraId="7E425CE8" w14:textId="3DE76033" w:rsidR="006A6F4E" w:rsidRDefault="00255FE2" w:rsidP="00255FE2">
      <w:r>
        <w:t>Vlada je sprejela sklep, da se za preostanek mandata sveta Javnega zavoda Hiša za otroke od 11. 4. 2024 do 17. 12. 2025 v svet zavoda kot predstavnica ustanovitelja imenuje Sabina Klaneček.</w:t>
      </w:r>
    </w:p>
    <w:p w14:paraId="775AF60A" w14:textId="7D4DF677" w:rsidR="00255FE2" w:rsidRDefault="00255FE2" w:rsidP="00255FE2">
      <w:pPr>
        <w:pStyle w:val="Vir"/>
      </w:pPr>
      <w:r w:rsidRPr="00255FE2">
        <w:t>Vir: Ministrstvo za pravosodje</w:t>
      </w:r>
    </w:p>
    <w:p w14:paraId="48206CE3" w14:textId="50360B9B" w:rsidR="0001186F" w:rsidRDefault="0001186F" w:rsidP="0001186F">
      <w:pPr>
        <w:pStyle w:val="Naslov2"/>
      </w:pPr>
      <w:r>
        <w:t>Vlada imenovala predstavnike ustanovitelja v svet javnega zavoda CUDHg Idrija</w:t>
      </w:r>
    </w:p>
    <w:p w14:paraId="1EFE1B6E" w14:textId="35449AF6" w:rsidR="0001186F" w:rsidRDefault="0001186F" w:rsidP="0001186F">
      <w:r>
        <w:t>Vlada  je na predlog ministrice za kulturo imenovala tri predstavnice ustanovitelja v svet javnega zavoda Center za upravljanje z dediščino živega srebra Idrija (CUDHg Idrija) za petletni mandat.</w:t>
      </w:r>
    </w:p>
    <w:p w14:paraId="156F1212" w14:textId="77777777" w:rsidR="0001186F" w:rsidRDefault="0001186F" w:rsidP="0001186F">
      <w:r>
        <w:t>Nove članice sveta zavoda so Tanja Bakan Rožič, Barbara Mlakar in Martina Gašperlin. Skupaj s predstavnikom lokalne skupnosti, ki ga imenuje Občina Idrija, in predstavnikom zaposlenih, ki ga izvolijo delavci zavoda, bodo oblikovale nov sestav sveta zavoda.</w:t>
      </w:r>
    </w:p>
    <w:p w14:paraId="37C11743" w14:textId="77777777" w:rsidR="0001186F" w:rsidRDefault="0001186F" w:rsidP="0001186F"/>
    <w:p w14:paraId="6114FE79" w14:textId="23F98DC9" w:rsidR="0001186F" w:rsidRDefault="0001186F" w:rsidP="0001186F">
      <w:r>
        <w:t xml:space="preserve">Imenovanje članic sveta zavoda sledi rednemu zaključku mandata prejšnjega sveta, katerega mandat se je iztekel februarja letos. Z novim imenovanjem se zagotavlja nemoteno delovanje in upravljanje zavoda, ki skrbi za ohranjanje in promocijo izjemne dediščine živega srebra v Idriji. </w:t>
      </w:r>
    </w:p>
    <w:p w14:paraId="7D736229" w14:textId="77777777" w:rsidR="0001186F" w:rsidRDefault="0001186F" w:rsidP="0001186F">
      <w:r>
        <w:lastRenderedPageBreak/>
        <w:t>Predlagane kandidate izpolnjujejo pogoje za imenovanje. Podale so soglasje in predložile izpolnjene in podpisane izjave.</w:t>
      </w:r>
    </w:p>
    <w:p w14:paraId="30C5FBEC" w14:textId="358DE5E4" w:rsidR="0001186F" w:rsidRDefault="0001186F" w:rsidP="0001186F">
      <w:r>
        <w:t xml:space="preserve">Tanja Bakan Rožič, univ. dipl. ekonomistka, rojena 25. 2.1963 v Mariboru. Leta 1986 je diplomirala na Visoki ekonomski komercialni šoli v Mariboru. Delovne izkušnje: osem let je bila kot referentka zaposlena na Slovenskih železnicah, šest let je bila svetovalka ministra na Ministrstvu za ekonomske odnose in razvoj, kjer je pridobila izkušnje s področja lastninskih preoblikovanj podjetij, 24 let pa opravlja delo sekretarke na Ministrstvu za gospodarstvo, turizem in šport. Ključne naloge in pristojnosti, ki jih ima so naloge na področju upravljanja premoženja, naloge povezane z državnimi pomočmi gospodarskim družbam v težavah, naloge s področja prava družb, trgovine in varstva potrošnikov ter vodenje sektorjev na navedenih področjih.  </w:t>
      </w:r>
    </w:p>
    <w:p w14:paraId="5D3336DA" w14:textId="2640FC43" w:rsidR="0001186F" w:rsidRDefault="0001186F" w:rsidP="0001186F">
      <w:r>
        <w:t xml:space="preserve">Barbara Mlakar, univ. dipl. inž. krajinske arhitekture, rojena 23. 1. 1968 v Celju. Leta 1994 je diplomirala na Katedri za krajinsko arhitekturo Biotehniške fakultete Univerze v Ljubljani. Delovne izkušnje: od marca 1995 do 2004 zaposlena na Upravi RS za kulturno dediščino, sprva kot svetovalka za varstvo vrtne in parkovne dediščine, kasneje kot višja svetovalka za varstvo kulturne dediščine pri posegih v prostor in svetovalka direktorja Uprave RS za kulturno dediščino. Od 2004 dalje zaposlena na Ministrstvu za kulturo, Direktoratu za kulturno dediščino, od leta 2008 kot sekretarka. V obdobju od junija 2013 do marca 2015 je bila vodja Sektorja za nepremično kulturno dediščino, prav tako od januarja 2023 do julija 2024. Ključne naloge in pristojnosti so vezane na pripravo smernic in mnenj v postopkih priprave in sprejema občinskih prostorskih načrtov ter presoj vplivov prostorskih in programskih dokumentov na okolje (kulturno dediščino), zagotavljanje varstva v zakonskih in podzakonskih aktih s področja urejanja prostora in prostorskega načrtovanja, graditve objektov, ohranjanja narave in varstva okolja, usmerjanje varstva krajinsko-arhitekturne dediščine ter vključevanja varstva kulturne dediščine v pripravo gozdnogospodarskih načrtov in program razvoja podeželja. </w:t>
      </w:r>
    </w:p>
    <w:p w14:paraId="02F2DBBD" w14:textId="6D3B7569" w:rsidR="0001186F" w:rsidRDefault="0001186F" w:rsidP="0001186F">
      <w:r>
        <w:t xml:space="preserve">Martina Gašperlin, univ. dipl. pravnica, rojena 22. 9. 1975 v Bratislavi. Leta 2002 je diplomirala na Pravni fakulteti Univerze v Ljubljani. Delovne izkušnje: od leta 2002 do 2013 je opravljala delo pravnega svetovalca za mednarodno pravo na takratnem Ministrstvu za gospodarski razvoj in tehnologijo, od aprila do septembra 2013 je bila zaposlena v kabinetu Generalne sekretarke Vlade RS. V okviru Ministrstva za gospodarski razvoj in tehnologijo je od septembra 2013 do 2016 opravljala naloge pravne svetovalke na Sektorju za varstvo potrošnikov in konkurence Evropskega potrošniškega centra, do maja 2017 je kot podsekretarka na Direktoratu za notranji trg vodila koordinacijo projekta strateške investicije Magna Steyr, do aprila 2020 je opravljala naloge sekretarke na Direktoratu za internacionalizacijo, podjetništvo in tehnologijo, do avgusta 2020 je opravljala funkcijo v. d. generalne direktorice Direktorata za internacionalizacijo, podjetništvo in tehnologijo, od septembra 2020 do septembra 2022 je opravljala funkcijo v. d. glavne tržne inšpektorice Tržni inšpektorat Republike Slovenije, od marca do maja 2022 je delovala kot sekretarka Direktorata za notranji trg, Sektorja za varstvo potrošnikov in konkurence. Na Ministrstvu za okolje in prostor je od decembra 2022 do marca 2023 bila v. d. glavne inšpektorice za okolje in prostor Inšpektorata Republike Slovenije za okolje in prostor, od marca 2023 do marca 2024 v. d. glavne inšpektorice za naravne vire in prostor, Inšpektorata za naravne vire in prostor, Ministrstva za naravne vire in prostor. Od marca 2024 dalje vodi Sektorja za gospodarsko pravo Direktorata za notranji trg na Ministrstvu za gospodarstvo, turizem in šport. </w:t>
      </w:r>
    </w:p>
    <w:p w14:paraId="3309A587" w14:textId="39E48EB1" w:rsidR="006A6F4E" w:rsidRDefault="0001186F" w:rsidP="0001186F">
      <w:pPr>
        <w:pStyle w:val="Vir"/>
      </w:pPr>
      <w:r>
        <w:t>Vir: Ministrstvo za kulturo</w:t>
      </w:r>
    </w:p>
    <w:p w14:paraId="28C74303" w14:textId="7786DF8D" w:rsidR="00F83BAF" w:rsidRDefault="00F83BAF" w:rsidP="00F83BAF">
      <w:pPr>
        <w:pStyle w:val="Naslov2"/>
      </w:pPr>
      <w:r>
        <w:t xml:space="preserve">Vlada spremenila Sklep o imenovanju članov Sveta Vlade Republike Slovenije za mladino </w:t>
      </w:r>
    </w:p>
    <w:p w14:paraId="03CACF12" w14:textId="77777777" w:rsidR="00F83BAF" w:rsidRDefault="00F83BAF" w:rsidP="00F83BAF">
      <w:r>
        <w:t>Vlada je sprejela sklep, da se v Svetu Vlade Republike Slovenije za mladino razreši Tjašo Sobočan. Namesto razrešene predstavnice pa se do 4. novembra 2025 imenuje namestnico članice Eriko Lenčič Stojanovič, iz Ministrstva za digitalno preobrazbo.</w:t>
      </w:r>
    </w:p>
    <w:p w14:paraId="272A9357" w14:textId="5FF87331" w:rsidR="006A6F4E" w:rsidRDefault="00F83BAF" w:rsidP="00F83BAF">
      <w:pPr>
        <w:pStyle w:val="Vir"/>
      </w:pPr>
      <w:r>
        <w:t>Vir: Ministrstvo za vzgojo in izobraževanje</w:t>
      </w:r>
    </w:p>
    <w:p w14:paraId="4E437C7D" w14:textId="0802ABAE" w:rsidR="00A414B5" w:rsidRDefault="00A414B5" w:rsidP="00A414B5">
      <w:pPr>
        <w:pStyle w:val="Naslov2"/>
      </w:pPr>
      <w:r>
        <w:lastRenderedPageBreak/>
        <w:t xml:space="preserve">Vlada spremenila sklep o ustanovitvi Nacionalnega sveta za bralno pismenost </w:t>
      </w:r>
    </w:p>
    <w:p w14:paraId="6FF67D41" w14:textId="77777777" w:rsidR="00A414B5" w:rsidRDefault="00A414B5" w:rsidP="00A414B5">
      <w:r>
        <w:t xml:space="preserve">Vlada je 19. decembra 2019 sprejela Nacionalno strategijo bralne pismenosti za obdobje 2019–2030 (NSBP). Omenjena strategija je predvidela, da vlada imenuje Nacionalni svet za bralno pismenost, ki spremlja uresničevanje NSBP. Nacionalni svet za bralno pismenost sestavljajo strokovnjakinje in strokovnjaki s področja pismenosti od predšolske vzgoje do tretjega življenjskega obdobja, ki pokrivajo različne vidike razvoja pismenosti, ter predstavniki vladnih resorjev, ključnih za razvoj pismenosti. Administrativno in tehnično podporo ter sredstva za njegovo delovanje zagotovi Ministrstvo za vzgojo in izobraževanje. </w:t>
      </w:r>
    </w:p>
    <w:p w14:paraId="5E301ECC" w14:textId="77777777" w:rsidR="00A414B5" w:rsidRDefault="00A414B5" w:rsidP="00A414B5"/>
    <w:p w14:paraId="771A5F6F" w14:textId="77777777" w:rsidR="00A414B5" w:rsidRDefault="00A414B5" w:rsidP="00A414B5">
      <w:r>
        <w:t>Vlada je sprejela Sklep o ustanovitvi Nacionalnega sveta za bralno pismenost. Zaradi boljše pokritosti deležnikov je bila predlagana sprememba navedenega sklepa, tako da v svetu namesto dveh predstavnikov Ministrstva za delo, družino, socialno zadeve in enake možnosti deluje le predstavnik navedenega ministrstva, da namesto enega predstavnika Zavoda Antona Martina Slomška, v zastopanosti zavodov s področja vzgoje in izobraževanja, deluje en predstavnik Centra Republike Slovenije za poklicno in strokovno izobraževanje, namesto enega predstavnika samostojnega visokošolskega zavoda pa se določi enega predstavnika Pedagoškega inštituta.</w:t>
      </w:r>
    </w:p>
    <w:p w14:paraId="271D69BC" w14:textId="34CEC023" w:rsidR="006A6F4E" w:rsidRDefault="00A414B5" w:rsidP="00A414B5">
      <w:pPr>
        <w:pStyle w:val="Vir"/>
      </w:pPr>
      <w:r>
        <w:t>Vir: Ministrstvo za vzgojo in izobraževanje</w:t>
      </w:r>
    </w:p>
    <w:p w14:paraId="0663E5B0" w14:textId="7FB8F67C" w:rsidR="00064764" w:rsidRDefault="00064764" w:rsidP="00064764">
      <w:pPr>
        <w:pStyle w:val="Naslov2"/>
      </w:pPr>
      <w:r>
        <w:t>Vlada imenovala nova namestnika članov v Komisijo za nadzor izvoza blaga z dvojno rabo</w:t>
      </w:r>
    </w:p>
    <w:p w14:paraId="6272C144" w14:textId="0CD24C43" w:rsidR="00064764" w:rsidRDefault="00064764" w:rsidP="00064764">
      <w:r>
        <w:t>Vlada je sprejela sklep o spremembi sklepa o imenovanju članov Komisije za nadzor izvoza blaga z dvojno rabo. S tem je na predlog pristojnih ministrstev imenovala dva nova namestnika članov komisije.</w:t>
      </w:r>
    </w:p>
    <w:p w14:paraId="676D474F" w14:textId="77777777" w:rsidR="00064764" w:rsidRDefault="00064764" w:rsidP="00064764"/>
    <w:p w14:paraId="66559A55" w14:textId="77777777" w:rsidR="00064764" w:rsidRDefault="00064764" w:rsidP="00064764">
      <w:r>
        <w:t>Na predlog Ministrstva za visoko šolstvo, znanost in inovacije je vlada razrešila Andreja Maležiča z mesta namestnika člana komisije in na njegovo mesto imenovala Tamarо Mali Kosi ter na predlog Ministrstva za notranje zadeve razrešila Alberta Černigoja in na njegovo mesto imenovala Matjaža Vrhovnika.</w:t>
      </w:r>
    </w:p>
    <w:p w14:paraId="7D0E99A6" w14:textId="77777777" w:rsidR="00064764" w:rsidRDefault="00064764" w:rsidP="00064764"/>
    <w:p w14:paraId="34296F4A" w14:textId="77777777" w:rsidR="00064764" w:rsidRDefault="00064764" w:rsidP="00064764">
      <w:r>
        <w:t>Komisija za nadzor izvoza blaga z dvojno rabo je bila ustanovljena na podlagi Zakona o nadzoru izvoza blaga z dvojno rabo in Odloka o njeni ustanovitvi. V njej sodelujejo predstavniki ministrstev in drugih organov državne uprave, ki so po svojem delovnem področju pristojni za presojo in nadzor nad izvozom tovrstnega blaga.</w:t>
      </w:r>
    </w:p>
    <w:p w14:paraId="349F38A2" w14:textId="77777777" w:rsidR="00064764" w:rsidRDefault="00064764" w:rsidP="00064764"/>
    <w:p w14:paraId="5B4C7505" w14:textId="77777777" w:rsidR="00064764" w:rsidRDefault="00064764" w:rsidP="00064764">
      <w:r>
        <w:t>Nadzor nad izvozom blaga z dvojno rabo je pomemben element zagotavljanja nacionalne in mednarodne varnosti. Gre za blago, programsko opremo in tehnologijo, ki imajo civilno rabo, vendar jih je zaradi tehničnih lastnosti mogoče uporabiti tudi v vojaške namene ali za proizvodnjo orožja za množično uničevanje. Takšno blago zajema širok spekter področij, kot so jedrska, kemična in biološka tehnologija, telekomunikacije, računalništvo, šifriranje, senzorji, letalska in pomorska oprema.</w:t>
      </w:r>
    </w:p>
    <w:p w14:paraId="1F321650" w14:textId="77777777" w:rsidR="00064764" w:rsidRDefault="00064764" w:rsidP="00064764"/>
    <w:p w14:paraId="5F8EB834" w14:textId="77777777" w:rsidR="00064764" w:rsidRDefault="00064764" w:rsidP="00064764">
      <w:r>
        <w:t>Učinkovit in dobro usklajen sistem nadzora omogoča zakonito trgovino s tovrstnim blagom, varuje interese slovenskih podjetij z visoko dodano vrednostjo ter utrjuje mednarodno kredibilnost Slovenije na področju izvoza visoke tehnologije.</w:t>
      </w:r>
    </w:p>
    <w:p w14:paraId="50BF2ED0" w14:textId="3028D51F" w:rsidR="006A6F4E" w:rsidRDefault="00064764" w:rsidP="00064764">
      <w:pPr>
        <w:pStyle w:val="Vir"/>
      </w:pPr>
      <w:r>
        <w:t>Vir: Ministrstvo za gospodarstvo, turizem in šport</w:t>
      </w:r>
    </w:p>
    <w:p w14:paraId="4044E893" w14:textId="5F59CE77" w:rsidR="00C2149A" w:rsidRPr="006429DF" w:rsidRDefault="006429DF" w:rsidP="006429DF">
      <w:pPr>
        <w:pStyle w:val="Naslov2"/>
      </w:pPr>
      <w:r w:rsidRPr="006429DF">
        <w:t>Vlada sprejela sklep o imenovanju in nalogah Stalne medresorske koordinacijske skupine za spremljanje in usmerjanje implementacije ukrepov na področju vojaške mobilnosti</w:t>
      </w:r>
    </w:p>
    <w:p w14:paraId="117BA1D8" w14:textId="77777777" w:rsidR="00C2149A" w:rsidRDefault="00C2149A" w:rsidP="00C2149A">
      <w:r>
        <w:t xml:space="preserve">Stalno medresorsko koordinacijsko skupino za spremljanje in usmerjanje implementacije ukrepov na področju vojaške mobilnosti v Republiki Sloveniji je Vlada Republike Slovenije ustanovila 22. </w:t>
      </w:r>
      <w:r>
        <w:lastRenderedPageBreak/>
        <w:t>novembra 2018 s Sklepom o ustanovitvi Stalne medresorske koordinacijske skupine za spremljanje in usmerjanje implementacije ukrepov na področju vojaške mobilnosti. Zaradi kadrovskih sprememb področnih ministrstev je bil sklep do zdaj štirikrat spremenjen oziroma dopolnjen.</w:t>
      </w:r>
    </w:p>
    <w:p w14:paraId="4EFCA31A" w14:textId="77777777" w:rsidR="00C2149A" w:rsidRDefault="00C2149A" w:rsidP="00C2149A"/>
    <w:p w14:paraId="60704A03" w14:textId="4D09E8CC" w:rsidR="006A6F4E" w:rsidRDefault="00C2149A" w:rsidP="00C2149A">
      <w:r>
        <w:t>Zaradi spremenjenega varnostnega okolja je Nato pristopil k preoblikovanju pristopa k podpori države gostiteljice za odvračanje in obrambo, ki je neposredno povezano tudi z vojaško mobilnostjo. V skladu z navedenim ter zaradi kadrovskih sprememb na ministrstvih je bilo treba Sklep o ustanovitvi Stalne medresorske koordinacijske skupine za spremljanje in usmerjanje implementacije ukrepov na področju vojaške mobilnosti ustrezno posodobiti.</w:t>
      </w:r>
    </w:p>
    <w:p w14:paraId="241650E1" w14:textId="77777777" w:rsidR="00C2149A" w:rsidRDefault="00C2149A" w:rsidP="00C2149A">
      <w:pPr>
        <w:pStyle w:val="Vir"/>
      </w:pPr>
      <w:r>
        <w:t>Vir: Ministrstvo za obrambo</w:t>
      </w:r>
    </w:p>
    <w:p w14:paraId="1E9415FD" w14:textId="604D618A" w:rsidR="00872E8D" w:rsidRDefault="00872E8D" w:rsidP="00872E8D">
      <w:pPr>
        <w:pStyle w:val="Naslov2"/>
      </w:pPr>
      <w:r>
        <w:t>Vlada podala soglasje k najemu prostorov za interni gostinski obrat v SNG Maribor</w:t>
      </w:r>
    </w:p>
    <w:p w14:paraId="321C4DE6" w14:textId="0CA75DF6" w:rsidR="00872E8D" w:rsidRDefault="00872E8D" w:rsidP="00872E8D">
      <w:r>
        <w:t>Vlada je dala soglasje k podpisu pogodbe o najemu poslovnih prostorov v stavbi Slovenskega narodnega gledališča Maribor na naslovu Slovenska ulica 27. Prostori v skupni izmeri 324,17 m² bodo za obdobje petih let namenjeni delovanju internega gostinskega obrata.</w:t>
      </w:r>
    </w:p>
    <w:p w14:paraId="3BE70AE3" w14:textId="77777777" w:rsidR="00872E8D" w:rsidRDefault="00872E8D" w:rsidP="00872E8D"/>
    <w:p w14:paraId="02E532DF" w14:textId="0BCC690F" w:rsidR="00872E8D" w:rsidRDefault="00872E8D" w:rsidP="00872E8D">
      <w:r>
        <w:t>Najem poslovnih prostorov, ki obsega interno restavracijo s pripadajočimi funkcionalnimi prostori, bo omogočil dodatno podporo zaposlenim, sodelavcem in gostujočemu osebju gledališča. Prostori se nahajajo v kleti gledališke stavbe, ki je del javne kulturne infrastrukture, s katero upravlja SNG Maribor.</w:t>
      </w:r>
    </w:p>
    <w:p w14:paraId="01E755FC" w14:textId="77777777" w:rsidR="00872E8D" w:rsidRDefault="00872E8D" w:rsidP="00872E8D"/>
    <w:p w14:paraId="2DDD3EF9" w14:textId="2D6CCFFC" w:rsidR="00872E8D" w:rsidRDefault="00872E8D" w:rsidP="00872E8D">
      <w:r>
        <w:t>Na javno zbiranje ponudb je prispela ena veljavna ponudba. SNG Maribor je izbral najugodnejšega ponudnika, podjetje Macho gostinstvo d. o. o., ki bo pogodbo podpisalo po prejemu soglasja Vlade.</w:t>
      </w:r>
    </w:p>
    <w:p w14:paraId="1BC5A583" w14:textId="77777777" w:rsidR="00872E8D" w:rsidRDefault="00872E8D" w:rsidP="00872E8D">
      <w:r>
        <w:t>Najemna pogodba določa mesečno najemnino v višini 450 evrov ter pavšalne obratovalne stroške v višini 150 evrov. Pogodba bo sklenjena za določen čas – pet let.</w:t>
      </w:r>
    </w:p>
    <w:p w14:paraId="0F580182" w14:textId="086B4EE9" w:rsidR="00872E8D" w:rsidRDefault="00872E8D" w:rsidP="00872E8D">
      <w:pPr>
        <w:pStyle w:val="Vir"/>
      </w:pPr>
      <w:r>
        <w:t>Vir: Ministrstvo za kulturo</w:t>
      </w:r>
    </w:p>
    <w:p w14:paraId="3AD3887E" w14:textId="31115E40" w:rsidR="0049158D" w:rsidRDefault="0049158D" w:rsidP="0049158D">
      <w:pPr>
        <w:pStyle w:val="Naslov2"/>
      </w:pPr>
      <w:r>
        <w:t>Reorganizacija Centra za varovanje in zaščito</w:t>
      </w:r>
    </w:p>
    <w:p w14:paraId="7BD77324" w14:textId="77777777" w:rsidR="0049158D" w:rsidRDefault="0049158D" w:rsidP="0049158D">
      <w:r>
        <w:t>Vlada Republike Slovenije je sprejela sklep, da se v Ministrstvu za notranje zadeve, Policiji, uvede reorganizacija Centra za varovanje in zaščito.</w:t>
      </w:r>
    </w:p>
    <w:p w14:paraId="1369161B" w14:textId="77777777" w:rsidR="0049158D" w:rsidRDefault="0049158D" w:rsidP="0049158D"/>
    <w:p w14:paraId="4181BE2F" w14:textId="77777777" w:rsidR="0049158D" w:rsidRDefault="0049158D" w:rsidP="0049158D">
      <w:r>
        <w:t>Na podlagi ugotovitev izrednega nadzora je minister za notranje zadeve decembra 2024 z usmeritvami in obveznimi navodili generalnemu direktorju policije naložil celovito reorganizacijo Centra za varovanje in zaščito (CVZ).</w:t>
      </w:r>
    </w:p>
    <w:p w14:paraId="2969E9A4" w14:textId="77777777" w:rsidR="0049158D" w:rsidRDefault="0049158D" w:rsidP="0049158D"/>
    <w:p w14:paraId="5F3506E0" w14:textId="77777777" w:rsidR="0049158D" w:rsidRDefault="0049158D" w:rsidP="0049158D">
      <w:r>
        <w:t>CVZ je trenutno notranja organizacijska enota Generalne policijske uprave, z reorganizacijo pa se ustanovi Urad za varnost in zaščito (UVZ), ki se organizacijsko umesti v Upravo za policijske specialnosti (UPS).</w:t>
      </w:r>
    </w:p>
    <w:p w14:paraId="1055B876" w14:textId="77777777" w:rsidR="0049158D" w:rsidRDefault="0049158D" w:rsidP="0049158D"/>
    <w:p w14:paraId="43924EB9" w14:textId="77777777" w:rsidR="0049158D" w:rsidRDefault="0049158D" w:rsidP="0049158D">
      <w:r>
        <w:t>V UVZ bodo organizirani Sektor za osebno varovanje, Sektor za varovanje delegacij in ogroženih oseb, Sektor za varovanje objektov, Sektor za preventivno in operativno varovanje ter Sektor za operativno podporo.</w:t>
      </w:r>
    </w:p>
    <w:p w14:paraId="5EE2F076" w14:textId="77777777" w:rsidR="0049158D" w:rsidRDefault="0049158D" w:rsidP="0049158D"/>
    <w:p w14:paraId="432FD63A" w14:textId="77777777" w:rsidR="0049158D" w:rsidRDefault="0049158D" w:rsidP="0049158D">
      <w:r>
        <w:t xml:space="preserve">Z umestitvijo v UPS bo zagotovljena zakonita, strokovna in učinkovita organizacija dela, v celotni upravi pa bo zagotovljena tudi pričakovana notranja varnost. Vzpostavilo se bo učinkovito strokovno sodelovanje z ogroženimi osebami in ostalimi enotami policije. Z novo umestitvijo se bo izboljšal tudi proaktiven nadzor vodstva UPS in UVZ nad delom policistov predvsem pri odkrivanju in ugotavljanju odklonskih pojavov in kršitev ter izvedba ustreznih ukrepov. </w:t>
      </w:r>
    </w:p>
    <w:p w14:paraId="1D3A5679" w14:textId="77777777" w:rsidR="0049158D" w:rsidRDefault="0049158D" w:rsidP="0049158D"/>
    <w:p w14:paraId="62142CE8" w14:textId="77777777" w:rsidR="0049158D" w:rsidRDefault="0049158D" w:rsidP="0049158D">
      <w:r>
        <w:t>Z novim načinom in organizacijo bo dosežena jasna vertikalna linija vodenja in ustrezna horizontalna usklajenost med vsemi enotami z izogibanjem podvajanja procesov. Prav tako se bo izboljšala hitrost pri izmenjavi informacij znotraj UPS in navzven z drugimi enotami ter s tem dosegla večja učinkovitost pri delu policije.</w:t>
      </w:r>
    </w:p>
    <w:p w14:paraId="3AE8E32F" w14:textId="77777777" w:rsidR="0049158D" w:rsidRDefault="0049158D" w:rsidP="0049158D">
      <w:pPr>
        <w:pStyle w:val="Vir"/>
      </w:pPr>
      <w:bookmarkStart w:id="1" w:name="_Hlk195168981"/>
      <w:r>
        <w:t>Vir: Ministrstvo za notranje zadeve</w:t>
      </w:r>
    </w:p>
    <w:p w14:paraId="2F98EF60" w14:textId="77777777" w:rsidR="008E5253" w:rsidRPr="008E5253" w:rsidRDefault="008E5253" w:rsidP="008E5253"/>
    <w:bookmarkEnd w:id="1"/>
    <w:p w14:paraId="41CF2935" w14:textId="77777777" w:rsidR="0049158D" w:rsidRDefault="0049158D" w:rsidP="0049158D"/>
    <w:p w14:paraId="516F5CDF" w14:textId="3B0BAF07" w:rsidR="00C2149A" w:rsidRDefault="00C2149A" w:rsidP="00C2149A"/>
    <w:p w14:paraId="4ED42C9B" w14:textId="77777777" w:rsidR="006A6F4E" w:rsidRDefault="006A6F4E" w:rsidP="006A6F4E"/>
    <w:p w14:paraId="3CC01624" w14:textId="77777777" w:rsidR="006A6F4E" w:rsidRDefault="006A6F4E" w:rsidP="006A6F4E"/>
    <w:p w14:paraId="301E4922" w14:textId="77777777" w:rsidR="006A6F4E" w:rsidRDefault="006A6F4E" w:rsidP="006A6F4E"/>
    <w:p w14:paraId="7BFB89C7" w14:textId="77777777" w:rsidR="00B92992" w:rsidRPr="00B92992" w:rsidRDefault="00B92992" w:rsidP="00B92992"/>
    <w:p w14:paraId="69E0DA8C" w14:textId="77777777" w:rsidR="00DE1B54" w:rsidRDefault="00DE1B54" w:rsidP="00DE1B54"/>
    <w:sectPr w:rsidR="00DE1B54"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625D0C"/>
    <w:multiLevelType w:val="hybridMultilevel"/>
    <w:tmpl w:val="3CDE97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372BA"/>
    <w:multiLevelType w:val="hybridMultilevel"/>
    <w:tmpl w:val="721C25E6"/>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D91E46"/>
    <w:multiLevelType w:val="hybridMultilevel"/>
    <w:tmpl w:val="0E5C63D8"/>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1C376C"/>
    <w:multiLevelType w:val="hybridMultilevel"/>
    <w:tmpl w:val="2EFCFB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BAF7160"/>
    <w:multiLevelType w:val="hybridMultilevel"/>
    <w:tmpl w:val="93E2D45C"/>
    <w:lvl w:ilvl="0" w:tplc="04240001">
      <w:start w:val="1"/>
      <w:numFmt w:val="bullet"/>
      <w:lvlText w:val=""/>
      <w:lvlJc w:val="left"/>
      <w:pPr>
        <w:ind w:left="720" w:hanging="360"/>
      </w:pPr>
      <w:rPr>
        <w:rFonts w:ascii="Symbol" w:hAnsi="Symbol" w:hint="default"/>
      </w:rPr>
    </w:lvl>
    <w:lvl w:ilvl="1" w:tplc="5D38BC8C">
      <w:start w:val="2570"/>
      <w:numFmt w:val="bullet"/>
      <w:lvlText w:val="-"/>
      <w:lvlJc w:val="left"/>
      <w:pPr>
        <w:ind w:left="1875" w:hanging="795"/>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276FEE"/>
    <w:multiLevelType w:val="hybridMultilevel"/>
    <w:tmpl w:val="F68AB4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B037724"/>
    <w:multiLevelType w:val="hybridMultilevel"/>
    <w:tmpl w:val="1FD6A9E8"/>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D4C14A5"/>
    <w:multiLevelType w:val="hybridMultilevel"/>
    <w:tmpl w:val="959280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18B0567"/>
    <w:multiLevelType w:val="hybridMultilevel"/>
    <w:tmpl w:val="B2C81CE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EC038C"/>
    <w:multiLevelType w:val="hybridMultilevel"/>
    <w:tmpl w:val="FAE24478"/>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DD0F1B"/>
    <w:multiLevelType w:val="hybridMultilevel"/>
    <w:tmpl w:val="091A9E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E3A6A4F"/>
    <w:multiLevelType w:val="hybridMultilevel"/>
    <w:tmpl w:val="BC86DD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C4B279F"/>
    <w:multiLevelType w:val="hybridMultilevel"/>
    <w:tmpl w:val="B87277C8"/>
    <w:lvl w:ilvl="0" w:tplc="725C9272">
      <w:start w:val="1"/>
      <w:numFmt w:val="bullet"/>
      <w:lvlText w:val=""/>
      <w:lvlJc w:val="left"/>
      <w:pPr>
        <w:ind w:left="720" w:hanging="360"/>
      </w:pPr>
      <w:rPr>
        <w:rFonts w:ascii="Symbol" w:hAnsi="Symbol" w:hint="default"/>
      </w:rPr>
    </w:lvl>
    <w:lvl w:ilvl="1" w:tplc="725C9272">
      <w:start w:val="1"/>
      <w:numFmt w:val="bullet"/>
      <w:lvlText w:val=""/>
      <w:lvlJc w:val="left"/>
      <w:pPr>
        <w:ind w:left="72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19"/>
  </w:num>
  <w:num w:numId="2" w16cid:durableId="984821814">
    <w:abstractNumId w:val="11"/>
  </w:num>
  <w:num w:numId="3" w16cid:durableId="150218247">
    <w:abstractNumId w:val="0"/>
  </w:num>
  <w:num w:numId="4" w16cid:durableId="1026903286">
    <w:abstractNumId w:val="12"/>
  </w:num>
  <w:num w:numId="5" w16cid:durableId="231817878">
    <w:abstractNumId w:val="5"/>
  </w:num>
  <w:num w:numId="6" w16cid:durableId="2110814889">
    <w:abstractNumId w:val="20"/>
  </w:num>
  <w:num w:numId="7" w16cid:durableId="695153758">
    <w:abstractNumId w:val="6"/>
  </w:num>
  <w:num w:numId="8" w16cid:durableId="853298866">
    <w:abstractNumId w:val="10"/>
  </w:num>
  <w:num w:numId="9" w16cid:durableId="1789348953">
    <w:abstractNumId w:val="4"/>
  </w:num>
  <w:num w:numId="10" w16cid:durableId="801383039">
    <w:abstractNumId w:val="3"/>
  </w:num>
  <w:num w:numId="11" w16cid:durableId="1655447059">
    <w:abstractNumId w:val="17"/>
  </w:num>
  <w:num w:numId="12" w16cid:durableId="408625555">
    <w:abstractNumId w:val="8"/>
  </w:num>
  <w:num w:numId="13" w16cid:durableId="1060637666">
    <w:abstractNumId w:val="21"/>
  </w:num>
  <w:num w:numId="14" w16cid:durableId="525094551">
    <w:abstractNumId w:val="7"/>
  </w:num>
  <w:num w:numId="15" w16cid:durableId="1416367335">
    <w:abstractNumId w:val="9"/>
  </w:num>
  <w:num w:numId="16" w16cid:durableId="1937709322">
    <w:abstractNumId w:val="14"/>
  </w:num>
  <w:num w:numId="17" w16cid:durableId="2091342368">
    <w:abstractNumId w:val="15"/>
  </w:num>
  <w:num w:numId="18" w16cid:durableId="1125201624">
    <w:abstractNumId w:val="13"/>
  </w:num>
  <w:num w:numId="19" w16cid:durableId="804195798">
    <w:abstractNumId w:val="2"/>
  </w:num>
  <w:num w:numId="20" w16cid:durableId="1355618387">
    <w:abstractNumId w:val="16"/>
  </w:num>
  <w:num w:numId="21" w16cid:durableId="1858230894">
    <w:abstractNumId w:val="1"/>
  </w:num>
  <w:num w:numId="22" w16cid:durableId="4668978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1186F"/>
    <w:rsid w:val="00014C44"/>
    <w:rsid w:val="0002676E"/>
    <w:rsid w:val="000318E4"/>
    <w:rsid w:val="00050A56"/>
    <w:rsid w:val="00064764"/>
    <w:rsid w:val="00072E69"/>
    <w:rsid w:val="00076DF7"/>
    <w:rsid w:val="00085D04"/>
    <w:rsid w:val="00087069"/>
    <w:rsid w:val="00097B85"/>
    <w:rsid w:val="000A48D8"/>
    <w:rsid w:val="000D5520"/>
    <w:rsid w:val="000E0657"/>
    <w:rsid w:val="000E19C6"/>
    <w:rsid w:val="00110B8F"/>
    <w:rsid w:val="00125055"/>
    <w:rsid w:val="0013016C"/>
    <w:rsid w:val="00143F4B"/>
    <w:rsid w:val="001602C9"/>
    <w:rsid w:val="0016530C"/>
    <w:rsid w:val="001673A5"/>
    <w:rsid w:val="00172B27"/>
    <w:rsid w:val="00173343"/>
    <w:rsid w:val="00194E59"/>
    <w:rsid w:val="001B01DD"/>
    <w:rsid w:val="001B42F9"/>
    <w:rsid w:val="001C3560"/>
    <w:rsid w:val="001C38D1"/>
    <w:rsid w:val="001E11D3"/>
    <w:rsid w:val="001F51BC"/>
    <w:rsid w:val="001F7F63"/>
    <w:rsid w:val="00203F5F"/>
    <w:rsid w:val="00215140"/>
    <w:rsid w:val="00231021"/>
    <w:rsid w:val="002501CE"/>
    <w:rsid w:val="00255FE2"/>
    <w:rsid w:val="002C430D"/>
    <w:rsid w:val="0032428F"/>
    <w:rsid w:val="00325442"/>
    <w:rsid w:val="00346E22"/>
    <w:rsid w:val="00351E1E"/>
    <w:rsid w:val="00357DC0"/>
    <w:rsid w:val="00361255"/>
    <w:rsid w:val="00365063"/>
    <w:rsid w:val="003755B5"/>
    <w:rsid w:val="00381018"/>
    <w:rsid w:val="003847C8"/>
    <w:rsid w:val="003877EB"/>
    <w:rsid w:val="00390DF7"/>
    <w:rsid w:val="0039662C"/>
    <w:rsid w:val="003B1344"/>
    <w:rsid w:val="003D64D8"/>
    <w:rsid w:val="003E17B6"/>
    <w:rsid w:val="003E6170"/>
    <w:rsid w:val="003F4CC5"/>
    <w:rsid w:val="00415527"/>
    <w:rsid w:val="00425CCE"/>
    <w:rsid w:val="004403EC"/>
    <w:rsid w:val="00447B57"/>
    <w:rsid w:val="0045688B"/>
    <w:rsid w:val="00460370"/>
    <w:rsid w:val="00461DC2"/>
    <w:rsid w:val="0049158D"/>
    <w:rsid w:val="00493A6C"/>
    <w:rsid w:val="004A7CAD"/>
    <w:rsid w:val="004B4753"/>
    <w:rsid w:val="004B5E1C"/>
    <w:rsid w:val="004B7346"/>
    <w:rsid w:val="00514906"/>
    <w:rsid w:val="00522637"/>
    <w:rsid w:val="00527AA5"/>
    <w:rsid w:val="005314D7"/>
    <w:rsid w:val="005515BD"/>
    <w:rsid w:val="005672CA"/>
    <w:rsid w:val="0059143B"/>
    <w:rsid w:val="005A570D"/>
    <w:rsid w:val="005B5886"/>
    <w:rsid w:val="005C1523"/>
    <w:rsid w:val="005D1E65"/>
    <w:rsid w:val="005D3745"/>
    <w:rsid w:val="005E1ABB"/>
    <w:rsid w:val="00614FFD"/>
    <w:rsid w:val="006274BB"/>
    <w:rsid w:val="00634EFA"/>
    <w:rsid w:val="006429DF"/>
    <w:rsid w:val="0066249C"/>
    <w:rsid w:val="00665E7D"/>
    <w:rsid w:val="0067375D"/>
    <w:rsid w:val="00692ECC"/>
    <w:rsid w:val="006A6F4E"/>
    <w:rsid w:val="006C1B31"/>
    <w:rsid w:val="006C21D7"/>
    <w:rsid w:val="006E2D1C"/>
    <w:rsid w:val="006E5AE7"/>
    <w:rsid w:val="007130E1"/>
    <w:rsid w:val="00717E59"/>
    <w:rsid w:val="00720E66"/>
    <w:rsid w:val="00733FBA"/>
    <w:rsid w:val="0073796B"/>
    <w:rsid w:val="00750D01"/>
    <w:rsid w:val="00754297"/>
    <w:rsid w:val="007611E6"/>
    <w:rsid w:val="007643A0"/>
    <w:rsid w:val="007669A3"/>
    <w:rsid w:val="00781345"/>
    <w:rsid w:val="007816FE"/>
    <w:rsid w:val="007A353B"/>
    <w:rsid w:val="007A6460"/>
    <w:rsid w:val="007B0ADD"/>
    <w:rsid w:val="007B56D5"/>
    <w:rsid w:val="007E198F"/>
    <w:rsid w:val="007F6889"/>
    <w:rsid w:val="007F6EF7"/>
    <w:rsid w:val="008244C0"/>
    <w:rsid w:val="008336E7"/>
    <w:rsid w:val="00833F54"/>
    <w:rsid w:val="00847AD3"/>
    <w:rsid w:val="008624E8"/>
    <w:rsid w:val="00872E8D"/>
    <w:rsid w:val="008B7AF2"/>
    <w:rsid w:val="008E5253"/>
    <w:rsid w:val="00905C96"/>
    <w:rsid w:val="009174DA"/>
    <w:rsid w:val="00933061"/>
    <w:rsid w:val="00940C9B"/>
    <w:rsid w:val="00945B27"/>
    <w:rsid w:val="009540E4"/>
    <w:rsid w:val="009730C3"/>
    <w:rsid w:val="00974186"/>
    <w:rsid w:val="00983241"/>
    <w:rsid w:val="009900DE"/>
    <w:rsid w:val="009A41AA"/>
    <w:rsid w:val="009C2C98"/>
    <w:rsid w:val="009C2D77"/>
    <w:rsid w:val="009C562E"/>
    <w:rsid w:val="009C6ACA"/>
    <w:rsid w:val="009C6F2C"/>
    <w:rsid w:val="009D10D1"/>
    <w:rsid w:val="009D6F0F"/>
    <w:rsid w:val="00A06971"/>
    <w:rsid w:val="00A27F8A"/>
    <w:rsid w:val="00A30052"/>
    <w:rsid w:val="00A34FC4"/>
    <w:rsid w:val="00A414B5"/>
    <w:rsid w:val="00A445DF"/>
    <w:rsid w:val="00A5415F"/>
    <w:rsid w:val="00A60692"/>
    <w:rsid w:val="00A60A37"/>
    <w:rsid w:val="00A67305"/>
    <w:rsid w:val="00A700BA"/>
    <w:rsid w:val="00A7412B"/>
    <w:rsid w:val="00A809EC"/>
    <w:rsid w:val="00AB1DC2"/>
    <w:rsid w:val="00AC27A3"/>
    <w:rsid w:val="00AD1AFD"/>
    <w:rsid w:val="00AD5193"/>
    <w:rsid w:val="00AE27E4"/>
    <w:rsid w:val="00AE6CD6"/>
    <w:rsid w:val="00B022E5"/>
    <w:rsid w:val="00B47F61"/>
    <w:rsid w:val="00B60F58"/>
    <w:rsid w:val="00B67429"/>
    <w:rsid w:val="00B70F5B"/>
    <w:rsid w:val="00B753A8"/>
    <w:rsid w:val="00B84862"/>
    <w:rsid w:val="00B92992"/>
    <w:rsid w:val="00BA743D"/>
    <w:rsid w:val="00BB1111"/>
    <w:rsid w:val="00BB73C0"/>
    <w:rsid w:val="00BE5C43"/>
    <w:rsid w:val="00C2149A"/>
    <w:rsid w:val="00C3152B"/>
    <w:rsid w:val="00C354D9"/>
    <w:rsid w:val="00C365A8"/>
    <w:rsid w:val="00C458C2"/>
    <w:rsid w:val="00C67CCF"/>
    <w:rsid w:val="00C97F7B"/>
    <w:rsid w:val="00CA5624"/>
    <w:rsid w:val="00CA7F61"/>
    <w:rsid w:val="00CC3123"/>
    <w:rsid w:val="00CC37B3"/>
    <w:rsid w:val="00D10EB4"/>
    <w:rsid w:val="00D14EEC"/>
    <w:rsid w:val="00D354D3"/>
    <w:rsid w:val="00D60A92"/>
    <w:rsid w:val="00D650E2"/>
    <w:rsid w:val="00D7373E"/>
    <w:rsid w:val="00D9208E"/>
    <w:rsid w:val="00D95BC6"/>
    <w:rsid w:val="00DD7D54"/>
    <w:rsid w:val="00DE199D"/>
    <w:rsid w:val="00DE1B54"/>
    <w:rsid w:val="00DE27BA"/>
    <w:rsid w:val="00E02AB3"/>
    <w:rsid w:val="00E07358"/>
    <w:rsid w:val="00E14AAE"/>
    <w:rsid w:val="00E2036F"/>
    <w:rsid w:val="00E3507E"/>
    <w:rsid w:val="00E5339B"/>
    <w:rsid w:val="00E7132A"/>
    <w:rsid w:val="00E83E60"/>
    <w:rsid w:val="00E86C78"/>
    <w:rsid w:val="00E948BD"/>
    <w:rsid w:val="00EC012E"/>
    <w:rsid w:val="00EC12C9"/>
    <w:rsid w:val="00EF702A"/>
    <w:rsid w:val="00F01966"/>
    <w:rsid w:val="00F21123"/>
    <w:rsid w:val="00F23144"/>
    <w:rsid w:val="00F462C7"/>
    <w:rsid w:val="00F83BAF"/>
    <w:rsid w:val="00F93A56"/>
    <w:rsid w:val="00FA792D"/>
    <w:rsid w:val="00FC2D38"/>
    <w:rsid w:val="00FC51B0"/>
    <w:rsid w:val="00FC64EF"/>
    <w:rsid w:val="00FD6F18"/>
    <w:rsid w:val="00FD6F4D"/>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D354D3"/>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uiPriority w:val="99"/>
    <w:rsid w:val="00493A6C"/>
    <w:rPr>
      <w:color w:val="0000FF"/>
      <w:u w:val="single"/>
    </w:rPr>
  </w:style>
  <w:style w:type="character" w:customStyle="1" w:styleId="Naslov3Znak">
    <w:name w:val="Naslov 3 Znak"/>
    <w:basedOn w:val="Privzetapisavaodstavka"/>
    <w:link w:val="Naslov3"/>
    <w:uiPriority w:val="9"/>
    <w:rsid w:val="00D354D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otnazbirkaukrepov.gov.si/realizacija-ukrep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customXml/itemProps3.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DDD5E-BF2A-42E4-BF83-F29C09BA9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10606</Words>
  <Characters>60455</Characters>
  <Application>Microsoft Office Word</Application>
  <DocSecurity>0</DocSecurity>
  <Lines>503</Lines>
  <Paragraphs>141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2025-04-10T12:52:00Z</dcterms:created>
  <dcterms:modified xsi:type="dcterms:W3CDTF">2025-04-10T12:52:00Z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